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44E1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昆明市逾期未年报经营主体信用修复</w:t>
      </w:r>
    </w:p>
    <w:p w14:paraId="6E0DFEEC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免申即享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操作手册</w:t>
      </w:r>
    </w:p>
    <w:p w14:paraId="670E566C">
      <w:pPr>
        <w:jc w:val="center"/>
        <w:rPr>
          <w:rFonts w:hint="eastAsia"/>
          <w:sz w:val="44"/>
          <w:szCs w:val="44"/>
        </w:rPr>
      </w:pPr>
    </w:p>
    <w:p w14:paraId="7FF91139">
      <w:pPr>
        <w:ind w:firstLine="640" w:firstLineChars="200"/>
        <w:rPr>
          <w:rFonts w:hint="eastAsia" w:eastAsia="方正黑体_GBK"/>
          <w:sz w:val="32"/>
          <w:szCs w:val="32"/>
        </w:rPr>
      </w:pPr>
      <w:r>
        <w:rPr>
          <w:rFonts w:hint="eastAsia" w:eastAsia="方正黑体_GBK"/>
          <w:sz w:val="32"/>
          <w:szCs w:val="32"/>
          <w:lang w:val="en-US" w:eastAsia="zh-CN"/>
        </w:rPr>
        <w:t>一、</w:t>
      </w:r>
      <w:r>
        <w:rPr>
          <w:rFonts w:hint="eastAsia" w:eastAsia="方正黑体_GBK"/>
          <w:sz w:val="32"/>
          <w:szCs w:val="32"/>
        </w:rPr>
        <w:t>适用范围及修复条件</w:t>
      </w:r>
    </w:p>
    <w:p w14:paraId="6FFAE3B4">
      <w:pPr>
        <w:ind w:firstLine="640" w:firstLineChars="200"/>
        <w:rPr>
          <w:rFonts w:hint="eastAsia" w:eastAsia="方正楷体_GBK"/>
          <w:sz w:val="32"/>
          <w:szCs w:val="32"/>
        </w:rPr>
      </w:pPr>
      <w:r>
        <w:rPr>
          <w:rFonts w:hint="eastAsia" w:eastAsia="方正楷体_GBK"/>
          <w:sz w:val="32"/>
          <w:szCs w:val="32"/>
        </w:rPr>
        <w:t>（一）适用范围</w:t>
      </w:r>
    </w:p>
    <w:p w14:paraId="18D4B2F6">
      <w:pPr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在昆明市各级市场监管部门登记注册的各类经营主体，包含企业、个体工商户、农民专业合作社等。</w:t>
      </w:r>
    </w:p>
    <w:p w14:paraId="144AE008">
      <w:pPr>
        <w:ind w:firstLine="640" w:firstLineChars="200"/>
        <w:rPr>
          <w:rFonts w:hint="eastAsia" w:eastAsia="方正楷体_GBK"/>
          <w:sz w:val="32"/>
          <w:szCs w:val="32"/>
        </w:rPr>
      </w:pPr>
      <w:r>
        <w:rPr>
          <w:rFonts w:hint="eastAsia" w:eastAsia="方正楷体_GBK"/>
          <w:sz w:val="32"/>
          <w:szCs w:val="32"/>
        </w:rPr>
        <w:t>（二）修复条件</w:t>
      </w:r>
    </w:p>
    <w:p w14:paraId="3FAAFD60">
      <w:pPr>
        <w:ind w:firstLine="640" w:firstLineChars="200"/>
        <w:rPr>
          <w:rFonts w:hint="eastAsia" w:eastAsia="方正仿宋_GBK"/>
          <w:sz w:val="32"/>
          <w:szCs w:val="32"/>
          <w:lang w:eastAsia="zh-CN"/>
        </w:rPr>
      </w:pPr>
      <w:r>
        <w:rPr>
          <w:rFonts w:hint="eastAsia" w:eastAsia="方正仿宋_GBK"/>
          <w:sz w:val="32"/>
          <w:szCs w:val="32"/>
        </w:rPr>
        <w:t>1</w:t>
      </w:r>
      <w:r>
        <w:rPr>
          <w:rFonts w:hint="eastAsia" w:eastAsia="方正仿宋_GBK"/>
          <w:sz w:val="32"/>
          <w:szCs w:val="32"/>
          <w:lang w:eastAsia="zh-CN"/>
        </w:rPr>
        <w:t>．</w:t>
      </w:r>
      <w:r>
        <w:rPr>
          <w:rFonts w:hint="eastAsia" w:eastAsia="方正仿宋_GBK"/>
          <w:sz w:val="32"/>
          <w:szCs w:val="32"/>
        </w:rPr>
        <w:t>经营主体因逾期未报送年度报告被列入经营异常名录，现已完成补报（提交并公示）</w:t>
      </w:r>
      <w:r>
        <w:rPr>
          <w:rFonts w:hint="eastAsia" w:eastAsia="方正仿宋_GBK"/>
          <w:sz w:val="32"/>
          <w:szCs w:val="32"/>
          <w:lang w:eastAsia="zh-CN"/>
        </w:rPr>
        <w:t>。</w:t>
      </w:r>
    </w:p>
    <w:p w14:paraId="638C52DE">
      <w:pPr>
        <w:ind w:firstLine="640" w:firstLineChars="200"/>
        <w:rPr>
          <w:rFonts w:hint="eastAsia" w:eastAsiaTheme="minorEastAsia"/>
          <w:lang w:val="en-US" w:eastAsia="zh-CN"/>
        </w:rPr>
      </w:pPr>
      <w:r>
        <w:rPr>
          <w:rFonts w:hint="eastAsia" w:eastAsia="方正仿宋_GBK"/>
          <w:sz w:val="32"/>
          <w:szCs w:val="32"/>
        </w:rPr>
        <w:t>2</w:t>
      </w:r>
      <w:r>
        <w:rPr>
          <w:rFonts w:hint="eastAsia" w:eastAsia="方正仿宋_GBK"/>
          <w:sz w:val="32"/>
          <w:szCs w:val="32"/>
          <w:lang w:eastAsia="zh-CN"/>
        </w:rPr>
        <w:t>．</w:t>
      </w:r>
      <w:r>
        <w:rPr>
          <w:rFonts w:hint="eastAsia" w:eastAsia="方正仿宋_GBK"/>
          <w:sz w:val="32"/>
          <w:szCs w:val="32"/>
        </w:rPr>
        <w:t>从补报年报之日向前追溯，连续三个年度内，仅有一次因逾期未年报被列入经营异常名录</w:t>
      </w:r>
      <w:r>
        <w:rPr>
          <w:rFonts w:hint="eastAsia" w:eastAsia="方正仿宋_GBK"/>
          <w:sz w:val="32"/>
          <w:szCs w:val="32"/>
          <w:lang w:val="en-US" w:eastAsia="zh-CN"/>
        </w:rPr>
        <w:t>记录</w:t>
      </w:r>
      <w:r>
        <w:rPr>
          <w:rFonts w:hint="eastAsia" w:eastAsia="方正仿宋_GBK"/>
          <w:sz w:val="32"/>
          <w:szCs w:val="32"/>
        </w:rPr>
        <w:t>。</w:t>
      </w:r>
    </w:p>
    <w:p w14:paraId="46EE471D">
      <w:pPr>
        <w:ind w:firstLine="640" w:firstLineChars="200"/>
        <w:rPr>
          <w:rFonts w:hint="eastAsia" w:eastAsia="方正黑体_GBK"/>
          <w:sz w:val="32"/>
          <w:szCs w:val="32"/>
          <w:lang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二</w:t>
      </w:r>
      <w:r>
        <w:rPr>
          <w:rFonts w:hint="eastAsia" w:eastAsia="方正黑体_GBK"/>
          <w:sz w:val="32"/>
          <w:szCs w:val="32"/>
        </w:rPr>
        <w:t>、办理</w:t>
      </w:r>
      <w:r>
        <w:rPr>
          <w:rFonts w:hint="eastAsia" w:eastAsia="方正黑体_GBK"/>
          <w:sz w:val="32"/>
          <w:szCs w:val="32"/>
          <w:lang w:val="en-US" w:eastAsia="zh-CN"/>
        </w:rPr>
        <w:t>流程</w:t>
      </w:r>
    </w:p>
    <w:p w14:paraId="23AB0028">
      <w:pPr>
        <w:ind w:firstLine="640" w:firstLineChars="200"/>
        <w:rPr>
          <w:rFonts w:hint="eastAsia" w:eastAsia="方正仿宋_GBK"/>
          <w:sz w:val="32"/>
          <w:szCs w:val="32"/>
          <w:lang w:eastAsia="zh-CN"/>
        </w:rPr>
      </w:pPr>
      <w:r>
        <w:rPr>
          <w:rFonts w:hint="eastAsia" w:eastAsia="方正仿宋_GBK"/>
          <w:sz w:val="32"/>
          <w:szCs w:val="32"/>
        </w:rPr>
        <w:t>1、登录国家企业信用信息公示系统（云南）</w:t>
      </w:r>
      <w:r>
        <w:rPr>
          <w:rFonts w:hint="eastAsia" w:eastAsia="方正仿宋_GBK"/>
          <w:sz w:val="32"/>
          <w:szCs w:val="32"/>
          <w:lang w:eastAsia="zh-CN"/>
        </w:rPr>
        <w:t>（</w:t>
      </w:r>
      <w:r>
        <w:rPr>
          <w:rFonts w:hint="eastAsia" w:eastAsia="方正仿宋_GBK"/>
          <w:sz w:val="32"/>
          <w:szCs w:val="32"/>
          <w:lang w:val="en-US" w:eastAsia="zh-CN"/>
        </w:rPr>
        <w:t>网址：</w:t>
      </w:r>
      <w:r>
        <w:rPr>
          <w:rFonts w:hint="eastAsia" w:eastAsia="方正仿宋_GBK"/>
          <w:sz w:val="32"/>
          <w:szCs w:val="32"/>
        </w:rPr>
        <w:t>https://yn.gsxt.gov.cn/</w:t>
      </w:r>
      <w:r>
        <w:rPr>
          <w:rFonts w:hint="eastAsia" w:eastAsia="方正仿宋_GBK"/>
          <w:sz w:val="32"/>
          <w:szCs w:val="32"/>
          <w:lang w:eastAsia="zh-CN"/>
        </w:rPr>
        <w:t>）</w:t>
      </w:r>
    </w:p>
    <w:p w14:paraId="65A10F18">
      <w:pPr>
        <w:pStyle w:val="30"/>
        <w:ind w:left="0" w:leftChars="0" w:firstLine="0" w:firstLineChars="0"/>
        <w:rPr>
          <w:rFonts w:hint="eastAsia"/>
          <w:sz w:val="24"/>
          <w:szCs w:val="24"/>
        </w:rPr>
      </w:pPr>
      <w:r>
        <w:drawing>
          <wp:inline distT="0" distB="0" distL="0" distR="0">
            <wp:extent cx="5140325" cy="2451735"/>
            <wp:effectExtent l="0" t="0" r="10795" b="1905"/>
            <wp:docPr id="19547568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75689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0325" cy="245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78BAA">
      <w:pPr>
        <w:ind w:firstLine="640" w:firstLineChars="200"/>
        <w:rPr>
          <w:rFonts w:hint="eastAsia" w:eastAsia="方正仿宋_GBK"/>
          <w:sz w:val="32"/>
          <w:szCs w:val="32"/>
          <w:lang w:eastAsia="zh-CN"/>
        </w:rPr>
      </w:pPr>
      <w:r>
        <w:rPr>
          <w:rFonts w:hint="eastAsia" w:eastAsia="方正仿宋_GBK"/>
          <w:sz w:val="32"/>
          <w:szCs w:val="32"/>
        </w:rPr>
        <w:t>2、进行年报补报填写</w:t>
      </w:r>
      <w:r>
        <w:rPr>
          <w:rFonts w:hint="eastAsia" w:eastAsia="方正仿宋_GBK"/>
          <w:sz w:val="32"/>
          <w:szCs w:val="32"/>
          <w:lang w:eastAsia="zh-CN"/>
        </w:rPr>
        <w:t>：</w:t>
      </w:r>
    </w:p>
    <w:p w14:paraId="7904EE98">
      <w:pPr>
        <w:rPr>
          <w:rFonts w:hint="eastAsia"/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3131185"/>
            <wp:effectExtent l="0" t="0" r="2540" b="0"/>
            <wp:docPr id="2278089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808946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5E5CE">
      <w:pPr>
        <w:pStyle w:val="30"/>
        <w:ind w:left="0" w:leftChars="0" w:firstLine="0" w:firstLineChars="0"/>
        <w:rPr>
          <w:rFonts w:hint="eastAsia" w:eastAsia="方正仿宋_GBK" w:asciiTheme="minorHAnsi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eastAsia="方正仿宋_GBK" w:asciiTheme="minorHAnsi" w:hAnsiTheme="minorHAnsi" w:cstheme="minorBidi"/>
          <w:kern w:val="2"/>
          <w:sz w:val="32"/>
          <w:szCs w:val="32"/>
          <w:lang w:val="en-US" w:eastAsia="zh-CN" w:bidi="ar-SA"/>
        </w:rPr>
        <w:t>3、经营主体在补报完成年报信息后，点击“提交并公示”</w:t>
      </w:r>
      <w:r>
        <w:rPr>
          <w:rFonts w:hint="eastAsia" w:eastAsia="方正仿宋_GBK" w:cstheme="minorBidi"/>
          <w:kern w:val="2"/>
          <w:sz w:val="32"/>
          <w:szCs w:val="32"/>
          <w:lang w:val="en-US" w:eastAsia="zh-CN" w:bidi="ar-SA"/>
        </w:rPr>
        <w:t>：</w:t>
      </w:r>
    </w:p>
    <w:p w14:paraId="48DF502D">
      <w:pPr>
        <w:rPr>
          <w:sz w:val="24"/>
          <w:szCs w:val="24"/>
        </w:rPr>
      </w:pPr>
      <w:r>
        <w:drawing>
          <wp:inline distT="0" distB="0" distL="0" distR="0">
            <wp:extent cx="5274310" cy="2998470"/>
            <wp:effectExtent l="0" t="0" r="2540" b="0"/>
            <wp:docPr id="20108208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82087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33EA6">
      <w:pPr>
        <w:ind w:firstLine="640" w:firstLineChars="200"/>
        <w:rPr>
          <w:rFonts w:hint="eastAsia" w:eastAsia="方正仿宋_GBK"/>
          <w:sz w:val="32"/>
          <w:szCs w:val="32"/>
        </w:rPr>
      </w:pPr>
    </w:p>
    <w:p w14:paraId="1C0EBABF">
      <w:pPr>
        <w:ind w:firstLine="640" w:firstLineChars="200"/>
        <w:rPr>
          <w:rFonts w:hint="eastAsia" w:eastAsia="方正仿宋_GBK"/>
          <w:sz w:val="32"/>
          <w:szCs w:val="32"/>
        </w:rPr>
      </w:pPr>
    </w:p>
    <w:p w14:paraId="5BCA662E">
      <w:pPr>
        <w:ind w:firstLine="640" w:firstLineChars="200"/>
        <w:rPr>
          <w:rFonts w:hint="eastAsia" w:eastAsia="方正仿宋_GBK"/>
          <w:sz w:val="32"/>
          <w:szCs w:val="32"/>
        </w:rPr>
      </w:pPr>
    </w:p>
    <w:p w14:paraId="772BC5C4">
      <w:pPr>
        <w:ind w:firstLine="640" w:firstLineChars="200"/>
        <w:rPr>
          <w:rFonts w:hint="eastAsia" w:eastAsia="方正仿宋_GBK"/>
          <w:sz w:val="32"/>
          <w:szCs w:val="32"/>
        </w:rPr>
      </w:pPr>
    </w:p>
    <w:p w14:paraId="397793E8">
      <w:pPr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符合“免申即享”条件的经营主体，点击“提交并公示”后，会弹出免申即享修复须知：</w:t>
      </w:r>
    </w:p>
    <w:p w14:paraId="6BF946DE">
      <w:pPr>
        <w:rPr>
          <w:sz w:val="24"/>
          <w:szCs w:val="24"/>
        </w:rPr>
      </w:pPr>
      <w:r>
        <w:drawing>
          <wp:inline distT="0" distB="0" distL="0" distR="0">
            <wp:extent cx="5274310" cy="3220085"/>
            <wp:effectExtent l="0" t="0" r="2540" b="0"/>
            <wp:docPr id="5260586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05861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B1757">
      <w:pPr>
        <w:rPr>
          <w:rFonts w:hint="eastAsia"/>
          <w:sz w:val="24"/>
          <w:szCs w:val="24"/>
        </w:rPr>
      </w:pPr>
      <w:r>
        <w:drawing>
          <wp:inline distT="0" distB="0" distL="0" distR="0">
            <wp:extent cx="5274310" cy="3204210"/>
            <wp:effectExtent l="0" t="0" r="2540" b="0"/>
            <wp:docPr id="11153484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34843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0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63D2B">
      <w:pPr>
        <w:ind w:firstLine="640" w:firstLineChars="200"/>
        <w:rPr>
          <w:rFonts w:hint="eastAsia" w:eastAsia="方正仿宋_GBK"/>
          <w:sz w:val="32"/>
          <w:szCs w:val="32"/>
        </w:rPr>
      </w:pPr>
    </w:p>
    <w:p w14:paraId="097C3DE0">
      <w:pPr>
        <w:ind w:firstLine="640" w:firstLineChars="200"/>
        <w:rPr>
          <w:rFonts w:hint="eastAsia" w:eastAsia="方正仿宋_GBK"/>
          <w:sz w:val="32"/>
          <w:szCs w:val="32"/>
        </w:rPr>
      </w:pPr>
    </w:p>
    <w:p w14:paraId="4B1226B8">
      <w:pPr>
        <w:ind w:firstLine="640" w:firstLineChars="200"/>
        <w:rPr>
          <w:rFonts w:hint="eastAsia" w:eastAsia="方正仿宋_GBK"/>
          <w:sz w:val="32"/>
          <w:szCs w:val="32"/>
        </w:rPr>
      </w:pPr>
    </w:p>
    <w:p w14:paraId="07355AD7">
      <w:pPr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如果不勾选“已阅读并理解相关条款”的，系统则会提示勾选：</w:t>
      </w:r>
    </w:p>
    <w:p w14:paraId="59E30031">
      <w:pPr>
        <w:rPr>
          <w:sz w:val="24"/>
          <w:szCs w:val="24"/>
        </w:rPr>
      </w:pPr>
      <w:r>
        <w:drawing>
          <wp:inline distT="0" distB="0" distL="0" distR="0">
            <wp:extent cx="5274310" cy="3215640"/>
            <wp:effectExtent l="0" t="0" r="2540" b="3810"/>
            <wp:docPr id="18119175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91752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C56A6">
      <w:pPr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点击“办理”：</w:t>
      </w:r>
    </w:p>
    <w:p w14:paraId="60D11F00">
      <w:pPr>
        <w:rPr>
          <w:sz w:val="24"/>
          <w:szCs w:val="24"/>
        </w:rPr>
      </w:pPr>
      <w:r>
        <w:drawing>
          <wp:inline distT="0" distB="0" distL="0" distR="0">
            <wp:extent cx="5274310" cy="3043555"/>
            <wp:effectExtent l="0" t="0" r="2540" b="4445"/>
            <wp:docPr id="19084656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465695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8B7A4">
      <w:pPr>
        <w:rPr>
          <w:rFonts w:hint="eastAsia"/>
          <w:sz w:val="24"/>
          <w:szCs w:val="24"/>
        </w:rPr>
      </w:pPr>
    </w:p>
    <w:p w14:paraId="05137B08">
      <w:pPr>
        <w:rPr>
          <w:rFonts w:hint="eastAsia"/>
          <w:sz w:val="24"/>
          <w:szCs w:val="24"/>
        </w:rPr>
      </w:pPr>
    </w:p>
    <w:p w14:paraId="4780D48E">
      <w:pPr>
        <w:rPr>
          <w:rFonts w:hint="eastAsia"/>
          <w:sz w:val="24"/>
          <w:szCs w:val="24"/>
        </w:rPr>
      </w:pPr>
    </w:p>
    <w:p w14:paraId="560DBA43">
      <w:pPr>
        <w:ind w:firstLine="960" w:firstLineChars="3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会弹出提交的确定提醒框，点击“确定”：</w:t>
      </w:r>
    </w:p>
    <w:p w14:paraId="2FFD3456">
      <w:pPr>
        <w:rPr>
          <w:sz w:val="24"/>
          <w:szCs w:val="24"/>
        </w:rPr>
      </w:pPr>
      <w:r>
        <w:drawing>
          <wp:inline distT="0" distB="0" distL="0" distR="0">
            <wp:extent cx="5274310" cy="2694940"/>
            <wp:effectExtent l="0" t="0" r="13970" b="2540"/>
            <wp:docPr id="20558270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82709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CEEF2">
      <w:pPr>
        <w:rPr>
          <w:sz w:val="24"/>
          <w:szCs w:val="24"/>
        </w:rPr>
      </w:pPr>
      <w:bookmarkStart w:id="0" w:name="_GoBack"/>
      <w:r>
        <w:drawing>
          <wp:inline distT="0" distB="0" distL="0" distR="0">
            <wp:extent cx="5274310" cy="2684780"/>
            <wp:effectExtent l="0" t="0" r="13970" b="12700"/>
            <wp:docPr id="8751872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187286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85B975A">
      <w:pPr>
        <w:rPr>
          <w:rFonts w:hint="eastAsia"/>
          <w:sz w:val="24"/>
          <w:szCs w:val="24"/>
        </w:rPr>
      </w:pPr>
      <w:r>
        <w:drawing>
          <wp:inline distT="0" distB="0" distL="0" distR="0">
            <wp:extent cx="5274310" cy="2795270"/>
            <wp:effectExtent l="0" t="0" r="13970" b="8890"/>
            <wp:docPr id="2434361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436132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93474">
      <w:pPr>
        <w:ind w:firstLine="960" w:firstLineChars="300"/>
        <w:jc w:val="left"/>
        <w:rPr>
          <w:sz w:val="24"/>
          <w:szCs w:val="24"/>
        </w:rPr>
      </w:pPr>
      <w:r>
        <w:rPr>
          <w:rFonts w:hint="eastAsia" w:eastAsia="方正仿宋_GBK"/>
          <w:sz w:val="32"/>
          <w:szCs w:val="32"/>
          <w:lang w:val="en-US" w:eastAsia="zh-CN"/>
        </w:rPr>
        <w:t>三、点击</w:t>
      </w:r>
      <w:r>
        <w:rPr>
          <w:rFonts w:hint="eastAsia" w:eastAsia="方正仿宋_GBK"/>
          <w:sz w:val="32"/>
          <w:szCs w:val="32"/>
        </w:rPr>
        <w:t>免申即享“办理”的经营主体，</w:t>
      </w:r>
      <w:r>
        <w:rPr>
          <w:rFonts w:hint="eastAsia" w:eastAsia="方正仿宋_GBK"/>
          <w:sz w:val="32"/>
          <w:szCs w:val="32"/>
          <w:lang w:val="en-US" w:eastAsia="zh-CN"/>
        </w:rPr>
        <w:t>视为已同意并完成信用修复，在</w:t>
      </w:r>
      <w:r>
        <w:rPr>
          <w:rFonts w:hint="eastAsia" w:eastAsia="方正仿宋_GBK"/>
          <w:sz w:val="32"/>
          <w:szCs w:val="32"/>
        </w:rPr>
        <w:t>【信用信息修复】</w:t>
      </w:r>
      <w:r>
        <w:rPr>
          <w:rFonts w:hint="eastAsia" w:eastAsia="方正仿宋_GBK"/>
          <w:sz w:val="32"/>
          <w:szCs w:val="32"/>
          <w:lang w:val="en-US" w:eastAsia="zh-CN"/>
        </w:rPr>
        <w:t>模块无需再次申请办理（提示：</w:t>
      </w:r>
      <w:r>
        <w:rPr>
          <w:rFonts w:hint="eastAsia" w:eastAsia="方正仿宋_GBK"/>
          <w:sz w:val="32"/>
          <w:szCs w:val="32"/>
        </w:rPr>
        <w:t>【信用信息修复】模块</w:t>
      </w:r>
      <w:r>
        <w:rPr>
          <w:rFonts w:hint="eastAsia" w:eastAsia="方正仿宋_GBK"/>
          <w:sz w:val="32"/>
          <w:szCs w:val="32"/>
          <w:lang w:val="en-US" w:eastAsia="zh-CN"/>
        </w:rPr>
        <w:t>中的</w:t>
      </w:r>
      <w:r>
        <w:rPr>
          <w:rFonts w:hint="eastAsia" w:eastAsia="方正仿宋_GBK"/>
          <w:sz w:val="32"/>
          <w:szCs w:val="32"/>
        </w:rPr>
        <w:t>“列入文号”列入文号</w:t>
      </w:r>
      <w:r>
        <w:rPr>
          <w:rFonts w:hint="eastAsia" w:eastAsia="方正仿宋_GBK"/>
          <w:sz w:val="32"/>
          <w:szCs w:val="32"/>
          <w:lang w:val="en-US" w:eastAsia="zh-CN"/>
        </w:rPr>
        <w:t>为空)：</w:t>
      </w:r>
      <w:r>
        <w:rPr>
          <w:sz w:val="24"/>
          <w:szCs w:val="24"/>
        </w:rPr>
        <w:drawing>
          <wp:inline distT="0" distB="0" distL="0" distR="0">
            <wp:extent cx="5274310" cy="3289935"/>
            <wp:effectExtent l="0" t="0" r="2540" b="5715"/>
            <wp:docPr id="5395891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589104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13E50">
      <w:pPr>
        <w:rPr>
          <w:sz w:val="24"/>
          <w:szCs w:val="24"/>
        </w:rPr>
      </w:pPr>
    </w:p>
    <w:p w14:paraId="1AC0780B">
      <w:pPr>
        <w:ind w:firstLine="960" w:firstLineChars="300"/>
        <w:jc w:val="left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四、符合“免申即享”条件的经营主体，如果误点了“不办理”，在【信用信息修复】模块，会再次自动弹出“免申即享”的提醒框：</w:t>
      </w:r>
    </w:p>
    <w:p w14:paraId="6667910A">
      <w:pPr>
        <w:rPr>
          <w:rFonts w:hint="eastAsia"/>
          <w:sz w:val="24"/>
          <w:szCs w:val="24"/>
        </w:rPr>
      </w:pPr>
      <w:r>
        <w:drawing>
          <wp:inline distT="0" distB="0" distL="0" distR="0">
            <wp:extent cx="5274310" cy="3134995"/>
            <wp:effectExtent l="0" t="0" r="13970" b="4445"/>
            <wp:docPr id="3558057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805787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2731770"/>
            <wp:effectExtent l="0" t="0" r="13970" b="11430"/>
            <wp:docPr id="1870712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71289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3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872CA"/>
    <w:p w14:paraId="0D5B7CEE">
      <w:pPr>
        <w:ind w:firstLine="964" w:firstLineChars="300"/>
        <w:jc w:val="both"/>
        <w:rPr>
          <w:rFonts w:hint="eastAsia" w:eastAsia="方正仿宋_GBK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eastAsia="方正仿宋_GBK"/>
          <w:b/>
          <w:bCs/>
          <w:color w:val="FF0000"/>
          <w:sz w:val="32"/>
          <w:szCs w:val="32"/>
          <w:lang w:val="en-US" w:eastAsia="zh-CN"/>
        </w:rPr>
        <w:t>注意：符合免申即享的经营主体，在点击 “办理”免申即享后，无需再到信用修复模块申请经营异常名录的信用修复，也无需提交纸质申请到窗口办理信用修复。3到5个工作日之后可在国家企业信用信息公示系统（云南）上查询是否已移出经营异常名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dmYTM3N2QyNTk3YjZhN2VjNThlZDU1ZTkyYzczYWMifQ=="/>
  </w:docVars>
  <w:rsids>
    <w:rsidRoot w:val="00F96563"/>
    <w:rsid w:val="00041B82"/>
    <w:rsid w:val="000F6C90"/>
    <w:rsid w:val="001E0C53"/>
    <w:rsid w:val="002152C9"/>
    <w:rsid w:val="002541C8"/>
    <w:rsid w:val="00276F75"/>
    <w:rsid w:val="00285B5E"/>
    <w:rsid w:val="002A2324"/>
    <w:rsid w:val="002A62DE"/>
    <w:rsid w:val="002D0E86"/>
    <w:rsid w:val="00314F7F"/>
    <w:rsid w:val="00384670"/>
    <w:rsid w:val="004B1CED"/>
    <w:rsid w:val="004D648E"/>
    <w:rsid w:val="004E2B81"/>
    <w:rsid w:val="005942FD"/>
    <w:rsid w:val="005A3A6F"/>
    <w:rsid w:val="00603A66"/>
    <w:rsid w:val="007273C3"/>
    <w:rsid w:val="007353D6"/>
    <w:rsid w:val="00753FC7"/>
    <w:rsid w:val="00763421"/>
    <w:rsid w:val="0079730D"/>
    <w:rsid w:val="007E1675"/>
    <w:rsid w:val="00803876"/>
    <w:rsid w:val="0084684D"/>
    <w:rsid w:val="00850DDB"/>
    <w:rsid w:val="00862DCC"/>
    <w:rsid w:val="00885EC5"/>
    <w:rsid w:val="008E742C"/>
    <w:rsid w:val="00923C43"/>
    <w:rsid w:val="009970FA"/>
    <w:rsid w:val="009B33B9"/>
    <w:rsid w:val="00A26F56"/>
    <w:rsid w:val="00A37334"/>
    <w:rsid w:val="00A6393D"/>
    <w:rsid w:val="00AF48BA"/>
    <w:rsid w:val="00B30512"/>
    <w:rsid w:val="00C15D89"/>
    <w:rsid w:val="00C314D6"/>
    <w:rsid w:val="00C3461E"/>
    <w:rsid w:val="00D25840"/>
    <w:rsid w:val="00D67C67"/>
    <w:rsid w:val="00DC5D0D"/>
    <w:rsid w:val="00DC7205"/>
    <w:rsid w:val="00DE1B30"/>
    <w:rsid w:val="00EA5DDB"/>
    <w:rsid w:val="00F7382F"/>
    <w:rsid w:val="00F96563"/>
    <w:rsid w:val="077A4AED"/>
    <w:rsid w:val="1BA216DF"/>
    <w:rsid w:val="34840E39"/>
    <w:rsid w:val="36FC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75B6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75B6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E75B6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E75B6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2E75B6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E75B6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E75B6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E75B6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E75B6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67</Words>
  <Characters>385</Characters>
  <Lines>3</Lines>
  <Paragraphs>1</Paragraphs>
  <TotalTime>11</TotalTime>
  <ScaleCrop>false</ScaleCrop>
  <LinksUpToDate>false</LinksUpToDate>
  <CharactersWithSpaces>451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2026-10-12T10:43:00Z</dcterms:created>
  <dc:creator>122123753@qq.com</dc:creator>
  <cp:lastModifiedBy>DELL</cp:lastModifiedBy>
  <dcterms:modified xsi:type="dcterms:W3CDTF">2026-10-13T06:56:43Z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2E46775C25F44134A873FB4785EBAAC0_12</vt:lpwstr>
  </property>
</Properties>
</file>