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FB2E4">
      <w:pPr>
        <w:widowControl/>
        <w:autoSpaceDE w:val="0"/>
        <w:autoSpaceDN w:val="0"/>
        <w:spacing w:before="504"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820"/>
        <w:gridCol w:w="1272"/>
        <w:gridCol w:w="12780"/>
      </w:tblGrid>
      <w:tr w14:paraId="6B731A12">
        <w:tblPrEx>
          <w:tblCellMar>
            <w:top w:w="0" w:type="dxa"/>
            <w:left w:w="108" w:type="dxa"/>
            <w:bottom w:w="0" w:type="dxa"/>
            <w:right w:w="108" w:type="dxa"/>
          </w:tblCellMar>
        </w:tblPrEx>
        <w:trPr>
          <w:trHeight w:val="652" w:hRule="exact"/>
        </w:trPr>
        <w:tc>
          <w:tcPr>
            <w:tcW w:w="14872" w:type="dxa"/>
            <w:gridSpan w:val="3"/>
            <w:tcBorders>
              <w:top w:val="single" w:color="000000" w:sz="2" w:space="0"/>
              <w:left w:val="single" w:color="000000" w:sz="4" w:space="0"/>
              <w:bottom w:val="single" w:color="000000" w:sz="4" w:space="0"/>
              <w:right w:val="single" w:color="000000" w:sz="2" w:space="0"/>
            </w:tcBorders>
            <w:tcMar>
              <w:left w:w="0" w:type="dxa"/>
              <w:right w:w="0" w:type="dxa"/>
            </w:tcMar>
          </w:tcPr>
          <w:p w14:paraId="2792CFE2">
            <w:pPr>
              <w:widowControl/>
              <w:autoSpaceDE w:val="0"/>
              <w:autoSpaceDN w:val="0"/>
              <w:spacing w:before="196" w:after="0" w:line="280" w:lineRule="exact"/>
              <w:ind w:left="0" w:right="0" w:firstLine="0"/>
              <w:jc w:val="center"/>
            </w:pPr>
            <w:r>
              <w:rPr>
                <w:rFonts w:ascii="8GOHJyFf+SimSun" w:hAnsi="8GOHJyFf+SimSun" w:eastAsia="8GOHJyFf+SimSun"/>
                <w:b/>
                <w:color w:val="000000"/>
                <w:sz w:val="28"/>
              </w:rPr>
              <w:t>部门整体支出绩效自评报告</w:t>
            </w:r>
          </w:p>
        </w:tc>
      </w:tr>
      <w:tr w14:paraId="1C32466E">
        <w:tblPrEx>
          <w:tblCellMar>
            <w:top w:w="0" w:type="dxa"/>
            <w:left w:w="108" w:type="dxa"/>
            <w:bottom w:w="0" w:type="dxa"/>
            <w:right w:w="108" w:type="dxa"/>
          </w:tblCellMar>
        </w:tblPrEx>
        <w:trPr>
          <w:trHeight w:val="1882" w:hRule="exact"/>
        </w:trPr>
        <w:tc>
          <w:tcPr>
            <w:tcW w:w="820" w:type="dxa"/>
            <w:vMerge w:val="restart"/>
            <w:tcBorders>
              <w:top w:val="single" w:color="000000" w:sz="4" w:space="0"/>
              <w:left w:val="single" w:color="000000" w:sz="4" w:space="0"/>
              <w:bottom w:val="single" w:color="000000" w:sz="4" w:space="0"/>
              <w:right w:val="single" w:color="000000" w:sz="2" w:space="0"/>
            </w:tcBorders>
            <w:tcMar>
              <w:left w:w="0" w:type="dxa"/>
              <w:right w:w="0" w:type="dxa"/>
            </w:tcMar>
          </w:tcPr>
          <w:p w14:paraId="1258519F">
            <w:pPr>
              <w:widowControl/>
              <w:autoSpaceDE w:val="0"/>
              <w:autoSpaceDN w:val="0"/>
              <w:spacing w:before="4166" w:after="0" w:line="114" w:lineRule="exact"/>
              <w:ind w:left="0" w:right="0" w:firstLine="0"/>
              <w:jc w:val="center"/>
            </w:pPr>
            <w:r>
              <w:rPr>
                <w:rFonts w:ascii="8GOHJyFf+SimSun" w:hAnsi="8GOHJyFf+SimSun" w:eastAsia="8GOHJyFf+SimSun"/>
                <w:color w:val="000000"/>
                <w:w w:val="104"/>
                <w:sz w:val="11"/>
              </w:rPr>
              <w:t>一、部门基本</w:t>
            </w:r>
          </w:p>
          <w:p w14:paraId="0DE81E93">
            <w:pPr>
              <w:widowControl/>
              <w:autoSpaceDE w:val="0"/>
              <w:autoSpaceDN w:val="0"/>
              <w:spacing w:before="30" w:after="0" w:line="116" w:lineRule="exact"/>
              <w:ind w:left="0" w:right="0" w:firstLine="0"/>
              <w:jc w:val="center"/>
            </w:pPr>
            <w:r>
              <w:rPr>
                <w:rFonts w:ascii="8GOHJyFf+SimSun" w:hAnsi="8GOHJyFf+SimSun" w:eastAsia="8GOHJyFf+SimSun"/>
                <w:color w:val="000000"/>
                <w:w w:val="104"/>
                <w:sz w:val="11"/>
              </w:rPr>
              <w:t>情况</w:t>
            </w:r>
          </w:p>
        </w:tc>
        <w:tc>
          <w:tcPr>
            <w:tcW w:w="1272" w:type="dxa"/>
            <w:tcBorders>
              <w:top w:val="single" w:color="000000" w:sz="4" w:space="0"/>
              <w:left w:val="single" w:color="000000" w:sz="2" w:space="0"/>
              <w:bottom w:val="single" w:color="000000" w:sz="4" w:space="0"/>
              <w:right w:val="single" w:color="000000" w:sz="2" w:space="0"/>
            </w:tcBorders>
            <w:tcMar>
              <w:left w:w="0" w:type="dxa"/>
              <w:right w:w="0" w:type="dxa"/>
            </w:tcMar>
          </w:tcPr>
          <w:p w14:paraId="3D7E7C2C">
            <w:pPr>
              <w:widowControl/>
              <w:autoSpaceDE w:val="0"/>
              <w:autoSpaceDN w:val="0"/>
              <w:spacing w:before="884" w:after="0" w:line="114" w:lineRule="exact"/>
              <w:ind w:left="18" w:right="0" w:firstLine="0"/>
              <w:jc w:val="left"/>
            </w:pPr>
            <w:r>
              <w:rPr>
                <w:rFonts w:ascii="8GOHJyFf+SimSun" w:hAnsi="8GOHJyFf+SimSun" w:eastAsia="8GOHJyFf+SimSun"/>
                <w:color w:val="000000"/>
                <w:w w:val="104"/>
                <w:sz w:val="11"/>
              </w:rPr>
              <w:t>（一）部门概况</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672041B8">
            <w:pPr>
              <w:widowControl/>
              <w:autoSpaceDE w:val="0"/>
              <w:autoSpaceDN w:val="0"/>
              <w:spacing w:before="96" w:after="0" w:line="114" w:lineRule="exact"/>
              <w:ind w:left="18" w:right="0" w:firstLine="0"/>
              <w:jc w:val="left"/>
            </w:pPr>
            <w:r>
              <w:rPr>
                <w:rFonts w:ascii="8GOHJyFf+SimSun" w:hAnsi="8GOHJyFf+SimSun" w:eastAsia="8GOHJyFf+SimSun"/>
                <w:color w:val="000000"/>
                <w:w w:val="104"/>
                <w:sz w:val="11"/>
              </w:rPr>
              <w:t>《五华区信访局职能配置、内设机构和人员编制规定的通知》规定,我单位主要职责如下：</w:t>
            </w:r>
          </w:p>
          <w:p w14:paraId="596DEA5A">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（一）贯彻落实党中央、省委、市委、区委关于信访工作的方针政策和决策部署，在履行职责过程中坚持和加强党对信访工作的统一领导。</w:t>
            </w:r>
          </w:p>
          <w:p w14:paraId="33360073">
            <w:pPr>
              <w:widowControl/>
              <w:autoSpaceDE w:val="0"/>
              <w:autoSpaceDN w:val="0"/>
              <w:spacing w:before="28" w:after="0" w:line="114" w:lineRule="exact"/>
              <w:ind w:left="18" w:right="0" w:firstLine="0"/>
              <w:jc w:val="left"/>
            </w:pPr>
            <w:r>
              <w:rPr>
                <w:rFonts w:ascii="8GOHJyFf+SimSun" w:hAnsi="8GOHJyFf+SimSun" w:eastAsia="8GOHJyFf+SimSun"/>
                <w:color w:val="000000"/>
                <w:w w:val="104"/>
                <w:sz w:val="11"/>
              </w:rPr>
              <w:t>（二）负责接待办理信访人通过信访渠道给区委、区政府及领导的来信来电和网络信访事项，接待群众来访，确保信访渠道畅通。</w:t>
            </w:r>
          </w:p>
          <w:p w14:paraId="42C8546C">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（三）推进信访工作制度改革和信访法制化建设，负责拟订信访工作的有关政策和规章草案，推动上级信访工作决策部署的贯彻落实。</w:t>
            </w:r>
          </w:p>
          <w:p w14:paraId="66A02C95">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（四）协调解决全区信访问题。</w:t>
            </w:r>
          </w:p>
          <w:p w14:paraId="19615218">
            <w:pPr>
              <w:widowControl/>
              <w:autoSpaceDE w:val="0"/>
              <w:autoSpaceDN w:val="0"/>
              <w:spacing w:before="28" w:after="0" w:line="114" w:lineRule="exact"/>
              <w:ind w:left="18" w:right="0" w:firstLine="0"/>
              <w:jc w:val="left"/>
            </w:pPr>
            <w:r>
              <w:rPr>
                <w:rFonts w:ascii="8GOHJyFf+SimSun" w:hAnsi="8GOHJyFf+SimSun" w:eastAsia="8GOHJyFf+SimSun"/>
                <w:color w:val="000000"/>
                <w:w w:val="104"/>
                <w:sz w:val="11"/>
              </w:rPr>
              <w:t>（五）负责向区委、区政府及领导反映群众来信、来访、来电中提出的重要意见、建议和问题。</w:t>
            </w:r>
          </w:p>
          <w:p w14:paraId="527E074F">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（六）制定信访问题排查化解制度并组织实施，推进依法分类处理信访诉求。</w:t>
            </w:r>
          </w:p>
          <w:p w14:paraId="1464C4E4">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（七）负责组织做好辖区信访工作。</w:t>
            </w:r>
          </w:p>
          <w:p w14:paraId="2909619F">
            <w:pPr>
              <w:widowControl/>
              <w:autoSpaceDE w:val="0"/>
              <w:autoSpaceDN w:val="0"/>
              <w:spacing w:before="26" w:after="0" w:line="116" w:lineRule="exact"/>
              <w:ind w:left="18" w:right="0" w:firstLine="0"/>
              <w:jc w:val="left"/>
            </w:pPr>
            <w:r>
              <w:rPr>
                <w:rFonts w:ascii="8GOHJyFf+SimSun" w:hAnsi="8GOHJyFf+SimSun" w:eastAsia="8GOHJyFf+SimSun"/>
                <w:color w:val="000000"/>
                <w:w w:val="104"/>
                <w:sz w:val="11"/>
              </w:rPr>
              <w:t>（八）负责全区信访工作调查研究、总结经验、提出建议、部署工作，协调指导监督检查。</w:t>
            </w:r>
          </w:p>
          <w:p w14:paraId="3A72B373">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（九）承担区委信访工作联席会议办公室的日常工作，负责督促落实。</w:t>
            </w:r>
          </w:p>
          <w:p w14:paraId="5547C924">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（十）负责信访信息化建设，负责信访工作宣传和信息发布，指导全区信访信息系统建设和应用工作。</w:t>
            </w:r>
          </w:p>
        </w:tc>
      </w:tr>
      <w:tr w14:paraId="00726354">
        <w:tblPrEx>
          <w:tblCellMar>
            <w:top w:w="0" w:type="dxa"/>
            <w:left w:w="108" w:type="dxa"/>
            <w:bottom w:w="0" w:type="dxa"/>
            <w:right w:w="108" w:type="dxa"/>
          </w:tblCellMar>
        </w:tblPrEx>
        <w:trPr>
          <w:trHeight w:val="4876" w:hRule="exact"/>
        </w:trPr>
        <w:tc>
          <w:tcPr>
            <w:tcW w:w="4967" w:type="dxa"/>
            <w:vMerge w:val="continue"/>
            <w:tcBorders>
              <w:top w:val="single" w:color="000000" w:sz="4" w:space="0"/>
              <w:left w:val="single" w:color="000000" w:sz="4" w:space="0"/>
              <w:bottom w:val="single" w:color="000000" w:sz="4" w:space="0"/>
              <w:right w:val="single" w:color="000000" w:sz="2" w:space="0"/>
            </w:tcBorders>
          </w:tcPr>
          <w:p w14:paraId="3959DD13"/>
        </w:tc>
        <w:tc>
          <w:tcPr>
            <w:tcW w:w="1272" w:type="dxa"/>
            <w:tcBorders>
              <w:top w:val="single" w:color="000000" w:sz="4" w:space="0"/>
              <w:left w:val="single" w:color="000000" w:sz="2" w:space="0"/>
              <w:bottom w:val="single" w:color="000000" w:sz="4" w:space="0"/>
              <w:right w:val="single" w:color="000000" w:sz="2" w:space="0"/>
            </w:tcBorders>
            <w:tcMar>
              <w:left w:w="0" w:type="dxa"/>
              <w:right w:w="0" w:type="dxa"/>
            </w:tcMar>
          </w:tcPr>
          <w:p w14:paraId="6A5FF2B1">
            <w:pPr>
              <w:widowControl/>
              <w:autoSpaceDE w:val="0"/>
              <w:autoSpaceDN w:val="0"/>
              <w:spacing w:before="2308" w:after="0" w:line="116" w:lineRule="exact"/>
              <w:ind w:left="0" w:right="0" w:firstLine="0"/>
              <w:jc w:val="center"/>
            </w:pPr>
            <w:r>
              <w:rPr>
                <w:rFonts w:ascii="8GOHJyFf+SimSun" w:hAnsi="8GOHJyFf+SimSun" w:eastAsia="8GOHJyFf+SimSun"/>
                <w:color w:val="000000"/>
                <w:w w:val="104"/>
                <w:sz w:val="11"/>
              </w:rPr>
              <w:t>（二）部门绩效目标的</w:t>
            </w:r>
          </w:p>
          <w:p w14:paraId="10365DDD">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设立情况</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108694AF">
            <w:pPr>
              <w:widowControl/>
              <w:autoSpaceDE w:val="0"/>
              <w:autoSpaceDN w:val="0"/>
              <w:spacing w:before="128" w:after="0" w:line="144" w:lineRule="exact"/>
              <w:ind w:left="18" w:right="0" w:firstLine="0"/>
              <w:jc w:val="left"/>
            </w:pPr>
            <w:r>
              <w:rPr>
                <w:rFonts w:ascii="8GOHJyFf+SimSun" w:hAnsi="8GOHJyFf+SimSun" w:eastAsia="8GOHJyFf+SimSun"/>
                <w:color w:val="000000"/>
                <w:w w:val="104"/>
                <w:sz w:val="11"/>
              </w:rPr>
              <w:t>已根据部门“十四五”发展规划、部门职责，结合年度工作任务设立总体绩效目标和年度绩效目标。其中，2025年-2027年部门总体目标为:党委</w:t>
            </w:r>
            <w:r>
              <w:rPr>
                <w:rFonts w:hint="eastAsia" w:ascii="8GOHJyFf+SimSun" w:hAnsi="8GOHJyFf+SimSun" w:eastAsia="宋体"/>
                <w:color w:val="000000"/>
                <w:w w:val="104"/>
                <w:sz w:val="11"/>
                <w:lang w:eastAsia="zh-CN"/>
              </w:rPr>
              <w:t>常委会会议</w:t>
            </w:r>
            <w:bookmarkStart w:id="0" w:name="_GoBack"/>
            <w:bookmarkEnd w:id="0"/>
            <w:r>
              <w:rPr>
                <w:rFonts w:ascii="8GOHJyFf+SimSun" w:hAnsi="8GOHJyFf+SimSun" w:eastAsia="8GOHJyFf+SimSun"/>
                <w:color w:val="000000"/>
                <w:w w:val="104"/>
                <w:sz w:val="11"/>
              </w:rPr>
              <w:t>每季度听取信访工作汇报，分析本地信访形势，部署信访工作任务，研究重大信访事项，充分发挥指挥棒作用，将信访工作纳入“效能作风大竞赛 五华在争先”、综合绩效、平安创建考核，考核结果与责任单位及主要负责人纳入“太平官”识别，倒逼工作责任落实。将信访工作列入重要议事日程，贯彻落实党中央关于信访工作的方针政策和决策部署，执行上级党组织关于信访工作的部署要求，统筹信访工作责任体系构建，支持和督促下级党组织做好信访工作。具体如下：一、构建党政领导、信访牵头、部门联动的网上信访系统工作办理体系。二、认真做好信访事项信息采集工作。三、协助做好预防预警、配合落实帮扶措施、及时收集社情民意、组织开展民情恳谈等项工作。四、信访事项办理，包括：化解“四大重点”信访矛盾、信访积案和疑难信访问题，上访信息系统数据录入费，视频接访、依法分类处理信访诉求等业务。五、全力做好重点时期的信访工作。六、按照省、市信联办工作部署及时对涉及需要信访联席会议制度办公室协调的案件召开协调会议研究，及时对相关人员进行走访调研。七、将严格按要求完成高新区移交信访工作。按本局工作职责、上级工作考核指标，完成年度工作任务的同时，按区财政预算项目支出进度要求、及本单位预算绩效推进方案，严格完成年每个季度的工作开展进度、项目资金支出进度。</w:t>
            </w:r>
          </w:p>
          <w:p w14:paraId="17808F57">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2025年年度绩效目标为:</w:t>
            </w:r>
          </w:p>
          <w:p w14:paraId="2A55096C">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（一）部门履职</w:t>
            </w:r>
          </w:p>
          <w:p w14:paraId="2AB66293">
            <w:pPr>
              <w:widowControl/>
              <w:autoSpaceDE w:val="0"/>
              <w:autoSpaceDN w:val="0"/>
              <w:spacing w:before="26" w:after="0" w:line="116" w:lineRule="exact"/>
              <w:ind w:left="18" w:right="0" w:firstLine="0"/>
              <w:jc w:val="left"/>
            </w:pPr>
            <w:r>
              <w:rPr>
                <w:rFonts w:ascii="8GOHJyFf+SimSun" w:hAnsi="8GOHJyFf+SimSun" w:eastAsia="8GOHJyFf+SimSun"/>
                <w:color w:val="000000"/>
                <w:w w:val="104"/>
                <w:sz w:val="11"/>
              </w:rPr>
              <w:t>1.构建党政领导、信访牵头、部门联动的网上信访系统工作办理体系。</w:t>
            </w:r>
          </w:p>
          <w:p w14:paraId="265FF647">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2.认真做好信访事项信息采集工作。</w:t>
            </w:r>
          </w:p>
          <w:p w14:paraId="6AADD0DF">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3.协助做好预防预警、配合落实帮扶措施、及时收集社情民意、组织开展民情恳谈等项工作。</w:t>
            </w:r>
          </w:p>
          <w:p w14:paraId="60DBBFFB">
            <w:pPr>
              <w:widowControl/>
              <w:autoSpaceDE w:val="0"/>
              <w:autoSpaceDN w:val="0"/>
              <w:spacing w:before="26" w:after="0" w:line="116" w:lineRule="exact"/>
              <w:ind w:left="18" w:right="0" w:firstLine="0"/>
              <w:jc w:val="left"/>
            </w:pPr>
            <w:r>
              <w:rPr>
                <w:rFonts w:ascii="8GOHJyFf+SimSun" w:hAnsi="8GOHJyFf+SimSun" w:eastAsia="8GOHJyFf+SimSun"/>
                <w:color w:val="000000"/>
                <w:w w:val="104"/>
                <w:sz w:val="11"/>
              </w:rPr>
              <w:t>4.信访事项办理，包括：化解“四大重点”信访矛盾、信访积案和疑难信访问题，上访信息系统数据录入，视频接访、依法分类处理信访诉求等业务。</w:t>
            </w:r>
          </w:p>
          <w:p w14:paraId="54733B27">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5.全力做好重点时期的信访工作。</w:t>
            </w:r>
          </w:p>
          <w:p w14:paraId="00A1ECCB">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6.按照省、市信联办工作部署及时对涉及需要信访联席会议制度办公室协调的案件召开协调会议研究，及时对相关人员进行走访调研。</w:t>
            </w:r>
          </w:p>
          <w:p w14:paraId="543E131A">
            <w:pPr>
              <w:widowControl/>
              <w:autoSpaceDE w:val="0"/>
              <w:autoSpaceDN w:val="0"/>
              <w:spacing w:before="26" w:after="0" w:line="114" w:lineRule="exact"/>
              <w:ind w:left="18" w:right="0" w:firstLine="0"/>
              <w:jc w:val="left"/>
            </w:pPr>
            <w:r>
              <w:rPr>
                <w:rFonts w:ascii="8GOHJyFf+SimSun" w:hAnsi="8GOHJyFf+SimSun" w:eastAsia="8GOHJyFf+SimSun"/>
                <w:color w:val="000000"/>
                <w:w w:val="104"/>
                <w:sz w:val="11"/>
              </w:rPr>
              <w:t>（二）2025年度信访局重点工作</w:t>
            </w:r>
          </w:p>
          <w:p w14:paraId="20139609">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1.加强信访基础业务规范化建设；</w:t>
            </w:r>
          </w:p>
          <w:p w14:paraId="6A285145">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2.进一步推进信访信息系统规范运用；</w:t>
            </w:r>
          </w:p>
          <w:p w14:paraId="6788E4B2">
            <w:pPr>
              <w:widowControl/>
              <w:autoSpaceDE w:val="0"/>
              <w:autoSpaceDN w:val="0"/>
              <w:spacing w:before="28" w:after="0" w:line="114" w:lineRule="exact"/>
              <w:ind w:left="18" w:right="0" w:firstLine="0"/>
              <w:jc w:val="left"/>
            </w:pPr>
            <w:r>
              <w:rPr>
                <w:rFonts w:ascii="8GOHJyFf+SimSun" w:hAnsi="8GOHJyFf+SimSun" w:eastAsia="8GOHJyFf+SimSun"/>
                <w:color w:val="000000"/>
                <w:w w:val="104"/>
                <w:sz w:val="11"/>
              </w:rPr>
              <w:t>3.深入推进信访突出问题矛盾化解攻坚战；</w:t>
            </w:r>
          </w:p>
          <w:p w14:paraId="744C9532">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4.切实做好信访工作；</w:t>
            </w:r>
          </w:p>
          <w:p w14:paraId="52794A61">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5.多元化解决群众合理诉求；</w:t>
            </w:r>
          </w:p>
          <w:p w14:paraId="609117D5">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6.切实运用好督查督办工作机制。</w:t>
            </w:r>
          </w:p>
          <w:p w14:paraId="3E19E48E">
            <w:pPr>
              <w:widowControl/>
              <w:tabs>
                <w:tab w:val="left" w:pos="196"/>
              </w:tabs>
              <w:autoSpaceDE w:val="0"/>
              <w:autoSpaceDN w:val="0"/>
              <w:spacing w:before="0" w:after="0" w:line="144" w:lineRule="exact"/>
              <w:ind w:left="18" w:right="3168" w:firstLine="0"/>
              <w:jc w:val="left"/>
            </w:pPr>
            <w:r>
              <w:rPr>
                <w:rFonts w:ascii="8GOHJyFf+SimSun" w:hAnsi="8GOHJyFf+SimSun" w:eastAsia="8GOHJyFf+SimSun"/>
                <w:color w:val="000000"/>
                <w:w w:val="104"/>
                <w:sz w:val="11"/>
              </w:rPr>
              <w:t>（三）2025年度信访局项目支出完成目标</w:t>
            </w:r>
            <w:r>
              <w:br w:type="textWrapping"/>
            </w:r>
            <w:r>
              <w:tab/>
            </w:r>
            <w:r>
              <w:rPr>
                <w:rFonts w:ascii="8GOHJyFf+SimSun" w:hAnsi="8GOHJyFf+SimSun" w:eastAsia="8GOHJyFf+SimSun"/>
                <w:color w:val="000000"/>
                <w:w w:val="104"/>
                <w:sz w:val="11"/>
              </w:rPr>
              <w:t xml:space="preserve"> 按本局工作职责、上级工作考核指标，完成2025年度工作任务的同时，按区财政预算项目支出进度要求、及本单位预算绩效推进方案，严格完成2025年项目预算季度的工作开展进度。</w:t>
            </w:r>
          </w:p>
          <w:p w14:paraId="68B923A8">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1.群众信访工作经费。以信访矛盾化解为中心，畅通信访渠道，解决群众合理诉求，下大力气化解“四大重点”信访矛盾、信访积案和疑难信访问题；组织开展信访信息系统、视频接访、依法分类处理信访诉求等业务活动qualq</w:t>
            </w:r>
          </w:p>
          <w:p w14:paraId="2B283063">
            <w:pPr>
              <w:widowControl/>
              <w:autoSpaceDE w:val="0"/>
              <w:autoSpaceDN w:val="0"/>
              <w:spacing w:before="26" w:after="0" w:line="116" w:lineRule="exact"/>
              <w:ind w:left="18" w:right="0" w:firstLine="0"/>
              <w:jc w:val="left"/>
            </w:pPr>
            <w:r>
              <w:rPr>
                <w:rFonts w:ascii="8GOHJyFf+SimSun" w:hAnsi="8GOHJyFf+SimSun" w:eastAsia="8GOHJyFf+SimSun"/>
                <w:color w:val="000000"/>
                <w:w w:val="104"/>
                <w:sz w:val="11"/>
              </w:rPr>
              <w:t>2.信访应急处置经费。全力做好信访保障工作。</w:t>
            </w:r>
          </w:p>
          <w:p w14:paraId="4CAC0FDE">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3.信访信息系统工作经费。受理、交办、督办网民留言事项和办理，通报网民留言情况，认真做好信访事项信息采集工作，协助做好预防预警、配合落实帮扶措施、及时收集社情民意、组织开展民情恳谈等项。</w:t>
            </w:r>
          </w:p>
          <w:p w14:paraId="2C75E6E4">
            <w:pPr>
              <w:widowControl/>
              <w:autoSpaceDE w:val="0"/>
              <w:autoSpaceDN w:val="0"/>
              <w:spacing w:before="0" w:after="0" w:line="144" w:lineRule="exact"/>
              <w:ind w:left="18" w:right="0" w:firstLine="0"/>
              <w:jc w:val="left"/>
            </w:pPr>
            <w:r>
              <w:rPr>
                <w:rFonts w:ascii="8GOHJyFf+SimSun" w:hAnsi="8GOHJyFf+SimSun" w:eastAsia="8GOHJyFf+SimSun"/>
                <w:color w:val="000000"/>
                <w:w w:val="104"/>
                <w:sz w:val="11"/>
              </w:rPr>
              <w:t>为了加强部门预算绩效管理，进一步提高财政资金使用效益，我单位的整体支出绩效目标从“产出指标”“效益指标”“满意度指标”三个维度设立，并设立了"信访业务培训人数不少于4人、省、市级信访业务专业培训次数不少于1次、视频接访系统更新维护次数1次、接访窗口、会议室电子屏维护数完成2块、进京维稳保障工作天数低于12天、进京信访维稳工作人员数量8人、越级上访群众劝返率达到100%、有效解决上访群众合理诉求、上访群众满意度达到95%、信访信息系统办理效果显著”等具体指标。</w:t>
            </w:r>
          </w:p>
        </w:tc>
      </w:tr>
      <w:tr w14:paraId="67A8EA81">
        <w:tblPrEx>
          <w:tblCellMar>
            <w:top w:w="0" w:type="dxa"/>
            <w:left w:w="108" w:type="dxa"/>
            <w:bottom w:w="0" w:type="dxa"/>
            <w:right w:w="108" w:type="dxa"/>
          </w:tblCellMar>
        </w:tblPrEx>
        <w:trPr>
          <w:trHeight w:val="1130" w:hRule="exact"/>
        </w:trPr>
        <w:tc>
          <w:tcPr>
            <w:tcW w:w="4967" w:type="dxa"/>
            <w:vMerge w:val="continue"/>
            <w:tcBorders>
              <w:top w:val="single" w:color="000000" w:sz="4" w:space="0"/>
              <w:left w:val="single" w:color="000000" w:sz="4" w:space="0"/>
              <w:bottom w:val="single" w:color="000000" w:sz="4" w:space="0"/>
              <w:right w:val="single" w:color="000000" w:sz="2" w:space="0"/>
            </w:tcBorders>
          </w:tcPr>
          <w:p w14:paraId="78E79B3C"/>
        </w:tc>
        <w:tc>
          <w:tcPr>
            <w:tcW w:w="1272" w:type="dxa"/>
            <w:tcBorders>
              <w:top w:val="single" w:color="000000" w:sz="4" w:space="0"/>
              <w:left w:val="single" w:color="000000" w:sz="2" w:space="0"/>
              <w:bottom w:val="single" w:color="000000" w:sz="4" w:space="0"/>
              <w:right w:val="single" w:color="000000" w:sz="2" w:space="0"/>
            </w:tcBorders>
            <w:tcMar>
              <w:left w:w="0" w:type="dxa"/>
              <w:right w:w="0" w:type="dxa"/>
            </w:tcMar>
          </w:tcPr>
          <w:p w14:paraId="4F509FCE">
            <w:pPr>
              <w:widowControl/>
              <w:autoSpaceDE w:val="0"/>
              <w:autoSpaceDN w:val="0"/>
              <w:spacing w:before="436" w:after="0" w:line="116" w:lineRule="exact"/>
              <w:ind w:left="0" w:right="0" w:firstLine="0"/>
              <w:jc w:val="center"/>
            </w:pPr>
            <w:r>
              <w:rPr>
                <w:rFonts w:ascii="8GOHJyFf+SimSun" w:hAnsi="8GOHJyFf+SimSun" w:eastAsia="8GOHJyFf+SimSun"/>
                <w:color w:val="000000"/>
                <w:w w:val="104"/>
                <w:sz w:val="11"/>
              </w:rPr>
              <w:t>（三）部门整体收支情</w:t>
            </w:r>
          </w:p>
          <w:p w14:paraId="0589DAF5">
            <w:pPr>
              <w:widowControl/>
              <w:autoSpaceDE w:val="0"/>
              <w:autoSpaceDN w:val="0"/>
              <w:spacing w:before="26" w:after="0" w:line="116" w:lineRule="exact"/>
              <w:ind w:left="18" w:right="0" w:firstLine="0"/>
              <w:jc w:val="left"/>
            </w:pPr>
            <w:r>
              <w:rPr>
                <w:rFonts w:ascii="8GOHJyFf+SimSun" w:hAnsi="8GOHJyFf+SimSun" w:eastAsia="8GOHJyFf+SimSun"/>
                <w:color w:val="000000"/>
                <w:w w:val="104"/>
                <w:sz w:val="11"/>
              </w:rPr>
              <w:t>况</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4A5242F9">
            <w:pPr>
              <w:widowControl/>
              <w:autoSpaceDE w:val="0"/>
              <w:autoSpaceDN w:val="0"/>
              <w:spacing w:before="264" w:after="0" w:line="144" w:lineRule="exact"/>
              <w:ind w:left="18" w:right="0" w:firstLine="0"/>
              <w:jc w:val="left"/>
            </w:pPr>
            <w:r>
              <w:rPr>
                <w:rFonts w:ascii="8GOHJyFf+SimSun" w:hAnsi="8GOHJyFf+SimSun" w:eastAsia="8GOHJyFf+SimSun"/>
                <w:color w:val="000000"/>
                <w:w w:val="104"/>
                <w:sz w:val="11"/>
              </w:rPr>
              <w:t>1.2025年部门预算收入299.65万元，其中财政拨款收入299.45万元，其他收入0万元，年初结转结余0.20万元。财政拨款收入中：基本支出拨款收入281.05万元，项目支出拨款18.40万元。较2024年相比减少256.11万元，下降46.10%，主要原因是财政资金紧张，单位厉行节约成本，减少项目支出；上年度54名劳务派遣人员中50名人员工资社保由街道办负责，故我单位2025年只需承担4名劳务派遣人员开支。</w:t>
            </w:r>
          </w:p>
          <w:p w14:paraId="3CB013E2">
            <w:pPr>
              <w:widowControl/>
              <w:autoSpaceDE w:val="0"/>
              <w:autoSpaceDN w:val="0"/>
              <w:spacing w:before="0" w:after="0" w:line="144" w:lineRule="exact"/>
              <w:ind w:left="18" w:right="0" w:firstLine="0"/>
              <w:jc w:val="left"/>
            </w:pPr>
            <w:r>
              <w:rPr>
                <w:rFonts w:ascii="8GOHJyFf+SimSun" w:hAnsi="8GOHJyFf+SimSun" w:eastAsia="8GOHJyFf+SimSun"/>
                <w:color w:val="000000"/>
                <w:w w:val="104"/>
                <w:sz w:val="11"/>
              </w:rPr>
              <w:t>2.2025年预算支出299.65万元，其中：基本支出281.05万元，项目支出18.60万元。较2024年相比减少257.29万元，下降46.20%，主要原因是财政资金紧张，单位厉行节约成本，减少项目支出；上年度54名劳务派遣人员中50名人员工资社保由街道办负责，故我单位2025年只需承担4名劳务派遣人员开支。</w:t>
            </w:r>
          </w:p>
        </w:tc>
      </w:tr>
      <w:tr w14:paraId="6A92AD3F">
        <w:tblPrEx>
          <w:tblCellMar>
            <w:top w:w="0" w:type="dxa"/>
            <w:left w:w="108" w:type="dxa"/>
            <w:bottom w:w="0" w:type="dxa"/>
            <w:right w:w="108" w:type="dxa"/>
          </w:tblCellMar>
        </w:tblPrEx>
        <w:trPr>
          <w:trHeight w:val="686" w:hRule="exact"/>
        </w:trPr>
        <w:tc>
          <w:tcPr>
            <w:tcW w:w="4967" w:type="dxa"/>
            <w:vMerge w:val="continue"/>
            <w:tcBorders>
              <w:top w:val="single" w:color="000000" w:sz="4" w:space="0"/>
              <w:left w:val="single" w:color="000000" w:sz="4" w:space="0"/>
              <w:bottom w:val="single" w:color="000000" w:sz="4" w:space="0"/>
              <w:right w:val="single" w:color="000000" w:sz="2" w:space="0"/>
            </w:tcBorders>
          </w:tcPr>
          <w:p w14:paraId="2A12C505"/>
        </w:tc>
        <w:tc>
          <w:tcPr>
            <w:tcW w:w="1272" w:type="dxa"/>
            <w:tcBorders>
              <w:top w:val="single" w:color="000000" w:sz="4" w:space="0"/>
              <w:left w:val="single" w:color="000000" w:sz="2" w:space="0"/>
              <w:bottom w:val="single" w:color="000000" w:sz="4" w:space="0"/>
              <w:right w:val="single" w:color="000000" w:sz="2" w:space="0"/>
            </w:tcBorders>
            <w:tcMar>
              <w:left w:w="0" w:type="dxa"/>
              <w:right w:w="0" w:type="dxa"/>
            </w:tcMar>
          </w:tcPr>
          <w:p w14:paraId="3DAF0A0A">
            <w:pPr>
              <w:widowControl/>
              <w:autoSpaceDE w:val="0"/>
              <w:autoSpaceDN w:val="0"/>
              <w:spacing w:before="224" w:after="0" w:line="114" w:lineRule="exact"/>
              <w:ind w:left="0" w:right="0" w:firstLine="0"/>
              <w:jc w:val="center"/>
            </w:pPr>
            <w:r>
              <w:rPr>
                <w:rFonts w:ascii="8GOHJyFf+SimSun" w:hAnsi="8GOHJyFf+SimSun" w:eastAsia="8GOHJyFf+SimSun"/>
                <w:color w:val="000000"/>
                <w:w w:val="104"/>
                <w:sz w:val="11"/>
              </w:rPr>
              <w:t>（四）部门预算管理制</w:t>
            </w:r>
          </w:p>
          <w:p w14:paraId="29F94F6B">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度建设情况</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29156EC4">
            <w:pPr>
              <w:widowControl/>
              <w:autoSpaceDE w:val="0"/>
              <w:autoSpaceDN w:val="0"/>
              <w:spacing w:before="122" w:after="0" w:line="144" w:lineRule="exact"/>
              <w:ind w:left="18" w:right="58" w:firstLine="0"/>
              <w:jc w:val="both"/>
            </w:pPr>
            <w:r>
              <w:rPr>
                <w:rFonts w:ascii="8GOHJyFf+SimSun" w:hAnsi="8GOHJyFf+SimSun" w:eastAsia="8GOHJyFf+SimSun"/>
                <w:color w:val="000000"/>
                <w:w w:val="104"/>
                <w:sz w:val="11"/>
              </w:rPr>
              <w:t>我单位始终把制度建设摆在突出位置，严格按照《中华人民共和国预算法》《国务院关于进一步深化预算管理制度改革的意见》等法律法规要求，结合部门实际，不断健全机制，相继修订印发了《昆明市五华区信访局财务管理办法》《昆明市五华区信访局预算绩效管理办法》《昆明市五华区信访局预算项目资金管理办法》《昆明市五华区信访局大额用款管理规定》《昆明市五华区信访局内控制度手册》等多项规范财务和预算管理的制度，形成了事前有评估、入库有标准、项目有明细、执行有监控、完成有评价、结果有应用、信息有公开的全过程预算管理机制。</w:t>
            </w:r>
          </w:p>
        </w:tc>
      </w:tr>
    </w:tbl>
    <w:p w14:paraId="44039661">
      <w:pPr>
        <w:widowControl/>
        <w:autoSpaceDE w:val="0"/>
        <w:autoSpaceDN w:val="0"/>
        <w:spacing w:before="0" w:after="0" w:line="14" w:lineRule="exact"/>
        <w:ind w:left="0" w:right="0"/>
      </w:pPr>
    </w:p>
    <w:p w14:paraId="7250B3D9">
      <w:pPr>
        <w:sectPr>
          <w:pgSz w:w="16837" w:h="12305"/>
          <w:pgMar w:top="724" w:right="1308" w:bottom="602" w:left="628" w:header="720" w:footer="720" w:gutter="0"/>
          <w:cols w:equalWidth="0" w:num="1">
            <w:col w:w="14900"/>
          </w:cols>
          <w:docGrid w:linePitch="360" w:charSpace="0"/>
        </w:sectPr>
      </w:pPr>
    </w:p>
    <w:p w14:paraId="09F9F9F1">
      <w:pPr>
        <w:widowControl/>
        <w:autoSpaceDE w:val="0"/>
        <w:autoSpaceDN w:val="0"/>
        <w:spacing w:before="504" w:after="0" w:line="220" w:lineRule="exact"/>
        <w:ind w:left="0" w:right="0"/>
      </w:pPr>
    </w:p>
    <w:tbl>
      <w:tblPr>
        <w:tblStyle w:val="2"/>
        <w:tblW w:w="0" w:type="auto"/>
        <w:tblInd w:w="4" w:type="dxa"/>
        <w:tblLayout w:type="fixed"/>
        <w:tblCellMar>
          <w:top w:w="0" w:type="dxa"/>
          <w:left w:w="108" w:type="dxa"/>
          <w:bottom w:w="0" w:type="dxa"/>
          <w:right w:w="108" w:type="dxa"/>
        </w:tblCellMar>
      </w:tblPr>
      <w:tblGrid>
        <w:gridCol w:w="820"/>
        <w:gridCol w:w="548"/>
        <w:gridCol w:w="724"/>
        <w:gridCol w:w="12780"/>
      </w:tblGrid>
      <w:tr w14:paraId="6AE77434">
        <w:tblPrEx>
          <w:tblCellMar>
            <w:top w:w="0" w:type="dxa"/>
            <w:left w:w="108" w:type="dxa"/>
            <w:bottom w:w="0" w:type="dxa"/>
            <w:right w:w="108" w:type="dxa"/>
          </w:tblCellMar>
        </w:tblPrEx>
        <w:trPr>
          <w:trHeight w:val="652" w:hRule="exact"/>
        </w:trPr>
        <w:tc>
          <w:tcPr>
            <w:tcW w:w="14872" w:type="dxa"/>
            <w:gridSpan w:val="4"/>
            <w:tcBorders>
              <w:top w:val="single" w:color="000000" w:sz="2" w:space="0"/>
              <w:left w:val="single" w:color="000000" w:sz="4" w:space="0"/>
              <w:bottom w:val="single" w:color="000000" w:sz="4" w:space="0"/>
              <w:right w:val="single" w:color="000000" w:sz="2" w:space="0"/>
            </w:tcBorders>
            <w:tcMar>
              <w:left w:w="0" w:type="dxa"/>
              <w:right w:w="0" w:type="dxa"/>
            </w:tcMar>
          </w:tcPr>
          <w:p w14:paraId="7E575387">
            <w:pPr>
              <w:widowControl/>
              <w:autoSpaceDE w:val="0"/>
              <w:autoSpaceDN w:val="0"/>
              <w:spacing w:before="196" w:after="0" w:line="280" w:lineRule="exact"/>
              <w:ind w:left="0" w:right="0" w:firstLine="0"/>
              <w:jc w:val="center"/>
            </w:pPr>
            <w:r>
              <w:rPr>
                <w:rFonts w:ascii="8GOHJyFf+SimSun" w:hAnsi="8GOHJyFf+SimSun" w:eastAsia="8GOHJyFf+SimSun"/>
                <w:b/>
                <w:color w:val="000000"/>
                <w:sz w:val="28"/>
              </w:rPr>
              <w:t>部门整体支出绩效自评报告</w:t>
            </w:r>
          </w:p>
        </w:tc>
      </w:tr>
      <w:tr w14:paraId="4A0BA54F">
        <w:tblPrEx>
          <w:tblCellMar>
            <w:top w:w="0" w:type="dxa"/>
            <w:left w:w="108" w:type="dxa"/>
            <w:bottom w:w="0" w:type="dxa"/>
            <w:right w:w="108" w:type="dxa"/>
          </w:tblCellMar>
        </w:tblPrEx>
        <w:trPr>
          <w:trHeight w:val="630" w:hRule="exact"/>
        </w:trPr>
        <w:tc>
          <w:tcPr>
            <w:tcW w:w="820" w:type="dxa"/>
            <w:vMerge w:val="restart"/>
            <w:tcBorders>
              <w:top w:val="single" w:color="000000" w:sz="4" w:space="0"/>
              <w:left w:val="single" w:color="000000" w:sz="4" w:space="0"/>
              <w:bottom w:val="single" w:color="000000" w:sz="4" w:space="0"/>
              <w:right w:val="single" w:color="000000" w:sz="2" w:space="0"/>
            </w:tcBorders>
            <w:tcMar>
              <w:left w:w="0" w:type="dxa"/>
              <w:right w:w="0" w:type="dxa"/>
            </w:tcMar>
          </w:tcPr>
          <w:p w14:paraId="789C4B33">
            <w:pPr>
              <w:widowControl/>
              <w:autoSpaceDE w:val="0"/>
              <w:autoSpaceDN w:val="0"/>
              <w:spacing w:before="1318" w:after="0" w:line="114" w:lineRule="exact"/>
              <w:ind w:left="0" w:right="0" w:firstLine="0"/>
              <w:jc w:val="center"/>
            </w:pPr>
            <w:r>
              <w:rPr>
                <w:rFonts w:ascii="8GOHJyFf+SimSun" w:hAnsi="8GOHJyFf+SimSun" w:eastAsia="8GOHJyFf+SimSun"/>
                <w:color w:val="000000"/>
                <w:w w:val="104"/>
                <w:sz w:val="11"/>
              </w:rPr>
              <w:t>二、绩效自评</w:t>
            </w:r>
          </w:p>
          <w:p w14:paraId="28279CDF">
            <w:pPr>
              <w:widowControl/>
              <w:autoSpaceDE w:val="0"/>
              <w:autoSpaceDN w:val="0"/>
              <w:spacing w:before="30" w:after="0" w:line="114" w:lineRule="exact"/>
              <w:ind w:left="0" w:right="0" w:firstLine="0"/>
              <w:jc w:val="center"/>
            </w:pPr>
            <w:r>
              <w:rPr>
                <w:rFonts w:ascii="8GOHJyFf+SimSun" w:hAnsi="8GOHJyFf+SimSun" w:eastAsia="8GOHJyFf+SimSun"/>
                <w:color w:val="000000"/>
                <w:w w:val="104"/>
                <w:sz w:val="11"/>
              </w:rPr>
              <w:t>工作情况</w:t>
            </w:r>
          </w:p>
        </w:tc>
        <w:tc>
          <w:tcPr>
            <w:tcW w:w="1272" w:type="dxa"/>
            <w:gridSpan w:val="2"/>
            <w:tcBorders>
              <w:top w:val="single" w:color="000000" w:sz="4" w:space="0"/>
              <w:left w:val="single" w:color="000000" w:sz="2" w:space="0"/>
              <w:bottom w:val="single" w:color="000000" w:sz="4" w:space="0"/>
              <w:right w:val="single" w:color="000000" w:sz="2" w:space="0"/>
            </w:tcBorders>
            <w:tcMar>
              <w:left w:w="0" w:type="dxa"/>
              <w:right w:w="0" w:type="dxa"/>
            </w:tcMar>
          </w:tcPr>
          <w:p w14:paraId="31A79311">
            <w:pPr>
              <w:widowControl/>
              <w:autoSpaceDE w:val="0"/>
              <w:autoSpaceDN w:val="0"/>
              <w:spacing w:before="256" w:after="0" w:line="116" w:lineRule="exact"/>
              <w:ind w:left="0" w:right="0" w:firstLine="0"/>
              <w:jc w:val="center"/>
            </w:pPr>
            <w:r>
              <w:rPr>
                <w:rFonts w:ascii="8GOHJyFf+SimSun" w:hAnsi="8GOHJyFf+SimSun" w:eastAsia="8GOHJyFf+SimSun"/>
                <w:color w:val="000000"/>
                <w:w w:val="104"/>
                <w:sz w:val="11"/>
              </w:rPr>
              <w:t>（一）绩效自评的目的</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2CCD3632">
            <w:pPr>
              <w:widowControl/>
              <w:autoSpaceDE w:val="0"/>
              <w:autoSpaceDN w:val="0"/>
              <w:spacing w:before="184" w:after="0" w:line="116" w:lineRule="exact"/>
              <w:ind w:left="0" w:right="0" w:firstLine="0"/>
              <w:jc w:val="center"/>
            </w:pPr>
            <w:r>
              <w:rPr>
                <w:rFonts w:ascii="8GOHJyFf+SimSun" w:hAnsi="8GOHJyFf+SimSun" w:eastAsia="8GOHJyFf+SimSun"/>
                <w:color w:val="000000"/>
                <w:w w:val="104"/>
                <w:sz w:val="11"/>
              </w:rPr>
              <w:t>通过对绩效目标设置情况、资金使用情况、项目实施管理情况、项目绩效表现情况等进行自我评价，了解资金使用是否达到预期目标、资金管理是否规范、资金使用是否有效，检验资金支出效率和效果，分析存在问题及原因，及时总结经验，改进管理</w:t>
            </w:r>
          </w:p>
          <w:p w14:paraId="69E22C7A">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措施，不断增强和落实绩效管理责任，达到不断完善工作机制，有效提高资金管理水平和使用效益的目的。</w:t>
            </w:r>
          </w:p>
        </w:tc>
      </w:tr>
      <w:tr w14:paraId="44D2299A">
        <w:tblPrEx>
          <w:tblCellMar>
            <w:top w:w="0" w:type="dxa"/>
            <w:left w:w="108" w:type="dxa"/>
            <w:bottom w:w="0" w:type="dxa"/>
            <w:right w:w="108" w:type="dxa"/>
          </w:tblCellMar>
        </w:tblPrEx>
        <w:trPr>
          <w:trHeight w:val="930" w:hRule="exact"/>
        </w:trPr>
        <w:tc>
          <w:tcPr>
            <w:tcW w:w="3725" w:type="dxa"/>
            <w:vMerge w:val="continue"/>
            <w:tcBorders>
              <w:top w:val="single" w:color="000000" w:sz="4" w:space="0"/>
              <w:left w:val="single" w:color="000000" w:sz="4" w:space="0"/>
              <w:bottom w:val="single" w:color="000000" w:sz="4" w:space="0"/>
              <w:right w:val="single" w:color="000000" w:sz="2" w:space="0"/>
            </w:tcBorders>
          </w:tcPr>
          <w:p w14:paraId="7EFE12EE"/>
        </w:tc>
        <w:tc>
          <w:tcPr>
            <w:tcW w:w="548" w:type="dxa"/>
            <w:vMerge w:val="restart"/>
            <w:tcBorders>
              <w:top w:val="single" w:color="000000" w:sz="4" w:space="0"/>
              <w:left w:val="single" w:color="000000" w:sz="2" w:space="0"/>
              <w:bottom w:val="single" w:color="000000" w:sz="4" w:space="0"/>
              <w:right w:val="single" w:color="000000" w:sz="4" w:space="0"/>
            </w:tcBorders>
            <w:tcMar>
              <w:left w:w="0" w:type="dxa"/>
              <w:right w:w="0" w:type="dxa"/>
            </w:tcMar>
          </w:tcPr>
          <w:p w14:paraId="41C63A5A">
            <w:pPr>
              <w:widowControl/>
              <w:autoSpaceDE w:val="0"/>
              <w:autoSpaceDN w:val="0"/>
              <w:spacing w:before="902" w:after="0" w:line="144" w:lineRule="exact"/>
              <w:ind w:left="18" w:right="60" w:firstLine="0"/>
              <w:jc w:val="both"/>
            </w:pPr>
            <w:r>
              <w:rPr>
                <w:rFonts w:ascii="8GOHJyFf+SimSun" w:hAnsi="8GOHJyFf+SimSun" w:eastAsia="8GOHJyFf+SimSun"/>
                <w:color w:val="000000"/>
                <w:w w:val="104"/>
                <w:sz w:val="11"/>
              </w:rPr>
              <w:t>（二）自评组织过程</w:t>
            </w:r>
          </w:p>
        </w:tc>
        <w:tc>
          <w:tcPr>
            <w:tcW w:w="724" w:type="dxa"/>
            <w:tcBorders>
              <w:top w:val="single" w:color="000000" w:sz="4" w:space="0"/>
              <w:left w:val="single" w:color="000000" w:sz="4" w:space="0"/>
              <w:bottom w:val="single" w:color="000000" w:sz="4" w:space="0"/>
              <w:right w:val="single" w:color="000000" w:sz="2" w:space="0"/>
            </w:tcBorders>
            <w:tcMar>
              <w:left w:w="0" w:type="dxa"/>
              <w:right w:w="0" w:type="dxa"/>
            </w:tcMar>
          </w:tcPr>
          <w:p w14:paraId="614BB921">
            <w:pPr>
              <w:widowControl/>
              <w:autoSpaceDE w:val="0"/>
              <w:autoSpaceDN w:val="0"/>
              <w:spacing w:before="408" w:after="0" w:line="116" w:lineRule="exact"/>
              <w:ind w:left="20" w:right="0" w:firstLine="0"/>
              <w:jc w:val="left"/>
            </w:pPr>
            <w:r>
              <w:rPr>
                <w:rFonts w:ascii="8GOHJyFf+SimSun" w:hAnsi="8GOHJyFf+SimSun" w:eastAsia="8GOHJyFf+SimSun"/>
                <w:color w:val="000000"/>
                <w:w w:val="104"/>
                <w:sz w:val="11"/>
              </w:rPr>
              <w:t>1.前期准备</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1A640D78">
            <w:pPr>
              <w:widowControl/>
              <w:autoSpaceDE w:val="0"/>
              <w:autoSpaceDN w:val="0"/>
              <w:spacing w:before="236" w:after="0" w:line="144" w:lineRule="exact"/>
              <w:ind w:left="18" w:right="226" w:firstLine="0"/>
              <w:jc w:val="both"/>
            </w:pPr>
            <w:r>
              <w:rPr>
                <w:rFonts w:ascii="8GOHJyFf+SimSun" w:hAnsi="8GOHJyFf+SimSun" w:eastAsia="8GOHJyFf+SimSun"/>
                <w:color w:val="000000"/>
                <w:w w:val="104"/>
                <w:sz w:val="11"/>
              </w:rPr>
              <w:t>（1）确定自评对象和组织机构。根据《五华区财政局关于开展2025年度财政支出绩效自评工作的通知》要求，将部门整体支出和全部项目支出纳入自评范围。成立由局长任组长、各分管副局长任副组长、各科室负责人为成员的绩效自评工作领导小组，负责组织协调本次绩效自评工作，形成由办公室牵头组织、协调，各科室积极配合、开展的工作机制，确保绩效管理工作顺利推进。（2）拟定自评计划，准备自评材料。根据《五华区财政局关于开展2025年度财政支出绩效自评工作的通知》要求，拟定自评计划，准备自评材料。</w:t>
            </w:r>
          </w:p>
        </w:tc>
      </w:tr>
      <w:tr w14:paraId="0ED7C6A0">
        <w:tblPrEx>
          <w:tblCellMar>
            <w:top w:w="0" w:type="dxa"/>
            <w:left w:w="108" w:type="dxa"/>
            <w:bottom w:w="0" w:type="dxa"/>
            <w:right w:w="108" w:type="dxa"/>
          </w:tblCellMar>
        </w:tblPrEx>
        <w:trPr>
          <w:trHeight w:val="1332" w:hRule="exact"/>
        </w:trPr>
        <w:tc>
          <w:tcPr>
            <w:tcW w:w="3725" w:type="dxa"/>
            <w:vMerge w:val="continue"/>
            <w:tcBorders>
              <w:top w:val="single" w:color="000000" w:sz="4" w:space="0"/>
              <w:left w:val="single" w:color="000000" w:sz="4" w:space="0"/>
              <w:bottom w:val="single" w:color="000000" w:sz="4" w:space="0"/>
              <w:right w:val="single" w:color="000000" w:sz="2" w:space="0"/>
            </w:tcBorders>
          </w:tcPr>
          <w:p w14:paraId="1A0DE3C1"/>
        </w:tc>
        <w:tc>
          <w:tcPr>
            <w:tcW w:w="3725" w:type="dxa"/>
            <w:vMerge w:val="continue"/>
            <w:tcBorders>
              <w:top w:val="single" w:color="000000" w:sz="4" w:space="0"/>
              <w:left w:val="single" w:color="000000" w:sz="2" w:space="0"/>
              <w:bottom w:val="single" w:color="000000" w:sz="4" w:space="0"/>
              <w:right w:val="single" w:color="000000" w:sz="4" w:space="0"/>
            </w:tcBorders>
          </w:tcPr>
          <w:p w14:paraId="52B41F0A"/>
        </w:tc>
        <w:tc>
          <w:tcPr>
            <w:tcW w:w="724" w:type="dxa"/>
            <w:tcBorders>
              <w:top w:val="single" w:color="000000" w:sz="4" w:space="0"/>
              <w:left w:val="single" w:color="000000" w:sz="4" w:space="0"/>
              <w:bottom w:val="single" w:color="000000" w:sz="4" w:space="0"/>
              <w:right w:val="single" w:color="000000" w:sz="2" w:space="0"/>
            </w:tcBorders>
            <w:tcMar>
              <w:left w:w="0" w:type="dxa"/>
              <w:right w:w="0" w:type="dxa"/>
            </w:tcMar>
          </w:tcPr>
          <w:p w14:paraId="45B27678">
            <w:pPr>
              <w:widowControl/>
              <w:autoSpaceDE w:val="0"/>
              <w:autoSpaceDN w:val="0"/>
              <w:spacing w:before="612" w:after="0" w:line="114" w:lineRule="exact"/>
              <w:ind w:left="20" w:right="0" w:firstLine="0"/>
              <w:jc w:val="left"/>
            </w:pPr>
            <w:r>
              <w:rPr>
                <w:rFonts w:ascii="8GOHJyFf+SimSun" w:hAnsi="8GOHJyFf+SimSun" w:eastAsia="8GOHJyFf+SimSun"/>
                <w:color w:val="000000"/>
                <w:w w:val="104"/>
                <w:sz w:val="11"/>
              </w:rPr>
              <w:t>2.组织实施</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10663A5C">
            <w:pPr>
              <w:widowControl/>
              <w:autoSpaceDE w:val="0"/>
              <w:autoSpaceDN w:val="0"/>
              <w:spacing w:before="226" w:after="0" w:line="142" w:lineRule="exact"/>
              <w:ind w:left="18" w:right="0" w:firstLine="0"/>
              <w:jc w:val="left"/>
            </w:pPr>
            <w:r>
              <w:rPr>
                <w:rFonts w:ascii="8GOHJyFf+SimSun" w:hAnsi="8GOHJyFf+SimSun" w:eastAsia="8GOHJyFf+SimSun"/>
                <w:color w:val="000000"/>
                <w:w w:val="104"/>
                <w:sz w:val="11"/>
              </w:rPr>
              <w:t xml:space="preserve">（1）任务分解。我单位高度重视自评工作，根据《五华区预算绩效自评管理暂行办法》和《五华区财政局关于开展2025年度财政支出绩效自评工作的通知》要求，由绩效自评工作领导小组组织、协调，办公室牵头，按照各科室职责分工，结合年初预算申报情况、年度中预算调整情况、全年度预算执行情况和绩效指标设置完成情况，组织各科室共同参与我单位2025年度绩效自评工作，确保按时限要求高标准完成自评工作。 </w:t>
            </w:r>
          </w:p>
          <w:p w14:paraId="0A51F1D6">
            <w:pPr>
              <w:widowControl/>
              <w:autoSpaceDE w:val="0"/>
              <w:autoSpaceDN w:val="0"/>
              <w:spacing w:before="0" w:after="0" w:line="144" w:lineRule="exact"/>
              <w:ind w:left="18" w:right="1152" w:firstLine="0"/>
              <w:jc w:val="left"/>
            </w:pPr>
            <w:r>
              <w:rPr>
                <w:rFonts w:ascii="8GOHJyFf+SimSun" w:hAnsi="8GOHJyFf+SimSun" w:eastAsia="8GOHJyFf+SimSun"/>
                <w:color w:val="000000"/>
                <w:w w:val="104"/>
                <w:sz w:val="11"/>
              </w:rPr>
              <w:t>（2）数据采集。各业务科室收集年度项目实施过程中绩效目标和绩效指标完成的相关数据，结合预算资金执行情况和绩效目标完成情况，对涉及本科室的资金进行初步自评工作，对发现的问题进行纠正，并将相关资料报办公室。（3）集中审核。办公室根据各业务科室上报情况，牵头组织部门整体支出和项目支出预算绩效自评工作，并形成部门整体支出和项目支出预算绩效自评结果报部门领导审定。</w:t>
            </w:r>
          </w:p>
          <w:p w14:paraId="30D5472E">
            <w:pPr>
              <w:widowControl/>
              <w:autoSpaceDE w:val="0"/>
              <w:autoSpaceDN w:val="0"/>
              <w:spacing w:before="0" w:after="0" w:line="142" w:lineRule="exact"/>
              <w:ind w:left="18" w:right="0" w:firstLine="0"/>
              <w:jc w:val="left"/>
            </w:pPr>
            <w:r>
              <w:rPr>
                <w:rFonts w:ascii="8GOHJyFf+SimSun" w:hAnsi="8GOHJyFf+SimSun" w:eastAsia="8GOHJyFf+SimSun"/>
                <w:color w:val="000000"/>
                <w:w w:val="104"/>
                <w:sz w:val="11"/>
              </w:rPr>
              <w:t>（4）系统填报。按照《五华区财政局关于开展2025年度财政支出绩效自评工作的通知》要求，汇总形成分项目的《2025年度项目支出绩效自评表》以及本部门《2025年度部门整体支出绩效报告》《2025年度部门整体支出绩效自评表》和《2025年度部门整体支出绩效自评职责履行良好表》，在“云南财政·预算管理一体化服务平台”中，将部门整体和所有项目的自评表格录入系统后按要求上报。</w:t>
            </w:r>
          </w:p>
        </w:tc>
      </w:tr>
      <w:tr w14:paraId="499840A9">
        <w:tblPrEx>
          <w:tblCellMar>
            <w:top w:w="0" w:type="dxa"/>
            <w:left w:w="108" w:type="dxa"/>
            <w:bottom w:w="0" w:type="dxa"/>
            <w:right w:w="108" w:type="dxa"/>
          </w:tblCellMar>
        </w:tblPrEx>
        <w:trPr>
          <w:trHeight w:val="836" w:hRule="exact"/>
        </w:trPr>
        <w:tc>
          <w:tcPr>
            <w:tcW w:w="2092" w:type="dxa"/>
            <w:gridSpan w:val="3"/>
            <w:tcBorders>
              <w:top w:val="single" w:color="000000" w:sz="4" w:space="0"/>
              <w:left w:val="single" w:color="000000" w:sz="4" w:space="0"/>
              <w:bottom w:val="single" w:color="000000" w:sz="2" w:space="0"/>
              <w:right w:val="single" w:color="000000" w:sz="2" w:space="0"/>
            </w:tcBorders>
            <w:tcMar>
              <w:left w:w="0" w:type="dxa"/>
              <w:right w:w="0" w:type="dxa"/>
            </w:tcMar>
          </w:tcPr>
          <w:p w14:paraId="3527CE11">
            <w:pPr>
              <w:widowControl/>
              <w:autoSpaceDE w:val="0"/>
              <w:autoSpaceDN w:val="0"/>
              <w:spacing w:before="362" w:after="0" w:line="116" w:lineRule="exact"/>
              <w:ind w:left="18" w:right="0" w:firstLine="0"/>
              <w:jc w:val="left"/>
            </w:pPr>
            <w:r>
              <w:rPr>
                <w:rFonts w:ascii="8GOHJyFf+SimSun" w:hAnsi="8GOHJyFf+SimSun" w:eastAsia="8GOHJyFf+SimSun"/>
                <w:color w:val="000000"/>
                <w:w w:val="104"/>
                <w:sz w:val="11"/>
              </w:rPr>
              <w:t>三、评价情况分析及综合评价结论</w:t>
            </w:r>
          </w:p>
        </w:tc>
        <w:tc>
          <w:tcPr>
            <w:tcW w:w="12780" w:type="dxa"/>
            <w:tcBorders>
              <w:top w:val="single" w:color="000000" w:sz="4" w:space="0"/>
              <w:left w:val="single" w:color="000000" w:sz="2" w:space="0"/>
              <w:bottom w:val="single" w:color="000000" w:sz="2" w:space="0"/>
              <w:right w:val="single" w:color="000000" w:sz="2" w:space="0"/>
            </w:tcBorders>
            <w:tcMar>
              <w:left w:w="0" w:type="dxa"/>
              <w:right w:w="0" w:type="dxa"/>
            </w:tcMar>
          </w:tcPr>
          <w:p w14:paraId="0E476C79">
            <w:pPr>
              <w:widowControl/>
              <w:autoSpaceDE w:val="0"/>
              <w:autoSpaceDN w:val="0"/>
              <w:spacing w:before="290" w:after="0" w:line="116" w:lineRule="exact"/>
              <w:ind w:left="0" w:right="0" w:firstLine="0"/>
              <w:jc w:val="center"/>
            </w:pPr>
            <w:r>
              <w:rPr>
                <w:rFonts w:ascii="8GOHJyFf+SimSun" w:hAnsi="8GOHJyFf+SimSun" w:eastAsia="8GOHJyFf+SimSun"/>
                <w:color w:val="000000"/>
                <w:w w:val="104"/>
                <w:sz w:val="11"/>
              </w:rPr>
              <w:t>2025年昆明市五华区信访局整体支出绩效评价工作，结合年度预算执行情况和绩效目标实现情况，从“目标设定”的合理性、“预算配置”的科学性、“预算执行和管理”的完整性、“履职产出和效果”的真实性等角度进行分析，结论是部门整体支出</w:t>
            </w:r>
          </w:p>
          <w:p w14:paraId="321E09BB">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的预算配置科学合理，预算执行及时有效，绝大部分的预期工作任务目标均圆满完成，达到预期效果，效益明显。最终自评分为93分，自评结论为：优。</w:t>
            </w:r>
          </w:p>
        </w:tc>
      </w:tr>
      <w:tr w14:paraId="78E11A07">
        <w:tblPrEx>
          <w:tblCellMar>
            <w:top w:w="0" w:type="dxa"/>
            <w:left w:w="108" w:type="dxa"/>
            <w:bottom w:w="0" w:type="dxa"/>
            <w:right w:w="108" w:type="dxa"/>
          </w:tblCellMar>
        </w:tblPrEx>
        <w:trPr>
          <w:trHeight w:val="1564" w:hRule="exact"/>
        </w:trPr>
        <w:tc>
          <w:tcPr>
            <w:tcW w:w="2092" w:type="dxa"/>
            <w:gridSpan w:val="3"/>
            <w:tcBorders>
              <w:top w:val="single" w:color="000000" w:sz="2" w:space="0"/>
              <w:left w:val="single" w:color="000000" w:sz="4" w:space="0"/>
              <w:bottom w:val="single" w:color="000000" w:sz="4" w:space="0"/>
              <w:right w:val="single" w:color="000000" w:sz="2" w:space="0"/>
            </w:tcBorders>
            <w:tcMar>
              <w:left w:w="0" w:type="dxa"/>
              <w:right w:w="0" w:type="dxa"/>
            </w:tcMar>
          </w:tcPr>
          <w:p w14:paraId="1A6F2249">
            <w:pPr>
              <w:widowControl/>
              <w:autoSpaceDE w:val="0"/>
              <w:autoSpaceDN w:val="0"/>
              <w:spacing w:before="726" w:after="0" w:line="114" w:lineRule="exact"/>
              <w:ind w:left="18" w:right="0" w:firstLine="0"/>
              <w:jc w:val="left"/>
            </w:pPr>
            <w:r>
              <w:rPr>
                <w:rFonts w:ascii="8GOHJyFf+SimSun" w:hAnsi="8GOHJyFf+SimSun" w:eastAsia="8GOHJyFf+SimSun"/>
                <w:color w:val="000000"/>
                <w:w w:val="104"/>
                <w:sz w:val="11"/>
              </w:rPr>
              <w:t>四、存在的问题和整改情况</w:t>
            </w:r>
          </w:p>
        </w:tc>
        <w:tc>
          <w:tcPr>
            <w:tcW w:w="12780" w:type="dxa"/>
            <w:tcBorders>
              <w:top w:val="single" w:color="000000" w:sz="2" w:space="0"/>
              <w:left w:val="single" w:color="000000" w:sz="2" w:space="0"/>
              <w:bottom w:val="single" w:color="000000" w:sz="4" w:space="0"/>
              <w:right w:val="single" w:color="000000" w:sz="2" w:space="0"/>
            </w:tcBorders>
            <w:tcMar>
              <w:left w:w="0" w:type="dxa"/>
              <w:right w:w="0" w:type="dxa"/>
            </w:tcMar>
          </w:tcPr>
          <w:p w14:paraId="2F13447D">
            <w:pPr>
              <w:widowControl/>
              <w:autoSpaceDE w:val="0"/>
              <w:autoSpaceDN w:val="0"/>
              <w:spacing w:before="296" w:after="0" w:line="116" w:lineRule="exact"/>
              <w:ind w:left="18" w:right="0" w:firstLine="0"/>
              <w:jc w:val="left"/>
            </w:pPr>
            <w:r>
              <w:rPr>
                <w:rFonts w:ascii="8GOHJyFf+SimSun" w:hAnsi="8GOHJyFf+SimSun" w:eastAsia="8GOHJyFf+SimSun"/>
                <w:color w:val="000000"/>
                <w:w w:val="104"/>
                <w:sz w:val="11"/>
              </w:rPr>
              <w:t xml:space="preserve">通过本次绩效自评工作，存在以下问题； </w:t>
            </w:r>
          </w:p>
          <w:p w14:paraId="2AF3DA96">
            <w:pPr>
              <w:widowControl/>
              <w:autoSpaceDE w:val="0"/>
              <w:autoSpaceDN w:val="0"/>
              <w:spacing w:before="0" w:after="0" w:line="142" w:lineRule="exact"/>
              <w:ind w:left="18" w:right="720" w:firstLine="0"/>
              <w:jc w:val="left"/>
            </w:pPr>
            <w:r>
              <w:rPr>
                <w:rFonts w:ascii="8GOHJyFf+SimSun" w:hAnsi="8GOHJyFf+SimSun" w:eastAsia="8GOHJyFf+SimSun"/>
                <w:color w:val="000000"/>
                <w:w w:val="104"/>
                <w:sz w:val="11"/>
              </w:rPr>
              <w:t xml:space="preserve">1.部门整体绩效目标未细化描述到三级指标，例如：（二）部门绩效目标的设立情况只写了一个大概的年度目标，具体目标未进行细化；2.项目推进跟踪管理不够紧，预算执行进度较慢，例如：群众信访工作经费全年资金执行进度2%。改进措施： </w:t>
            </w:r>
          </w:p>
          <w:p w14:paraId="72BF6835">
            <w:pPr>
              <w:widowControl/>
              <w:autoSpaceDE w:val="0"/>
              <w:autoSpaceDN w:val="0"/>
              <w:spacing w:before="0" w:after="0" w:line="144" w:lineRule="exact"/>
              <w:ind w:left="18" w:right="0" w:firstLine="0"/>
              <w:jc w:val="left"/>
            </w:pPr>
            <w:r>
              <w:rPr>
                <w:rFonts w:ascii="8GOHJyFf+SimSun" w:hAnsi="8GOHJyFf+SimSun" w:eastAsia="8GOHJyFf+SimSun"/>
                <w:color w:val="000000"/>
                <w:w w:val="104"/>
                <w:sz w:val="11"/>
              </w:rPr>
              <w:t>1.已完善部门整体绩效目标体系，补全层级结构。在系统整体自评“部门绩效目标的设立情况”中，重新梳理并填报。其中：部门总体目标概括本部门年度核心职责与总成果；年度绩效目标对应部门重点工作任务；体现设置了可量化、可考核的三级指标。</w:t>
            </w:r>
          </w:p>
          <w:p w14:paraId="6DF00328">
            <w:pPr>
              <w:widowControl/>
              <w:autoSpaceDE w:val="0"/>
              <w:autoSpaceDN w:val="0"/>
              <w:spacing w:before="28" w:after="0" w:line="114" w:lineRule="exact"/>
              <w:ind w:left="18" w:right="0" w:firstLine="0"/>
              <w:jc w:val="left"/>
            </w:pPr>
            <w:r>
              <w:rPr>
                <w:rFonts w:ascii="8GOHJyFf+SimSun" w:hAnsi="8GOHJyFf+SimSun" w:eastAsia="8GOHJyFf+SimSun"/>
                <w:color w:val="000000"/>
                <w:w w:val="104"/>
                <w:sz w:val="11"/>
              </w:rPr>
              <w:t>2.健全完善预算执行跟踪监测机制，督促预算执行进度较慢的科室加快预算执行，提升预算执行的质量，根据财政资金情况，提前规划下一年度要完成的具体工作及绩效指标；</w:t>
            </w:r>
          </w:p>
          <w:p w14:paraId="780EA251">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3.加强绩效目标管理，将预算执行和绩效目标落实与单位年度考核相结合，充分发挥考核指挥棒作用，促使科室采取必要措施，改进工作方法，确保如期完成年初制定的绩效目标。</w:t>
            </w:r>
          </w:p>
        </w:tc>
      </w:tr>
      <w:tr w14:paraId="3D7E2187">
        <w:tblPrEx>
          <w:tblCellMar>
            <w:top w:w="0" w:type="dxa"/>
            <w:left w:w="108" w:type="dxa"/>
            <w:bottom w:w="0" w:type="dxa"/>
            <w:right w:w="108" w:type="dxa"/>
          </w:tblCellMar>
        </w:tblPrEx>
        <w:trPr>
          <w:trHeight w:val="592" w:hRule="exact"/>
        </w:trPr>
        <w:tc>
          <w:tcPr>
            <w:tcW w:w="2092" w:type="dxa"/>
            <w:gridSpan w:val="3"/>
            <w:tcBorders>
              <w:top w:val="single" w:color="000000" w:sz="4" w:space="0"/>
              <w:left w:val="single" w:color="000000" w:sz="4" w:space="0"/>
              <w:bottom w:val="single" w:color="000000" w:sz="4" w:space="0"/>
              <w:right w:val="single" w:color="000000" w:sz="2" w:space="0"/>
            </w:tcBorders>
            <w:tcMar>
              <w:left w:w="0" w:type="dxa"/>
              <w:right w:w="0" w:type="dxa"/>
            </w:tcMar>
          </w:tcPr>
          <w:p w14:paraId="298B5F67">
            <w:pPr>
              <w:widowControl/>
              <w:autoSpaceDE w:val="0"/>
              <w:autoSpaceDN w:val="0"/>
              <w:spacing w:before="240" w:after="0" w:line="114" w:lineRule="exact"/>
              <w:ind w:left="18" w:right="0" w:firstLine="0"/>
              <w:jc w:val="left"/>
            </w:pPr>
            <w:r>
              <w:rPr>
                <w:rFonts w:ascii="8GOHJyFf+SimSun" w:hAnsi="8GOHJyFf+SimSun" w:eastAsia="8GOHJyFf+SimSun"/>
                <w:color w:val="000000"/>
                <w:w w:val="104"/>
                <w:sz w:val="11"/>
              </w:rPr>
              <w:t>五、绩效自评结果应用</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1964B27F">
            <w:pPr>
              <w:widowControl/>
              <w:autoSpaceDE w:val="0"/>
              <w:autoSpaceDN w:val="0"/>
              <w:spacing w:before="168" w:after="0" w:line="114" w:lineRule="exact"/>
              <w:ind w:left="0" w:right="0" w:firstLine="0"/>
              <w:jc w:val="center"/>
            </w:pPr>
            <w:r>
              <w:rPr>
                <w:rFonts w:ascii="8GOHJyFf+SimSun" w:hAnsi="8GOHJyFf+SimSun" w:eastAsia="8GOHJyFf+SimSun"/>
                <w:color w:val="000000"/>
                <w:w w:val="104"/>
                <w:sz w:val="11"/>
              </w:rPr>
              <w:t>针对我单位绩效自评中存在的问题，及时调整和优化本单位后续项目和以后年度预算支出的方向和结构，合理配置资源，推动重大政策和项目提效益、促改革、强质量，提高部门资源配置效率和财政资金使用效益。建立激励与约束机制，将绩效自评结</w:t>
            </w:r>
          </w:p>
          <w:p w14:paraId="37296F53">
            <w:pPr>
              <w:widowControl/>
              <w:autoSpaceDE w:val="0"/>
              <w:autoSpaceDN w:val="0"/>
              <w:spacing w:before="30" w:after="0" w:line="114" w:lineRule="exact"/>
              <w:ind w:left="18" w:right="0" w:firstLine="0"/>
              <w:jc w:val="left"/>
            </w:pPr>
            <w:r>
              <w:rPr>
                <w:rFonts w:ascii="8GOHJyFf+SimSun" w:hAnsi="8GOHJyFf+SimSun" w:eastAsia="8GOHJyFf+SimSun"/>
                <w:color w:val="000000"/>
                <w:w w:val="104"/>
                <w:sz w:val="11"/>
              </w:rPr>
              <w:t>果作为改进我单位预算管理和以后年度预算编制的重要依据。</w:t>
            </w:r>
          </w:p>
        </w:tc>
      </w:tr>
      <w:tr w14:paraId="1C3DA05E">
        <w:tblPrEx>
          <w:tblCellMar>
            <w:top w:w="0" w:type="dxa"/>
            <w:left w:w="108" w:type="dxa"/>
            <w:bottom w:w="0" w:type="dxa"/>
            <w:right w:w="108" w:type="dxa"/>
          </w:tblCellMar>
        </w:tblPrEx>
        <w:trPr>
          <w:trHeight w:val="1170" w:hRule="exact"/>
        </w:trPr>
        <w:tc>
          <w:tcPr>
            <w:tcW w:w="2092" w:type="dxa"/>
            <w:gridSpan w:val="3"/>
            <w:tcBorders>
              <w:top w:val="single" w:color="000000" w:sz="4" w:space="0"/>
              <w:left w:val="single" w:color="000000" w:sz="4" w:space="0"/>
              <w:bottom w:val="single" w:color="000000" w:sz="4" w:space="0"/>
              <w:right w:val="single" w:color="000000" w:sz="2" w:space="0"/>
            </w:tcBorders>
            <w:tcMar>
              <w:left w:w="0" w:type="dxa"/>
              <w:right w:w="0" w:type="dxa"/>
            </w:tcMar>
          </w:tcPr>
          <w:p w14:paraId="6E9B0E9E">
            <w:pPr>
              <w:widowControl/>
              <w:autoSpaceDE w:val="0"/>
              <w:autoSpaceDN w:val="0"/>
              <w:spacing w:before="530" w:after="0" w:line="116" w:lineRule="exact"/>
              <w:ind w:left="18" w:right="0" w:firstLine="0"/>
              <w:jc w:val="left"/>
            </w:pPr>
            <w:r>
              <w:rPr>
                <w:rFonts w:ascii="8GOHJyFf+SimSun" w:hAnsi="8GOHJyFf+SimSun" w:eastAsia="8GOHJyFf+SimSun"/>
                <w:color w:val="000000"/>
                <w:w w:val="104"/>
                <w:sz w:val="11"/>
              </w:rPr>
              <w:t>六、主要经验及做法</w:t>
            </w:r>
          </w:p>
        </w:tc>
        <w:tc>
          <w:tcPr>
            <w:tcW w:w="12780" w:type="dxa"/>
            <w:tcBorders>
              <w:top w:val="single" w:color="000000" w:sz="4" w:space="0"/>
              <w:left w:val="single" w:color="000000" w:sz="2" w:space="0"/>
              <w:bottom w:val="single" w:color="000000" w:sz="4" w:space="0"/>
              <w:right w:val="single" w:color="000000" w:sz="2" w:space="0"/>
            </w:tcBorders>
            <w:tcMar>
              <w:left w:w="0" w:type="dxa"/>
              <w:right w:w="0" w:type="dxa"/>
            </w:tcMar>
          </w:tcPr>
          <w:p w14:paraId="4FF4EDBF">
            <w:pPr>
              <w:widowControl/>
              <w:autoSpaceDE w:val="0"/>
              <w:autoSpaceDN w:val="0"/>
              <w:spacing w:before="146" w:after="0" w:line="142" w:lineRule="exact"/>
              <w:ind w:left="18" w:right="0" w:firstLine="0"/>
              <w:jc w:val="left"/>
            </w:pPr>
            <w:r>
              <w:rPr>
                <w:rFonts w:ascii="8GOHJyFf+SimSun" w:hAnsi="8GOHJyFf+SimSun" w:eastAsia="8GOHJyFf+SimSun"/>
                <w:color w:val="000000"/>
                <w:w w:val="104"/>
                <w:sz w:val="11"/>
              </w:rPr>
              <w:t xml:space="preserve">1.本次部门整体支出绩效自评，主要是根据国家、省、市、区级相关法律法规和规定进行。切实结合单位实际工作任务完成情况，据实反映单位绩效管理水平，突出部门预算绩效全周期管理，做到预算立项可靠、目标设定科学、运行监控持续、监督自查有力、结果应用合理。 </w:t>
            </w:r>
          </w:p>
          <w:p w14:paraId="30B95EA0">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 xml:space="preserve">2.自评完成后对自评结果进行反馈，根据反馈结果进行任务分解，把整改落实任务细分到各个业务科室。各业务科室均按期进行整改，并上报评价结果落实整改情况。 </w:t>
            </w:r>
          </w:p>
          <w:p w14:paraId="212C6718">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3.根据新形势和新要求，不断完善单位各项预算管理制度。</w:t>
            </w:r>
          </w:p>
          <w:p w14:paraId="696949F1">
            <w:pPr>
              <w:widowControl/>
              <w:autoSpaceDE w:val="0"/>
              <w:autoSpaceDN w:val="0"/>
              <w:spacing w:before="28" w:after="0" w:line="116" w:lineRule="exact"/>
              <w:ind w:left="18" w:right="0" w:firstLine="0"/>
              <w:jc w:val="left"/>
            </w:pPr>
            <w:r>
              <w:rPr>
                <w:rFonts w:ascii="8GOHJyFf+SimSun" w:hAnsi="8GOHJyFf+SimSun" w:eastAsia="8GOHJyFf+SimSun"/>
                <w:color w:val="000000"/>
                <w:w w:val="104"/>
                <w:sz w:val="11"/>
              </w:rPr>
              <w:t xml:space="preserve">4.强化预算管理，事前必编预算，控制经费使用，使用必问绩效，将绩效管理贯穿于预算编制、执行及决算等环节。 </w:t>
            </w:r>
          </w:p>
          <w:p w14:paraId="74BC2D3F">
            <w:pPr>
              <w:widowControl/>
              <w:autoSpaceDE w:val="0"/>
              <w:autoSpaceDN w:val="0"/>
              <w:spacing w:before="26" w:after="0" w:line="116" w:lineRule="exact"/>
              <w:ind w:left="18" w:right="0" w:firstLine="0"/>
              <w:jc w:val="left"/>
            </w:pPr>
            <w:r>
              <w:rPr>
                <w:rFonts w:ascii="8GOHJyFf+SimSun" w:hAnsi="8GOHJyFf+SimSun" w:eastAsia="8GOHJyFf+SimSun"/>
                <w:color w:val="000000"/>
                <w:w w:val="104"/>
                <w:sz w:val="11"/>
              </w:rPr>
              <w:t xml:space="preserve"> 下一步我单位将进一步提高预算绩效整体目标和具体指标编制的科学性、完整性、全局性、代表性和可执行性，进一步提高部门预算绩效管理水平。</w:t>
            </w:r>
          </w:p>
        </w:tc>
      </w:tr>
      <w:tr w14:paraId="506E4D70">
        <w:tblPrEx>
          <w:tblCellMar>
            <w:top w:w="0" w:type="dxa"/>
            <w:left w:w="108" w:type="dxa"/>
            <w:bottom w:w="0" w:type="dxa"/>
            <w:right w:w="108" w:type="dxa"/>
          </w:tblCellMar>
        </w:tblPrEx>
        <w:trPr>
          <w:trHeight w:val="410" w:hRule="exact"/>
        </w:trPr>
        <w:tc>
          <w:tcPr>
            <w:tcW w:w="2092" w:type="dxa"/>
            <w:gridSpan w:val="3"/>
            <w:tcBorders>
              <w:top w:val="single" w:color="000000" w:sz="4" w:space="0"/>
              <w:left w:val="single" w:color="000000" w:sz="4" w:space="0"/>
              <w:bottom w:val="single" w:color="000000" w:sz="2" w:space="0"/>
              <w:right w:val="single" w:color="000000" w:sz="2" w:space="0"/>
            </w:tcBorders>
            <w:tcMar>
              <w:left w:w="0" w:type="dxa"/>
              <w:right w:w="0" w:type="dxa"/>
            </w:tcMar>
          </w:tcPr>
          <w:p w14:paraId="49796C95">
            <w:pPr>
              <w:widowControl/>
              <w:autoSpaceDE w:val="0"/>
              <w:autoSpaceDN w:val="0"/>
              <w:spacing w:before="160" w:after="0" w:line="114" w:lineRule="exact"/>
              <w:ind w:left="18" w:right="0" w:firstLine="0"/>
              <w:jc w:val="left"/>
            </w:pPr>
            <w:r>
              <w:rPr>
                <w:rFonts w:ascii="8GOHJyFf+SimSun" w:hAnsi="8GOHJyFf+SimSun" w:eastAsia="8GOHJyFf+SimSun"/>
                <w:color w:val="000000"/>
                <w:w w:val="104"/>
                <w:sz w:val="11"/>
              </w:rPr>
              <w:t>七、其他需说明的情况</w:t>
            </w:r>
          </w:p>
        </w:tc>
        <w:tc>
          <w:tcPr>
            <w:tcW w:w="12780" w:type="dxa"/>
            <w:tcBorders>
              <w:top w:val="single" w:color="000000" w:sz="4" w:space="0"/>
              <w:left w:val="single" w:color="000000" w:sz="2" w:space="0"/>
              <w:bottom w:val="single" w:color="000000" w:sz="2" w:space="0"/>
              <w:right w:val="single" w:color="000000" w:sz="2" w:space="0"/>
            </w:tcBorders>
            <w:tcMar>
              <w:left w:w="0" w:type="dxa"/>
              <w:right w:w="0" w:type="dxa"/>
            </w:tcMar>
          </w:tcPr>
          <w:p w14:paraId="7A538D36">
            <w:pPr>
              <w:widowControl/>
              <w:autoSpaceDE w:val="0"/>
              <w:autoSpaceDN w:val="0"/>
              <w:spacing w:before="160" w:after="0" w:line="114" w:lineRule="exact"/>
              <w:ind w:left="18" w:right="0" w:firstLine="0"/>
              <w:jc w:val="left"/>
            </w:pPr>
            <w:r>
              <w:rPr>
                <w:rFonts w:ascii="8GOHJyFf+SimSun" w:hAnsi="8GOHJyFf+SimSun" w:eastAsia="8GOHJyFf+SimSun"/>
                <w:color w:val="000000"/>
                <w:w w:val="104"/>
                <w:sz w:val="11"/>
              </w:rPr>
              <w:t>无。</w:t>
            </w:r>
          </w:p>
        </w:tc>
      </w:tr>
    </w:tbl>
    <w:p w14:paraId="18000553">
      <w:pPr>
        <w:widowControl/>
        <w:autoSpaceDE w:val="0"/>
        <w:autoSpaceDN w:val="0"/>
        <w:spacing w:before="0" w:after="0" w:line="14" w:lineRule="exact"/>
        <w:ind w:left="0" w:right="0"/>
      </w:pPr>
    </w:p>
    <w:p w14:paraId="5FB0090B">
      <w:pPr>
        <w:sectPr>
          <w:pgSz w:w="16837" w:h="11905"/>
          <w:pgMar w:top="724" w:right="1308" w:bottom="1156" w:left="628" w:header="720" w:footer="720" w:gutter="0"/>
          <w:cols w:equalWidth="0" w:num="1">
            <w:col w:w="14900"/>
          </w:cols>
          <w:docGrid w:linePitch="360" w:charSpace="0"/>
        </w:sectPr>
      </w:pPr>
    </w:p>
    <w:p w14:paraId="3E15607A">
      <w:pPr>
        <w:widowControl/>
        <w:autoSpaceDE w:val="0"/>
        <w:autoSpaceDN w:val="0"/>
        <w:spacing w:before="60"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64"/>
        <w:gridCol w:w="1512"/>
        <w:gridCol w:w="2556"/>
        <w:gridCol w:w="5424"/>
        <w:gridCol w:w="2568"/>
        <w:gridCol w:w="1800"/>
      </w:tblGrid>
      <w:tr w14:paraId="0FF7D185">
        <w:tblPrEx>
          <w:tblCellMar>
            <w:top w:w="0" w:type="dxa"/>
            <w:left w:w="108" w:type="dxa"/>
            <w:bottom w:w="0" w:type="dxa"/>
            <w:right w:w="108" w:type="dxa"/>
          </w:tblCellMar>
        </w:tblPrEx>
        <w:trPr>
          <w:trHeight w:val="906" w:hRule="exact"/>
        </w:trPr>
        <w:tc>
          <w:tcPr>
            <w:tcW w:w="14724" w:type="dxa"/>
            <w:gridSpan w:val="6"/>
            <w:tcBorders>
              <w:top w:val="single" w:color="000000" w:sz="4" w:space="0"/>
              <w:left w:val="single" w:color="000000" w:sz="6" w:space="0"/>
              <w:bottom w:val="single" w:color="000000" w:sz="4" w:space="0"/>
              <w:right w:val="single" w:color="000000" w:sz="6" w:space="0"/>
            </w:tcBorders>
            <w:tcMar>
              <w:left w:w="0" w:type="dxa"/>
              <w:right w:w="0" w:type="dxa"/>
            </w:tcMar>
          </w:tcPr>
          <w:p w14:paraId="2C7EAC93">
            <w:pPr>
              <w:widowControl/>
              <w:autoSpaceDE w:val="0"/>
              <w:autoSpaceDN w:val="0"/>
              <w:spacing w:before="274" w:after="0" w:line="382" w:lineRule="exact"/>
              <w:ind w:left="0" w:right="0" w:firstLine="0"/>
              <w:jc w:val="center"/>
            </w:pPr>
            <w:r>
              <w:rPr>
                <w:rFonts w:ascii="8GOHJyFf+SimSun" w:hAnsi="8GOHJyFf+SimSun" w:eastAsia="8GOHJyFf+SimSun"/>
                <w:color w:val="000000"/>
                <w:sz w:val="38"/>
              </w:rPr>
              <w:t>部门整体支出绩效自评表</w:t>
            </w:r>
          </w:p>
        </w:tc>
      </w:tr>
      <w:tr w14:paraId="0A752B5A">
        <w:tblPrEx>
          <w:tblCellMar>
            <w:top w:w="0" w:type="dxa"/>
            <w:left w:w="108" w:type="dxa"/>
            <w:bottom w:w="0" w:type="dxa"/>
            <w:right w:w="108" w:type="dxa"/>
          </w:tblCellMar>
        </w:tblPrEx>
        <w:trPr>
          <w:trHeight w:val="434" w:hRule="exact"/>
        </w:trPr>
        <w:tc>
          <w:tcPr>
            <w:tcW w:w="864" w:type="dxa"/>
            <w:tcBorders>
              <w:top w:val="single" w:color="000000" w:sz="4" w:space="0"/>
              <w:left w:val="single" w:color="000000" w:sz="6" w:space="0"/>
              <w:bottom w:val="single" w:color="000000" w:sz="6" w:space="0"/>
              <w:right w:val="single" w:color="000000" w:sz="6" w:space="0"/>
            </w:tcBorders>
            <w:tcMar>
              <w:left w:w="0" w:type="dxa"/>
              <w:right w:w="0" w:type="dxa"/>
            </w:tcMar>
          </w:tcPr>
          <w:p w14:paraId="602483A9">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目标</w:t>
            </w:r>
          </w:p>
        </w:tc>
        <w:tc>
          <w:tcPr>
            <w:tcW w:w="1512" w:type="dxa"/>
            <w:tcBorders>
              <w:top w:val="single" w:color="000000" w:sz="4" w:space="0"/>
              <w:left w:val="single" w:color="000000" w:sz="6" w:space="0"/>
              <w:bottom w:val="single" w:color="000000" w:sz="6" w:space="0"/>
              <w:right w:val="single" w:color="000000" w:sz="6" w:space="0"/>
            </w:tcBorders>
            <w:tcMar>
              <w:left w:w="0" w:type="dxa"/>
              <w:right w:w="0" w:type="dxa"/>
            </w:tcMar>
          </w:tcPr>
          <w:p w14:paraId="3A358075">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任务名称</w:t>
            </w:r>
          </w:p>
        </w:tc>
        <w:tc>
          <w:tcPr>
            <w:tcW w:w="2556" w:type="dxa"/>
            <w:tcBorders>
              <w:top w:val="single" w:color="000000" w:sz="4" w:space="0"/>
              <w:left w:val="single" w:color="000000" w:sz="6" w:space="0"/>
              <w:bottom w:val="single" w:color="000000" w:sz="6" w:space="0"/>
              <w:right w:val="single" w:color="000000" w:sz="6" w:space="0"/>
            </w:tcBorders>
            <w:tcMar>
              <w:left w:w="0" w:type="dxa"/>
              <w:right w:w="0" w:type="dxa"/>
            </w:tcMar>
          </w:tcPr>
          <w:p w14:paraId="62FC9515">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编制预算时提出的的任务措施</w:t>
            </w:r>
          </w:p>
        </w:tc>
        <w:tc>
          <w:tcPr>
            <w:tcW w:w="5424" w:type="dxa"/>
            <w:tcBorders>
              <w:top w:val="single" w:color="000000" w:sz="4" w:space="0"/>
              <w:left w:val="single" w:color="000000" w:sz="6" w:space="0"/>
              <w:bottom w:val="single" w:color="000000" w:sz="6" w:space="0"/>
              <w:right w:val="single" w:color="000000" w:sz="6" w:space="0"/>
            </w:tcBorders>
            <w:tcMar>
              <w:left w:w="0" w:type="dxa"/>
              <w:right w:w="0" w:type="dxa"/>
            </w:tcMar>
          </w:tcPr>
          <w:p w14:paraId="34DB43F6">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绩效指标实际执行情况</w:t>
            </w:r>
          </w:p>
        </w:tc>
        <w:tc>
          <w:tcPr>
            <w:tcW w:w="2568" w:type="dxa"/>
            <w:tcBorders>
              <w:top w:val="single" w:color="000000" w:sz="4" w:space="0"/>
              <w:left w:val="single" w:color="000000" w:sz="6" w:space="0"/>
              <w:bottom w:val="single" w:color="000000" w:sz="6" w:space="0"/>
              <w:right w:val="single" w:color="000000" w:sz="6" w:space="0"/>
            </w:tcBorders>
            <w:tcMar>
              <w:left w:w="0" w:type="dxa"/>
              <w:right w:w="0" w:type="dxa"/>
            </w:tcMar>
          </w:tcPr>
          <w:p w14:paraId="0FA33BC9">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执行情况与年初预算的对比</w:t>
            </w:r>
          </w:p>
        </w:tc>
        <w:tc>
          <w:tcPr>
            <w:tcW w:w="1800" w:type="dxa"/>
            <w:tcBorders>
              <w:top w:val="single" w:color="000000" w:sz="4" w:space="0"/>
              <w:left w:val="single" w:color="000000" w:sz="6" w:space="0"/>
              <w:bottom w:val="single" w:color="000000" w:sz="6" w:space="0"/>
              <w:right w:val="single" w:color="000000" w:sz="6" w:space="0"/>
            </w:tcBorders>
            <w:tcMar>
              <w:left w:w="0" w:type="dxa"/>
              <w:right w:w="0" w:type="dxa"/>
            </w:tcMar>
          </w:tcPr>
          <w:p w14:paraId="00F2CBD0">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相关情况说明</w:t>
            </w:r>
          </w:p>
        </w:tc>
      </w:tr>
      <w:tr w14:paraId="35CE8840">
        <w:tblPrEx>
          <w:tblCellMar>
            <w:top w:w="0" w:type="dxa"/>
            <w:left w:w="108" w:type="dxa"/>
            <w:bottom w:w="0" w:type="dxa"/>
            <w:right w:w="108" w:type="dxa"/>
          </w:tblCellMar>
        </w:tblPrEx>
        <w:trPr>
          <w:trHeight w:val="476" w:hRule="exact"/>
        </w:trPr>
        <w:tc>
          <w:tcPr>
            <w:tcW w:w="864" w:type="dxa"/>
            <w:vMerge w:val="restart"/>
            <w:tcBorders>
              <w:top w:val="single" w:color="000000" w:sz="6" w:space="0"/>
              <w:left w:val="single" w:color="000000" w:sz="6" w:space="0"/>
              <w:bottom w:val="single" w:color="000000" w:sz="4" w:space="0"/>
              <w:right w:val="single" w:color="000000" w:sz="6" w:space="0"/>
            </w:tcBorders>
            <w:tcMar>
              <w:left w:w="0" w:type="dxa"/>
              <w:right w:w="0" w:type="dxa"/>
            </w:tcMar>
          </w:tcPr>
          <w:p w14:paraId="121B951F">
            <w:pPr>
              <w:widowControl/>
              <w:autoSpaceDE w:val="0"/>
              <w:autoSpaceDN w:val="0"/>
              <w:spacing w:before="1232" w:after="0" w:line="160" w:lineRule="exact"/>
              <w:ind w:left="0" w:right="0" w:firstLine="0"/>
              <w:jc w:val="center"/>
            </w:pPr>
            <w:r>
              <w:rPr>
                <w:rFonts w:ascii="8GOHJyFf+SimSun" w:hAnsi="8GOHJyFf+SimSun" w:eastAsia="8GOHJyFf+SimSun"/>
                <w:color w:val="000000"/>
                <w:sz w:val="16"/>
              </w:rPr>
              <w:t>履职效益明</w:t>
            </w:r>
          </w:p>
          <w:p w14:paraId="1FAF740C">
            <w:pPr>
              <w:widowControl/>
              <w:autoSpaceDE w:val="0"/>
              <w:autoSpaceDN w:val="0"/>
              <w:spacing w:before="40" w:after="0" w:line="160" w:lineRule="exact"/>
              <w:ind w:left="0" w:right="0" w:firstLine="0"/>
              <w:jc w:val="center"/>
            </w:pPr>
            <w:r>
              <w:rPr>
                <w:rFonts w:ascii="8GOHJyFf+SimSun" w:hAnsi="8GOHJyFf+SimSun" w:eastAsia="8GOHJyFf+SimSun"/>
                <w:color w:val="000000"/>
                <w:sz w:val="16"/>
              </w:rPr>
              <w:t>显</w:t>
            </w:r>
          </w:p>
        </w:tc>
        <w:tc>
          <w:tcPr>
            <w:tcW w:w="1512" w:type="dxa"/>
            <w:tcBorders>
              <w:top w:val="single" w:color="000000" w:sz="6" w:space="0"/>
              <w:left w:val="single" w:color="000000" w:sz="6" w:space="0"/>
              <w:bottom w:val="single" w:color="000000" w:sz="4" w:space="0"/>
              <w:right w:val="single" w:color="000000" w:sz="6" w:space="0"/>
            </w:tcBorders>
            <w:tcMar>
              <w:left w:w="0" w:type="dxa"/>
              <w:right w:w="0" w:type="dxa"/>
            </w:tcMar>
          </w:tcPr>
          <w:p w14:paraId="42196D63">
            <w:pPr>
              <w:widowControl/>
              <w:autoSpaceDE w:val="0"/>
              <w:autoSpaceDN w:val="0"/>
              <w:spacing w:before="160" w:after="0" w:line="160" w:lineRule="exact"/>
              <w:ind w:left="0" w:right="0" w:firstLine="0"/>
              <w:jc w:val="center"/>
            </w:pPr>
            <w:r>
              <w:rPr>
                <w:rFonts w:ascii="8GOHJyFf+SimSun" w:hAnsi="8GOHJyFf+SimSun" w:eastAsia="8GOHJyFf+SimSun"/>
                <w:color w:val="000000"/>
                <w:sz w:val="16"/>
              </w:rPr>
              <w:t>经济效益</w:t>
            </w:r>
          </w:p>
        </w:tc>
        <w:tc>
          <w:tcPr>
            <w:tcW w:w="2556" w:type="dxa"/>
            <w:tcBorders>
              <w:top w:val="single" w:color="000000" w:sz="6" w:space="0"/>
              <w:left w:val="single" w:color="000000" w:sz="6" w:space="0"/>
              <w:bottom w:val="single" w:color="000000" w:sz="4" w:space="0"/>
              <w:right w:val="single" w:color="000000" w:sz="6" w:space="0"/>
            </w:tcBorders>
            <w:tcMar>
              <w:left w:w="0" w:type="dxa"/>
              <w:right w:w="0" w:type="dxa"/>
            </w:tcMar>
          </w:tcPr>
          <w:p w14:paraId="5C32DBA4">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c>
          <w:tcPr>
            <w:tcW w:w="5424" w:type="dxa"/>
            <w:tcBorders>
              <w:top w:val="single" w:color="000000" w:sz="6" w:space="0"/>
              <w:left w:val="single" w:color="000000" w:sz="6" w:space="0"/>
              <w:bottom w:val="single" w:color="000000" w:sz="4" w:space="0"/>
              <w:right w:val="single" w:color="000000" w:sz="6" w:space="0"/>
            </w:tcBorders>
            <w:tcMar>
              <w:left w:w="0" w:type="dxa"/>
              <w:right w:w="0" w:type="dxa"/>
            </w:tcMar>
          </w:tcPr>
          <w:p w14:paraId="298BCFC8">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c>
          <w:tcPr>
            <w:tcW w:w="2568" w:type="dxa"/>
            <w:tcBorders>
              <w:top w:val="single" w:color="000000" w:sz="6" w:space="0"/>
              <w:left w:val="single" w:color="000000" w:sz="6" w:space="0"/>
              <w:bottom w:val="single" w:color="000000" w:sz="4" w:space="0"/>
              <w:right w:val="single" w:color="000000" w:sz="6" w:space="0"/>
            </w:tcBorders>
            <w:tcMar>
              <w:left w:w="0" w:type="dxa"/>
              <w:right w:w="0" w:type="dxa"/>
            </w:tcMar>
          </w:tcPr>
          <w:p w14:paraId="3DE0BFF7">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c>
          <w:tcPr>
            <w:tcW w:w="1800" w:type="dxa"/>
            <w:tcBorders>
              <w:top w:val="single" w:color="000000" w:sz="6" w:space="0"/>
              <w:left w:val="single" w:color="000000" w:sz="6" w:space="0"/>
              <w:bottom w:val="single" w:color="000000" w:sz="4" w:space="0"/>
              <w:right w:val="single" w:color="000000" w:sz="6" w:space="0"/>
            </w:tcBorders>
            <w:tcMar>
              <w:left w:w="0" w:type="dxa"/>
              <w:right w:w="0" w:type="dxa"/>
            </w:tcMar>
          </w:tcPr>
          <w:p w14:paraId="5B64246F">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34FA3E3C">
        <w:tblPrEx>
          <w:tblCellMar>
            <w:top w:w="0" w:type="dxa"/>
            <w:left w:w="108" w:type="dxa"/>
            <w:bottom w:w="0" w:type="dxa"/>
            <w:right w:w="108" w:type="dxa"/>
          </w:tblCellMar>
        </w:tblPrEx>
        <w:trPr>
          <w:trHeight w:val="900" w:hRule="exact"/>
        </w:trPr>
        <w:tc>
          <w:tcPr>
            <w:tcW w:w="2460" w:type="dxa"/>
            <w:vMerge w:val="continue"/>
            <w:tcBorders>
              <w:top w:val="single" w:color="000000" w:sz="6" w:space="0"/>
              <w:left w:val="single" w:color="000000" w:sz="6" w:space="0"/>
              <w:bottom w:val="single" w:color="000000" w:sz="4" w:space="0"/>
              <w:right w:val="single" w:color="000000" w:sz="6" w:space="0"/>
            </w:tcBorders>
          </w:tcPr>
          <w:p w14:paraId="39A26F02"/>
        </w:tc>
        <w:tc>
          <w:tcPr>
            <w:tcW w:w="1512" w:type="dxa"/>
            <w:tcBorders>
              <w:top w:val="single" w:color="000000" w:sz="4" w:space="0"/>
              <w:left w:val="single" w:color="000000" w:sz="6" w:space="0"/>
              <w:bottom w:val="single" w:color="000000" w:sz="4" w:space="0"/>
              <w:right w:val="single" w:color="000000" w:sz="6" w:space="0"/>
            </w:tcBorders>
            <w:tcMar>
              <w:left w:w="0" w:type="dxa"/>
              <w:right w:w="0" w:type="dxa"/>
            </w:tcMar>
          </w:tcPr>
          <w:p w14:paraId="18081440">
            <w:pPr>
              <w:widowControl/>
              <w:autoSpaceDE w:val="0"/>
              <w:autoSpaceDN w:val="0"/>
              <w:spacing w:before="374" w:after="0" w:line="160" w:lineRule="exact"/>
              <w:ind w:left="0" w:right="0" w:firstLine="0"/>
              <w:jc w:val="center"/>
            </w:pPr>
            <w:r>
              <w:rPr>
                <w:rFonts w:ascii="8GOHJyFf+SimSun" w:hAnsi="8GOHJyFf+SimSun" w:eastAsia="8GOHJyFf+SimSun"/>
                <w:color w:val="000000"/>
                <w:sz w:val="16"/>
              </w:rPr>
              <w:t>社会效益</w:t>
            </w:r>
          </w:p>
        </w:tc>
        <w:tc>
          <w:tcPr>
            <w:tcW w:w="2556" w:type="dxa"/>
            <w:tcBorders>
              <w:top w:val="single" w:color="000000" w:sz="4" w:space="0"/>
              <w:left w:val="single" w:color="000000" w:sz="6" w:space="0"/>
              <w:bottom w:val="single" w:color="000000" w:sz="4" w:space="0"/>
              <w:right w:val="single" w:color="000000" w:sz="6" w:space="0"/>
            </w:tcBorders>
            <w:tcMar>
              <w:left w:w="0" w:type="dxa"/>
              <w:right w:w="0" w:type="dxa"/>
            </w:tcMar>
          </w:tcPr>
          <w:p w14:paraId="7F037312">
            <w:pPr>
              <w:widowControl/>
              <w:autoSpaceDE w:val="0"/>
              <w:autoSpaceDN w:val="0"/>
              <w:spacing w:before="0" w:after="0" w:line="196" w:lineRule="exact"/>
              <w:ind w:left="24" w:right="124" w:firstLine="0"/>
              <w:jc w:val="both"/>
            </w:pPr>
            <w:r>
              <w:rPr>
                <w:rFonts w:ascii="8GOHJyFf+SimSun" w:hAnsi="8GOHJyFf+SimSun" w:eastAsia="8GOHJyFf+SimSun"/>
                <w:color w:val="000000"/>
                <w:sz w:val="16"/>
              </w:rPr>
              <w:t>1.项目执行效益评价效果显著；2.通过加强信访预防预警、配合落实帮扶措施效果显著。</w:t>
            </w:r>
          </w:p>
        </w:tc>
        <w:tc>
          <w:tcPr>
            <w:tcW w:w="5424" w:type="dxa"/>
            <w:tcBorders>
              <w:top w:val="single" w:color="000000" w:sz="4" w:space="0"/>
              <w:left w:val="single" w:color="000000" w:sz="6" w:space="0"/>
              <w:bottom w:val="single" w:color="000000" w:sz="4" w:space="0"/>
              <w:right w:val="single" w:color="000000" w:sz="6" w:space="0"/>
            </w:tcBorders>
            <w:tcMar>
              <w:left w:w="0" w:type="dxa"/>
              <w:right w:w="0" w:type="dxa"/>
            </w:tcMar>
          </w:tcPr>
          <w:p w14:paraId="551A5506">
            <w:pPr>
              <w:widowControl/>
              <w:autoSpaceDE w:val="0"/>
              <w:autoSpaceDN w:val="0"/>
              <w:spacing w:before="0" w:after="0" w:line="198" w:lineRule="exact"/>
              <w:ind w:left="24" w:right="126" w:firstLine="0"/>
              <w:jc w:val="both"/>
            </w:pPr>
            <w:r>
              <w:rPr>
                <w:rFonts w:ascii="8GOHJyFf+SimSun" w:hAnsi="8GOHJyFf+SimSun" w:eastAsia="8GOHJyFf+SimSun"/>
                <w:color w:val="000000"/>
                <w:sz w:val="16"/>
              </w:rPr>
              <w:t>基本支出社会效益指标已完成，执行情况100%；项目支出中信访应急处置经费、信访信息系统工作经费、群众信访工作经费的社会效益指标已完成，对特殊疑难信访事项、对信访人进行救助的问题得到化解，有效解决了上访群众合理诉求，信访信息系统办理效果显著。</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69566934">
            <w:pPr>
              <w:widowControl/>
              <w:autoSpaceDE w:val="0"/>
              <w:autoSpaceDN w:val="0"/>
              <w:spacing w:before="36" w:after="0" w:line="160" w:lineRule="exact"/>
              <w:ind w:left="24" w:right="0" w:firstLine="0"/>
              <w:jc w:val="left"/>
            </w:pPr>
            <w:r>
              <w:rPr>
                <w:rFonts w:ascii="8GOHJyFf+SimSun" w:hAnsi="8GOHJyFf+SimSun" w:eastAsia="8GOHJyFf+SimSun"/>
                <w:color w:val="000000"/>
                <w:sz w:val="16"/>
              </w:rPr>
              <w:t>按年初预算工作计划完成。</w:t>
            </w:r>
          </w:p>
        </w:tc>
        <w:tc>
          <w:tcPr>
            <w:tcW w:w="1800" w:type="dxa"/>
            <w:tcBorders>
              <w:top w:val="single" w:color="000000" w:sz="4" w:space="0"/>
              <w:left w:val="single" w:color="000000" w:sz="6" w:space="0"/>
              <w:bottom w:val="single" w:color="000000" w:sz="4" w:space="0"/>
              <w:right w:val="single" w:color="000000" w:sz="6" w:space="0"/>
            </w:tcBorders>
            <w:tcMar>
              <w:left w:w="0" w:type="dxa"/>
              <w:right w:w="0" w:type="dxa"/>
            </w:tcMar>
          </w:tcPr>
          <w:p w14:paraId="029BAA92">
            <w:pPr>
              <w:widowControl/>
              <w:autoSpaceDE w:val="0"/>
              <w:autoSpaceDN w:val="0"/>
              <w:spacing w:before="36" w:after="0" w:line="160" w:lineRule="exact"/>
              <w:ind w:left="24" w:right="0" w:firstLine="0"/>
              <w:jc w:val="left"/>
            </w:pPr>
            <w:r>
              <w:rPr>
                <w:rFonts w:ascii="8GOHJyFf+SimSun" w:hAnsi="8GOHJyFf+SimSun" w:eastAsia="8GOHJyFf+SimSun"/>
                <w:color w:val="000000"/>
                <w:sz w:val="16"/>
              </w:rPr>
              <w:t>根据工作计划和实际情</w:t>
            </w:r>
          </w:p>
          <w:p w14:paraId="79F40297">
            <w:pPr>
              <w:widowControl/>
              <w:autoSpaceDE w:val="0"/>
              <w:autoSpaceDN w:val="0"/>
              <w:spacing w:before="38" w:after="0" w:line="160" w:lineRule="exact"/>
              <w:ind w:left="24" w:right="0" w:firstLine="0"/>
              <w:jc w:val="left"/>
            </w:pPr>
            <w:r>
              <w:rPr>
                <w:rFonts w:ascii="8GOHJyFf+SimSun" w:hAnsi="8GOHJyFf+SimSun" w:eastAsia="8GOHJyFf+SimSun"/>
                <w:color w:val="000000"/>
                <w:sz w:val="16"/>
              </w:rPr>
              <w:t>况开展工作。</w:t>
            </w:r>
          </w:p>
        </w:tc>
      </w:tr>
      <w:tr w14:paraId="2043405B">
        <w:tblPrEx>
          <w:tblCellMar>
            <w:top w:w="0" w:type="dxa"/>
            <w:left w:w="108" w:type="dxa"/>
            <w:bottom w:w="0" w:type="dxa"/>
            <w:right w:w="108" w:type="dxa"/>
          </w:tblCellMar>
        </w:tblPrEx>
        <w:trPr>
          <w:trHeight w:val="360" w:hRule="exact"/>
        </w:trPr>
        <w:tc>
          <w:tcPr>
            <w:tcW w:w="2460" w:type="dxa"/>
            <w:vMerge w:val="continue"/>
            <w:tcBorders>
              <w:top w:val="single" w:color="000000" w:sz="6" w:space="0"/>
              <w:left w:val="single" w:color="000000" w:sz="6" w:space="0"/>
              <w:bottom w:val="single" w:color="000000" w:sz="4" w:space="0"/>
              <w:right w:val="single" w:color="000000" w:sz="6" w:space="0"/>
            </w:tcBorders>
          </w:tcPr>
          <w:p w14:paraId="4C85E949"/>
        </w:tc>
        <w:tc>
          <w:tcPr>
            <w:tcW w:w="1512" w:type="dxa"/>
            <w:tcBorders>
              <w:top w:val="single" w:color="000000" w:sz="4" w:space="0"/>
              <w:left w:val="single" w:color="000000" w:sz="6" w:space="0"/>
              <w:bottom w:val="single" w:color="000000" w:sz="4" w:space="0"/>
              <w:right w:val="single" w:color="000000" w:sz="6" w:space="0"/>
            </w:tcBorders>
            <w:tcMar>
              <w:left w:w="0" w:type="dxa"/>
              <w:right w:w="0" w:type="dxa"/>
            </w:tcMar>
          </w:tcPr>
          <w:p w14:paraId="0E0AD199">
            <w:pPr>
              <w:widowControl/>
              <w:autoSpaceDE w:val="0"/>
              <w:autoSpaceDN w:val="0"/>
              <w:spacing w:before="106" w:after="0" w:line="160" w:lineRule="exact"/>
              <w:ind w:left="0" w:right="0" w:firstLine="0"/>
              <w:jc w:val="center"/>
            </w:pPr>
            <w:r>
              <w:rPr>
                <w:rFonts w:ascii="8GOHJyFf+SimSun" w:hAnsi="8GOHJyFf+SimSun" w:eastAsia="8GOHJyFf+SimSun"/>
                <w:color w:val="000000"/>
                <w:sz w:val="16"/>
              </w:rPr>
              <w:t>生态效益</w:t>
            </w:r>
          </w:p>
        </w:tc>
        <w:tc>
          <w:tcPr>
            <w:tcW w:w="2556" w:type="dxa"/>
            <w:tcBorders>
              <w:top w:val="single" w:color="000000" w:sz="4" w:space="0"/>
              <w:left w:val="single" w:color="000000" w:sz="6" w:space="0"/>
              <w:bottom w:val="single" w:color="000000" w:sz="4" w:space="0"/>
              <w:right w:val="single" w:color="000000" w:sz="6" w:space="0"/>
            </w:tcBorders>
            <w:tcMar>
              <w:left w:w="0" w:type="dxa"/>
              <w:right w:w="0" w:type="dxa"/>
            </w:tcMar>
          </w:tcPr>
          <w:p w14:paraId="7EE212CE">
            <w:pPr>
              <w:widowControl/>
              <w:autoSpaceDE w:val="0"/>
              <w:autoSpaceDN w:val="0"/>
              <w:spacing w:before="38" w:after="0" w:line="160" w:lineRule="exact"/>
              <w:ind w:left="24" w:right="0" w:firstLine="0"/>
              <w:jc w:val="left"/>
            </w:pPr>
            <w:r>
              <w:rPr>
                <w:rFonts w:ascii="8GOHJyFf+SimSun" w:hAnsi="8GOHJyFf+SimSun" w:eastAsia="8GOHJyFf+SimSun"/>
                <w:color w:val="000000"/>
                <w:sz w:val="16"/>
              </w:rPr>
              <w:t>无</w:t>
            </w:r>
          </w:p>
        </w:tc>
        <w:tc>
          <w:tcPr>
            <w:tcW w:w="5424" w:type="dxa"/>
            <w:tcBorders>
              <w:top w:val="single" w:color="000000" w:sz="4" w:space="0"/>
              <w:left w:val="single" w:color="000000" w:sz="6" w:space="0"/>
              <w:bottom w:val="single" w:color="000000" w:sz="4" w:space="0"/>
              <w:right w:val="single" w:color="000000" w:sz="6" w:space="0"/>
            </w:tcBorders>
            <w:tcMar>
              <w:left w:w="0" w:type="dxa"/>
              <w:right w:w="0" w:type="dxa"/>
            </w:tcMar>
          </w:tcPr>
          <w:p w14:paraId="43F5033C">
            <w:pPr>
              <w:widowControl/>
              <w:autoSpaceDE w:val="0"/>
              <w:autoSpaceDN w:val="0"/>
              <w:spacing w:before="38" w:after="0" w:line="160" w:lineRule="exact"/>
              <w:ind w:left="24" w:right="0" w:firstLine="0"/>
              <w:jc w:val="left"/>
            </w:pPr>
            <w:r>
              <w:rPr>
                <w:rFonts w:ascii="8GOHJyFf+SimSun" w:hAnsi="8GOHJyFf+SimSun" w:eastAsia="8GOHJyFf+SimSun"/>
                <w:color w:val="000000"/>
                <w:sz w:val="16"/>
              </w:rPr>
              <w:t>无</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3BE8A2C5">
            <w:pPr>
              <w:widowControl/>
              <w:autoSpaceDE w:val="0"/>
              <w:autoSpaceDN w:val="0"/>
              <w:spacing w:before="38" w:after="0" w:line="160" w:lineRule="exact"/>
              <w:ind w:left="24" w:right="0" w:firstLine="0"/>
              <w:jc w:val="left"/>
            </w:pPr>
            <w:r>
              <w:rPr>
                <w:rFonts w:ascii="8GOHJyFf+SimSun" w:hAnsi="8GOHJyFf+SimSun" w:eastAsia="8GOHJyFf+SimSun"/>
                <w:color w:val="000000"/>
                <w:sz w:val="16"/>
              </w:rPr>
              <w:t>无</w:t>
            </w:r>
          </w:p>
        </w:tc>
        <w:tc>
          <w:tcPr>
            <w:tcW w:w="1800" w:type="dxa"/>
            <w:tcBorders>
              <w:top w:val="single" w:color="000000" w:sz="4" w:space="0"/>
              <w:left w:val="single" w:color="000000" w:sz="6" w:space="0"/>
              <w:bottom w:val="single" w:color="000000" w:sz="4" w:space="0"/>
              <w:right w:val="single" w:color="000000" w:sz="6" w:space="0"/>
            </w:tcBorders>
            <w:tcMar>
              <w:left w:w="0" w:type="dxa"/>
              <w:right w:w="0" w:type="dxa"/>
            </w:tcMar>
          </w:tcPr>
          <w:p w14:paraId="64DFE72A">
            <w:pPr>
              <w:widowControl/>
              <w:autoSpaceDE w:val="0"/>
              <w:autoSpaceDN w:val="0"/>
              <w:spacing w:before="38" w:after="0" w:line="160" w:lineRule="exact"/>
              <w:ind w:left="24" w:right="0" w:firstLine="0"/>
              <w:jc w:val="left"/>
            </w:pPr>
            <w:r>
              <w:rPr>
                <w:rFonts w:ascii="8GOHJyFf+SimSun" w:hAnsi="8GOHJyFf+SimSun" w:eastAsia="8GOHJyFf+SimSun"/>
                <w:color w:val="000000"/>
                <w:sz w:val="16"/>
              </w:rPr>
              <w:t>无</w:t>
            </w:r>
          </w:p>
        </w:tc>
      </w:tr>
      <w:tr w14:paraId="2F36C107">
        <w:tblPrEx>
          <w:tblCellMar>
            <w:top w:w="0" w:type="dxa"/>
            <w:left w:w="108" w:type="dxa"/>
            <w:bottom w:w="0" w:type="dxa"/>
            <w:right w:w="108" w:type="dxa"/>
          </w:tblCellMar>
        </w:tblPrEx>
        <w:trPr>
          <w:trHeight w:val="1088" w:hRule="exact"/>
        </w:trPr>
        <w:tc>
          <w:tcPr>
            <w:tcW w:w="2460" w:type="dxa"/>
            <w:vMerge w:val="continue"/>
            <w:tcBorders>
              <w:top w:val="single" w:color="000000" w:sz="6" w:space="0"/>
              <w:left w:val="single" w:color="000000" w:sz="6" w:space="0"/>
              <w:bottom w:val="single" w:color="000000" w:sz="4" w:space="0"/>
              <w:right w:val="single" w:color="000000" w:sz="6" w:space="0"/>
            </w:tcBorders>
          </w:tcPr>
          <w:p w14:paraId="4412197E"/>
        </w:tc>
        <w:tc>
          <w:tcPr>
            <w:tcW w:w="1512" w:type="dxa"/>
            <w:tcBorders>
              <w:top w:val="single" w:color="000000" w:sz="4" w:space="0"/>
              <w:left w:val="single" w:color="000000" w:sz="6" w:space="0"/>
              <w:bottom w:val="single" w:color="000000" w:sz="4" w:space="0"/>
              <w:right w:val="single" w:color="000000" w:sz="6" w:space="0"/>
            </w:tcBorders>
            <w:tcMar>
              <w:left w:w="0" w:type="dxa"/>
              <w:right w:w="0" w:type="dxa"/>
            </w:tcMar>
          </w:tcPr>
          <w:p w14:paraId="06487659">
            <w:pPr>
              <w:widowControl/>
              <w:autoSpaceDE w:val="0"/>
              <w:autoSpaceDN w:val="0"/>
              <w:spacing w:before="368" w:after="0" w:line="160" w:lineRule="exact"/>
              <w:ind w:left="0" w:right="0" w:firstLine="0"/>
              <w:jc w:val="center"/>
            </w:pPr>
            <w:r>
              <w:rPr>
                <w:rFonts w:ascii="8GOHJyFf+SimSun" w:hAnsi="8GOHJyFf+SimSun" w:eastAsia="8GOHJyFf+SimSun"/>
                <w:color w:val="000000"/>
                <w:sz w:val="16"/>
              </w:rPr>
              <w:t>社会公众或服务对象</w:t>
            </w:r>
          </w:p>
          <w:p w14:paraId="10B9A1E6">
            <w:pPr>
              <w:widowControl/>
              <w:autoSpaceDE w:val="0"/>
              <w:autoSpaceDN w:val="0"/>
              <w:spacing w:before="38" w:after="0" w:line="160" w:lineRule="exact"/>
              <w:ind w:left="0" w:right="0" w:firstLine="0"/>
              <w:jc w:val="center"/>
            </w:pPr>
            <w:r>
              <w:rPr>
                <w:rFonts w:ascii="8GOHJyFf+SimSun" w:hAnsi="8GOHJyFf+SimSun" w:eastAsia="8GOHJyFf+SimSun"/>
                <w:color w:val="000000"/>
                <w:sz w:val="16"/>
              </w:rPr>
              <w:t>满意度</w:t>
            </w:r>
          </w:p>
        </w:tc>
        <w:tc>
          <w:tcPr>
            <w:tcW w:w="2556" w:type="dxa"/>
            <w:tcBorders>
              <w:top w:val="single" w:color="000000" w:sz="4" w:space="0"/>
              <w:left w:val="single" w:color="000000" w:sz="6" w:space="0"/>
              <w:bottom w:val="single" w:color="000000" w:sz="4" w:space="0"/>
              <w:right w:val="single" w:color="000000" w:sz="6" w:space="0"/>
            </w:tcBorders>
            <w:tcMar>
              <w:left w:w="0" w:type="dxa"/>
              <w:right w:w="0" w:type="dxa"/>
            </w:tcMar>
          </w:tcPr>
          <w:p w14:paraId="2C670F0F">
            <w:pPr>
              <w:widowControl/>
              <w:autoSpaceDE w:val="0"/>
              <w:autoSpaceDN w:val="0"/>
              <w:spacing w:before="38" w:after="0" w:line="160" w:lineRule="exact"/>
              <w:ind w:left="24" w:right="0" w:firstLine="0"/>
              <w:jc w:val="left"/>
            </w:pPr>
            <w:r>
              <w:rPr>
                <w:rFonts w:ascii="8GOHJyFf+SimSun" w:hAnsi="8GOHJyFf+SimSun" w:eastAsia="8GOHJyFf+SimSun"/>
                <w:color w:val="000000"/>
                <w:sz w:val="16"/>
              </w:rPr>
              <w:t>1.社会公众或服务对象满意度达到</w:t>
            </w:r>
          </w:p>
          <w:p w14:paraId="7ABD7B83">
            <w:pPr>
              <w:widowControl/>
              <w:autoSpaceDE w:val="0"/>
              <w:autoSpaceDN w:val="0"/>
              <w:spacing w:before="38" w:after="0" w:line="160" w:lineRule="exact"/>
              <w:ind w:left="24" w:right="0" w:firstLine="0"/>
              <w:jc w:val="left"/>
            </w:pPr>
            <w:r>
              <w:rPr>
                <w:rFonts w:ascii="8GOHJyFf+SimSun" w:hAnsi="8GOHJyFf+SimSun" w:eastAsia="8GOHJyFf+SimSun"/>
                <w:color w:val="000000"/>
                <w:sz w:val="16"/>
              </w:rPr>
              <w:t>90%；2.系统用户满意度达到90%；</w:t>
            </w:r>
          </w:p>
        </w:tc>
        <w:tc>
          <w:tcPr>
            <w:tcW w:w="5424" w:type="dxa"/>
            <w:tcBorders>
              <w:top w:val="single" w:color="000000" w:sz="4" w:space="0"/>
              <w:left w:val="single" w:color="000000" w:sz="6" w:space="0"/>
              <w:bottom w:val="single" w:color="000000" w:sz="4" w:space="0"/>
              <w:right w:val="single" w:color="000000" w:sz="6" w:space="0"/>
            </w:tcBorders>
            <w:tcMar>
              <w:left w:w="0" w:type="dxa"/>
              <w:right w:w="0" w:type="dxa"/>
            </w:tcMar>
          </w:tcPr>
          <w:p w14:paraId="48AF3313">
            <w:pPr>
              <w:widowControl/>
              <w:autoSpaceDE w:val="0"/>
              <w:autoSpaceDN w:val="0"/>
              <w:spacing w:before="0" w:after="0" w:line="198" w:lineRule="exact"/>
              <w:ind w:left="24" w:right="124" w:firstLine="0"/>
              <w:jc w:val="both"/>
            </w:pPr>
            <w:r>
              <w:rPr>
                <w:rFonts w:ascii="8GOHJyFf+SimSun" w:hAnsi="8GOHJyFf+SimSun" w:eastAsia="8GOHJyFf+SimSun"/>
                <w:color w:val="000000"/>
                <w:sz w:val="16"/>
              </w:rPr>
              <w:t>基本支出社会公众或服务对象满意度指标已完成，执行情况100%；群众信访工作经费、信访信息系统工作经费、信访应急处置经费、中共昆明市五华区委政法委员会拨队伍建设和信访工作经费的服务对象满意度已达到指标，信访补助问题补助各成员单位满意、受助对象满意度达到100%，上访群众满意度达到95%，系统用户满意度达到90%。</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61184552">
            <w:pPr>
              <w:widowControl/>
              <w:autoSpaceDE w:val="0"/>
              <w:autoSpaceDN w:val="0"/>
              <w:spacing w:before="38" w:after="0" w:line="160" w:lineRule="exact"/>
              <w:ind w:left="24" w:right="0" w:firstLine="0"/>
              <w:jc w:val="left"/>
            </w:pPr>
            <w:r>
              <w:rPr>
                <w:rFonts w:ascii="8GOHJyFf+SimSun" w:hAnsi="8GOHJyFf+SimSun" w:eastAsia="8GOHJyFf+SimSun"/>
                <w:color w:val="000000"/>
                <w:sz w:val="16"/>
              </w:rPr>
              <w:t>按年初预算工作计划完成。</w:t>
            </w:r>
          </w:p>
        </w:tc>
        <w:tc>
          <w:tcPr>
            <w:tcW w:w="1800" w:type="dxa"/>
            <w:tcBorders>
              <w:top w:val="single" w:color="000000" w:sz="4" w:space="0"/>
              <w:left w:val="single" w:color="000000" w:sz="6" w:space="0"/>
              <w:bottom w:val="single" w:color="000000" w:sz="4" w:space="0"/>
              <w:right w:val="single" w:color="000000" w:sz="6" w:space="0"/>
            </w:tcBorders>
            <w:tcMar>
              <w:left w:w="0" w:type="dxa"/>
              <w:right w:w="0" w:type="dxa"/>
            </w:tcMar>
          </w:tcPr>
          <w:p w14:paraId="231F94D1">
            <w:pPr>
              <w:widowControl/>
              <w:autoSpaceDE w:val="0"/>
              <w:autoSpaceDN w:val="0"/>
              <w:spacing w:before="38" w:after="0" w:line="160" w:lineRule="exact"/>
              <w:ind w:left="24" w:right="0" w:firstLine="0"/>
              <w:jc w:val="left"/>
            </w:pPr>
            <w:r>
              <w:rPr>
                <w:rFonts w:ascii="8GOHJyFf+SimSun" w:hAnsi="8GOHJyFf+SimSun" w:eastAsia="8GOHJyFf+SimSun"/>
                <w:color w:val="000000"/>
                <w:sz w:val="16"/>
              </w:rPr>
              <w:t>根据工作计划和实际情</w:t>
            </w:r>
          </w:p>
          <w:p w14:paraId="245A1203">
            <w:pPr>
              <w:widowControl/>
              <w:autoSpaceDE w:val="0"/>
              <w:autoSpaceDN w:val="0"/>
              <w:spacing w:before="38" w:after="0" w:line="160" w:lineRule="exact"/>
              <w:ind w:left="24" w:right="0" w:firstLine="0"/>
              <w:jc w:val="left"/>
            </w:pPr>
            <w:r>
              <w:rPr>
                <w:rFonts w:ascii="8GOHJyFf+SimSun" w:hAnsi="8GOHJyFf+SimSun" w:eastAsia="8GOHJyFf+SimSun"/>
                <w:color w:val="000000"/>
                <w:sz w:val="16"/>
              </w:rPr>
              <w:t>况开展工作。</w:t>
            </w:r>
          </w:p>
        </w:tc>
      </w:tr>
      <w:tr w14:paraId="6399E640">
        <w:tblPrEx>
          <w:tblCellMar>
            <w:top w:w="0" w:type="dxa"/>
            <w:left w:w="108" w:type="dxa"/>
            <w:bottom w:w="0" w:type="dxa"/>
            <w:right w:w="108" w:type="dxa"/>
          </w:tblCellMar>
        </w:tblPrEx>
        <w:trPr>
          <w:trHeight w:val="738" w:hRule="exact"/>
        </w:trPr>
        <w:tc>
          <w:tcPr>
            <w:tcW w:w="864" w:type="dxa"/>
            <w:vMerge w:val="restart"/>
            <w:tcBorders>
              <w:top w:val="single" w:color="000000" w:sz="4" w:space="0"/>
              <w:left w:val="single" w:color="000000" w:sz="6" w:space="0"/>
              <w:bottom w:val="single" w:color="000000" w:sz="4" w:space="0"/>
              <w:right w:val="single" w:color="000000" w:sz="6" w:space="0"/>
            </w:tcBorders>
            <w:tcMar>
              <w:left w:w="0" w:type="dxa"/>
              <w:right w:w="0" w:type="dxa"/>
            </w:tcMar>
          </w:tcPr>
          <w:p w14:paraId="33970EF7">
            <w:pPr>
              <w:widowControl/>
              <w:autoSpaceDE w:val="0"/>
              <w:autoSpaceDN w:val="0"/>
              <w:spacing w:before="1276" w:after="0" w:line="160" w:lineRule="exact"/>
              <w:ind w:left="0" w:right="0" w:firstLine="0"/>
              <w:jc w:val="center"/>
            </w:pPr>
            <w:r>
              <w:rPr>
                <w:rFonts w:ascii="8GOHJyFf+SimSun" w:hAnsi="8GOHJyFf+SimSun" w:eastAsia="8GOHJyFf+SimSun"/>
                <w:color w:val="000000"/>
                <w:sz w:val="16"/>
              </w:rPr>
              <w:t>预算配置科</w:t>
            </w:r>
          </w:p>
          <w:p w14:paraId="2DB13E8D">
            <w:pPr>
              <w:widowControl/>
              <w:autoSpaceDE w:val="0"/>
              <w:autoSpaceDN w:val="0"/>
              <w:spacing w:before="40" w:after="0" w:line="160" w:lineRule="exact"/>
              <w:ind w:left="0" w:right="0" w:firstLine="0"/>
              <w:jc w:val="center"/>
            </w:pPr>
            <w:r>
              <w:rPr>
                <w:rFonts w:ascii="8GOHJyFf+SimSun" w:hAnsi="8GOHJyFf+SimSun" w:eastAsia="8GOHJyFf+SimSun"/>
                <w:color w:val="000000"/>
                <w:sz w:val="16"/>
              </w:rPr>
              <w:t>学</w:t>
            </w:r>
          </w:p>
        </w:tc>
        <w:tc>
          <w:tcPr>
            <w:tcW w:w="1512" w:type="dxa"/>
            <w:tcBorders>
              <w:top w:val="single" w:color="000000" w:sz="4" w:space="0"/>
              <w:left w:val="single" w:color="000000" w:sz="6" w:space="0"/>
              <w:bottom w:val="single" w:color="000000" w:sz="4" w:space="0"/>
              <w:right w:val="single" w:color="000000" w:sz="6" w:space="0"/>
            </w:tcBorders>
            <w:tcMar>
              <w:left w:w="0" w:type="dxa"/>
              <w:right w:w="0" w:type="dxa"/>
            </w:tcMar>
          </w:tcPr>
          <w:p w14:paraId="4C2F88F9">
            <w:pPr>
              <w:widowControl/>
              <w:autoSpaceDE w:val="0"/>
              <w:autoSpaceDN w:val="0"/>
              <w:spacing w:before="292" w:after="0" w:line="160" w:lineRule="exact"/>
              <w:ind w:left="0" w:right="0" w:firstLine="0"/>
              <w:jc w:val="center"/>
            </w:pPr>
            <w:r>
              <w:rPr>
                <w:rFonts w:ascii="8GOHJyFf+SimSun" w:hAnsi="8GOHJyFf+SimSun" w:eastAsia="8GOHJyFf+SimSun"/>
                <w:color w:val="000000"/>
                <w:sz w:val="16"/>
              </w:rPr>
              <w:t>预算编制科学</w:t>
            </w:r>
          </w:p>
        </w:tc>
        <w:tc>
          <w:tcPr>
            <w:tcW w:w="2556" w:type="dxa"/>
            <w:tcBorders>
              <w:top w:val="single" w:color="000000" w:sz="4" w:space="0"/>
              <w:left w:val="single" w:color="000000" w:sz="6" w:space="0"/>
              <w:bottom w:val="single" w:color="000000" w:sz="4" w:space="0"/>
              <w:right w:val="single" w:color="000000" w:sz="6" w:space="0"/>
            </w:tcBorders>
            <w:tcMar>
              <w:left w:w="0" w:type="dxa"/>
              <w:right w:w="0" w:type="dxa"/>
            </w:tcMar>
          </w:tcPr>
          <w:p w14:paraId="3F13C3D4">
            <w:pPr>
              <w:widowControl/>
              <w:autoSpaceDE w:val="0"/>
              <w:autoSpaceDN w:val="0"/>
              <w:spacing w:before="36" w:after="0" w:line="160" w:lineRule="exact"/>
              <w:ind w:left="24" w:right="0" w:firstLine="0"/>
              <w:jc w:val="left"/>
            </w:pPr>
            <w:r>
              <w:rPr>
                <w:rFonts w:ascii="8GOHJyFf+SimSun" w:hAnsi="8GOHJyFf+SimSun" w:eastAsia="8GOHJyFf+SimSun"/>
                <w:color w:val="000000"/>
                <w:sz w:val="16"/>
              </w:rPr>
              <w:t>预算编制合理合规，满足日常工作</w:t>
            </w:r>
          </w:p>
          <w:p w14:paraId="685A3A06">
            <w:pPr>
              <w:widowControl/>
              <w:autoSpaceDE w:val="0"/>
              <w:autoSpaceDN w:val="0"/>
              <w:spacing w:before="36" w:after="0" w:line="160" w:lineRule="exact"/>
              <w:ind w:left="24" w:right="0" w:firstLine="0"/>
              <w:jc w:val="left"/>
            </w:pPr>
            <w:r>
              <w:rPr>
                <w:rFonts w:ascii="8GOHJyFf+SimSun" w:hAnsi="8GOHJyFf+SimSun" w:eastAsia="8GOHJyFf+SimSun"/>
                <w:color w:val="000000"/>
                <w:sz w:val="16"/>
              </w:rPr>
              <w:t>及重点工作任务的需求。</w:t>
            </w:r>
          </w:p>
        </w:tc>
        <w:tc>
          <w:tcPr>
            <w:tcW w:w="5424" w:type="dxa"/>
            <w:tcBorders>
              <w:top w:val="single" w:color="000000" w:sz="4" w:space="0"/>
              <w:left w:val="single" w:color="000000" w:sz="6" w:space="0"/>
              <w:bottom w:val="single" w:color="000000" w:sz="4" w:space="0"/>
              <w:right w:val="single" w:color="000000" w:sz="6" w:space="0"/>
            </w:tcBorders>
            <w:tcMar>
              <w:left w:w="0" w:type="dxa"/>
              <w:right w:w="0" w:type="dxa"/>
            </w:tcMar>
          </w:tcPr>
          <w:p w14:paraId="0487BB9B">
            <w:pPr>
              <w:widowControl/>
              <w:autoSpaceDE w:val="0"/>
              <w:autoSpaceDN w:val="0"/>
              <w:spacing w:before="36" w:after="0" w:line="160" w:lineRule="exact"/>
              <w:ind w:left="24" w:right="0" w:firstLine="0"/>
              <w:jc w:val="left"/>
            </w:pPr>
            <w:r>
              <w:rPr>
                <w:rFonts w:ascii="8GOHJyFf+SimSun" w:hAnsi="8GOHJyFf+SimSun" w:eastAsia="8GOHJyFf+SimSun"/>
                <w:color w:val="000000"/>
                <w:sz w:val="16"/>
              </w:rPr>
              <w:t>2025年部门预算资金已按工作计划完成，绩效指标基本已完成，基本支出执</w:t>
            </w:r>
          </w:p>
          <w:p w14:paraId="24597BB9">
            <w:pPr>
              <w:widowControl/>
              <w:autoSpaceDE w:val="0"/>
              <w:autoSpaceDN w:val="0"/>
              <w:spacing w:before="36" w:after="0" w:line="160" w:lineRule="exact"/>
              <w:ind w:left="24" w:right="0" w:firstLine="0"/>
              <w:jc w:val="left"/>
            </w:pPr>
            <w:r>
              <w:rPr>
                <w:rFonts w:ascii="8GOHJyFf+SimSun" w:hAnsi="8GOHJyFf+SimSun" w:eastAsia="8GOHJyFf+SimSun"/>
                <w:color w:val="000000"/>
                <w:sz w:val="16"/>
              </w:rPr>
              <w:t>行率100%，项目支出执行率64.38%，满足日常工作及重点工作任务的需求。</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1AC4FCD6">
            <w:pPr>
              <w:widowControl/>
              <w:autoSpaceDE w:val="0"/>
              <w:autoSpaceDN w:val="0"/>
              <w:spacing w:before="0" w:after="0" w:line="196" w:lineRule="exact"/>
              <w:ind w:left="24" w:right="0" w:firstLine="0"/>
              <w:jc w:val="left"/>
            </w:pPr>
            <w:r>
              <w:rPr>
                <w:rFonts w:ascii="8GOHJyFf+SimSun" w:hAnsi="8GOHJyFf+SimSun" w:eastAsia="8GOHJyFf+SimSun"/>
                <w:color w:val="000000"/>
                <w:sz w:val="16"/>
              </w:rPr>
              <w:t>2025年部门预算资金编制合理合规，满足日常工作及重点工作任务的需求。</w:t>
            </w:r>
          </w:p>
        </w:tc>
        <w:tc>
          <w:tcPr>
            <w:tcW w:w="1800" w:type="dxa"/>
            <w:tcBorders>
              <w:top w:val="single" w:color="000000" w:sz="4" w:space="0"/>
              <w:left w:val="single" w:color="000000" w:sz="6" w:space="0"/>
              <w:bottom w:val="single" w:color="000000" w:sz="4" w:space="0"/>
              <w:right w:val="single" w:color="000000" w:sz="6" w:space="0"/>
            </w:tcBorders>
            <w:tcMar>
              <w:left w:w="0" w:type="dxa"/>
              <w:right w:w="0" w:type="dxa"/>
            </w:tcMar>
          </w:tcPr>
          <w:p w14:paraId="1FB8B8E8">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0E98F961">
        <w:tblPrEx>
          <w:tblCellMar>
            <w:top w:w="0" w:type="dxa"/>
            <w:left w:w="108" w:type="dxa"/>
            <w:bottom w:w="0" w:type="dxa"/>
            <w:right w:w="108" w:type="dxa"/>
          </w:tblCellMar>
        </w:tblPrEx>
        <w:trPr>
          <w:trHeight w:val="790" w:hRule="exact"/>
        </w:trPr>
        <w:tc>
          <w:tcPr>
            <w:tcW w:w="2460" w:type="dxa"/>
            <w:vMerge w:val="continue"/>
            <w:tcBorders>
              <w:top w:val="single" w:color="000000" w:sz="4" w:space="0"/>
              <w:left w:val="single" w:color="000000" w:sz="6" w:space="0"/>
              <w:bottom w:val="single" w:color="000000" w:sz="4" w:space="0"/>
              <w:right w:val="single" w:color="000000" w:sz="6" w:space="0"/>
            </w:tcBorders>
          </w:tcPr>
          <w:p w14:paraId="5BE71006"/>
        </w:tc>
        <w:tc>
          <w:tcPr>
            <w:tcW w:w="1512" w:type="dxa"/>
            <w:tcBorders>
              <w:top w:val="single" w:color="000000" w:sz="4" w:space="0"/>
              <w:left w:val="single" w:color="000000" w:sz="6" w:space="0"/>
              <w:bottom w:val="single" w:color="000000" w:sz="4" w:space="0"/>
              <w:right w:val="single" w:color="000000" w:sz="6" w:space="0"/>
            </w:tcBorders>
            <w:tcMar>
              <w:left w:w="0" w:type="dxa"/>
              <w:right w:w="0" w:type="dxa"/>
            </w:tcMar>
          </w:tcPr>
          <w:p w14:paraId="0AA0AE19">
            <w:pPr>
              <w:widowControl/>
              <w:autoSpaceDE w:val="0"/>
              <w:autoSpaceDN w:val="0"/>
              <w:spacing w:before="318" w:after="0" w:line="160" w:lineRule="exact"/>
              <w:ind w:left="0" w:right="0" w:firstLine="0"/>
              <w:jc w:val="center"/>
            </w:pPr>
            <w:r>
              <w:rPr>
                <w:rFonts w:ascii="8GOHJyFf+SimSun" w:hAnsi="8GOHJyFf+SimSun" w:eastAsia="8GOHJyFf+SimSun"/>
                <w:color w:val="000000"/>
                <w:sz w:val="16"/>
              </w:rPr>
              <w:t>基本支出足额保障</w:t>
            </w:r>
          </w:p>
        </w:tc>
        <w:tc>
          <w:tcPr>
            <w:tcW w:w="2556" w:type="dxa"/>
            <w:tcBorders>
              <w:top w:val="single" w:color="000000" w:sz="4" w:space="0"/>
              <w:left w:val="single" w:color="000000" w:sz="6" w:space="0"/>
              <w:bottom w:val="single" w:color="000000" w:sz="4" w:space="0"/>
              <w:right w:val="single" w:color="000000" w:sz="6" w:space="0"/>
            </w:tcBorders>
            <w:tcMar>
              <w:left w:w="0" w:type="dxa"/>
              <w:right w:w="0" w:type="dxa"/>
            </w:tcMar>
          </w:tcPr>
          <w:p w14:paraId="7485A4DF">
            <w:pPr>
              <w:widowControl/>
              <w:autoSpaceDE w:val="0"/>
              <w:autoSpaceDN w:val="0"/>
              <w:spacing w:before="36" w:after="0" w:line="160" w:lineRule="exact"/>
              <w:ind w:left="24" w:right="0" w:firstLine="0"/>
              <w:jc w:val="left"/>
            </w:pPr>
            <w:r>
              <w:rPr>
                <w:rFonts w:ascii="8GOHJyFf+SimSun" w:hAnsi="8GOHJyFf+SimSun" w:eastAsia="8GOHJyFf+SimSun"/>
                <w:color w:val="000000"/>
                <w:sz w:val="16"/>
              </w:rPr>
              <w:t>2025年基本支出预算数足额保障基</w:t>
            </w:r>
          </w:p>
          <w:p w14:paraId="3CDA079D">
            <w:pPr>
              <w:widowControl/>
              <w:autoSpaceDE w:val="0"/>
              <w:autoSpaceDN w:val="0"/>
              <w:spacing w:before="38" w:after="0" w:line="160" w:lineRule="exact"/>
              <w:ind w:left="24" w:right="0" w:firstLine="0"/>
              <w:jc w:val="left"/>
            </w:pPr>
            <w:r>
              <w:rPr>
                <w:rFonts w:ascii="8GOHJyFf+SimSun" w:hAnsi="8GOHJyFf+SimSun" w:eastAsia="8GOHJyFf+SimSun"/>
                <w:color w:val="000000"/>
                <w:sz w:val="16"/>
              </w:rPr>
              <w:t>本运行需要。</w:t>
            </w:r>
          </w:p>
        </w:tc>
        <w:tc>
          <w:tcPr>
            <w:tcW w:w="5424" w:type="dxa"/>
            <w:tcBorders>
              <w:top w:val="single" w:color="000000" w:sz="4" w:space="0"/>
              <w:left w:val="single" w:color="000000" w:sz="6" w:space="0"/>
              <w:bottom w:val="single" w:color="000000" w:sz="4" w:space="0"/>
              <w:right w:val="single" w:color="000000" w:sz="6" w:space="0"/>
            </w:tcBorders>
            <w:tcMar>
              <w:left w:w="0" w:type="dxa"/>
              <w:right w:w="0" w:type="dxa"/>
            </w:tcMar>
          </w:tcPr>
          <w:p w14:paraId="6173F0A7">
            <w:pPr>
              <w:widowControl/>
              <w:autoSpaceDE w:val="0"/>
              <w:autoSpaceDN w:val="0"/>
              <w:spacing w:before="36" w:after="0" w:line="160" w:lineRule="exact"/>
              <w:ind w:left="24" w:right="0" w:firstLine="0"/>
              <w:jc w:val="left"/>
            </w:pPr>
            <w:r>
              <w:rPr>
                <w:rFonts w:ascii="8GOHJyFf+SimSun" w:hAnsi="8GOHJyFf+SimSun" w:eastAsia="8GOHJyFf+SimSun"/>
                <w:color w:val="000000"/>
                <w:sz w:val="16"/>
              </w:rPr>
              <w:t>2025年基本支出预算执行数281.05万元，足额保障了基本运行需要。</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47D641AF">
            <w:pPr>
              <w:widowControl/>
              <w:autoSpaceDE w:val="0"/>
              <w:autoSpaceDN w:val="0"/>
              <w:spacing w:before="0" w:after="0" w:line="196" w:lineRule="exact"/>
              <w:ind w:left="24" w:right="0" w:firstLine="0"/>
              <w:jc w:val="left"/>
            </w:pPr>
            <w:r>
              <w:rPr>
                <w:rFonts w:ascii="8GOHJyFf+SimSun" w:hAnsi="8GOHJyFf+SimSun" w:eastAsia="8GOHJyFf+SimSun"/>
                <w:color w:val="000000"/>
                <w:sz w:val="16"/>
              </w:rPr>
              <w:t>2025年基本支出预算执行数281.05万元，与年初预算相比已全部支出，按工作计划完成支出。</w:t>
            </w:r>
          </w:p>
        </w:tc>
        <w:tc>
          <w:tcPr>
            <w:tcW w:w="1800" w:type="dxa"/>
            <w:tcBorders>
              <w:top w:val="single" w:color="000000" w:sz="4" w:space="0"/>
              <w:left w:val="single" w:color="000000" w:sz="6" w:space="0"/>
              <w:bottom w:val="single" w:color="000000" w:sz="4" w:space="0"/>
              <w:right w:val="single" w:color="000000" w:sz="6" w:space="0"/>
            </w:tcBorders>
            <w:tcMar>
              <w:left w:w="0" w:type="dxa"/>
              <w:right w:w="0" w:type="dxa"/>
            </w:tcMar>
          </w:tcPr>
          <w:p w14:paraId="228DB9C6">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7317F113">
        <w:tblPrEx>
          <w:tblCellMar>
            <w:top w:w="0" w:type="dxa"/>
            <w:left w:w="108" w:type="dxa"/>
            <w:bottom w:w="0" w:type="dxa"/>
            <w:right w:w="108" w:type="dxa"/>
          </w:tblCellMar>
        </w:tblPrEx>
        <w:trPr>
          <w:trHeight w:val="772" w:hRule="exact"/>
        </w:trPr>
        <w:tc>
          <w:tcPr>
            <w:tcW w:w="2460" w:type="dxa"/>
            <w:vMerge w:val="continue"/>
            <w:tcBorders>
              <w:top w:val="single" w:color="000000" w:sz="4" w:space="0"/>
              <w:left w:val="single" w:color="000000" w:sz="6" w:space="0"/>
              <w:bottom w:val="single" w:color="000000" w:sz="4" w:space="0"/>
              <w:right w:val="single" w:color="000000" w:sz="6" w:space="0"/>
            </w:tcBorders>
          </w:tcPr>
          <w:p w14:paraId="5CDB1AEB"/>
        </w:tc>
        <w:tc>
          <w:tcPr>
            <w:tcW w:w="1512" w:type="dxa"/>
            <w:tcBorders>
              <w:top w:val="single" w:color="000000" w:sz="4" w:space="0"/>
              <w:left w:val="single" w:color="000000" w:sz="6" w:space="0"/>
              <w:bottom w:val="single" w:color="000000" w:sz="6" w:space="0"/>
              <w:right w:val="single" w:color="000000" w:sz="6" w:space="0"/>
            </w:tcBorders>
            <w:tcMar>
              <w:left w:w="0" w:type="dxa"/>
              <w:right w:w="0" w:type="dxa"/>
            </w:tcMar>
          </w:tcPr>
          <w:p w14:paraId="49976A45">
            <w:pPr>
              <w:widowControl/>
              <w:autoSpaceDE w:val="0"/>
              <w:autoSpaceDN w:val="0"/>
              <w:spacing w:before="310" w:after="0" w:line="160" w:lineRule="exact"/>
              <w:ind w:left="0" w:right="0" w:firstLine="0"/>
              <w:jc w:val="center"/>
            </w:pPr>
            <w:r>
              <w:rPr>
                <w:rFonts w:ascii="8GOHJyFf+SimSun" w:hAnsi="8GOHJyFf+SimSun" w:eastAsia="8GOHJyFf+SimSun"/>
                <w:color w:val="000000"/>
                <w:sz w:val="16"/>
              </w:rPr>
              <w:t>确保重点支出安排</w:t>
            </w:r>
          </w:p>
        </w:tc>
        <w:tc>
          <w:tcPr>
            <w:tcW w:w="2556" w:type="dxa"/>
            <w:tcBorders>
              <w:top w:val="single" w:color="000000" w:sz="4" w:space="0"/>
              <w:left w:val="single" w:color="000000" w:sz="6" w:space="0"/>
              <w:bottom w:val="single" w:color="000000" w:sz="6" w:space="0"/>
              <w:right w:val="single" w:color="000000" w:sz="6" w:space="0"/>
            </w:tcBorders>
            <w:tcMar>
              <w:left w:w="0" w:type="dxa"/>
              <w:right w:w="0" w:type="dxa"/>
            </w:tcMar>
          </w:tcPr>
          <w:p w14:paraId="5F18F83F">
            <w:pPr>
              <w:widowControl/>
              <w:autoSpaceDE w:val="0"/>
              <w:autoSpaceDN w:val="0"/>
              <w:spacing w:before="36" w:after="0" w:line="160" w:lineRule="exact"/>
              <w:ind w:left="24" w:right="0" w:firstLine="0"/>
              <w:jc w:val="left"/>
            </w:pPr>
            <w:r>
              <w:rPr>
                <w:rFonts w:ascii="8GOHJyFf+SimSun" w:hAnsi="8GOHJyFf+SimSun" w:eastAsia="8GOHJyFf+SimSun"/>
                <w:color w:val="000000"/>
                <w:sz w:val="16"/>
              </w:rPr>
              <w:t>单位根据工作计划和实际情况，确</w:t>
            </w:r>
          </w:p>
          <w:p w14:paraId="51E2E833">
            <w:pPr>
              <w:widowControl/>
              <w:autoSpaceDE w:val="0"/>
              <w:autoSpaceDN w:val="0"/>
              <w:spacing w:before="38" w:after="0" w:line="160" w:lineRule="exact"/>
              <w:ind w:left="24" w:right="0" w:firstLine="0"/>
              <w:jc w:val="left"/>
            </w:pPr>
            <w:r>
              <w:rPr>
                <w:rFonts w:ascii="8GOHJyFf+SimSun" w:hAnsi="8GOHJyFf+SimSun" w:eastAsia="8GOHJyFf+SimSun"/>
                <w:color w:val="000000"/>
                <w:sz w:val="16"/>
              </w:rPr>
              <w:t>保重点支出安排</w:t>
            </w:r>
          </w:p>
        </w:tc>
        <w:tc>
          <w:tcPr>
            <w:tcW w:w="5424" w:type="dxa"/>
            <w:tcBorders>
              <w:top w:val="single" w:color="000000" w:sz="4" w:space="0"/>
              <w:left w:val="single" w:color="000000" w:sz="6" w:space="0"/>
              <w:bottom w:val="single" w:color="000000" w:sz="6" w:space="0"/>
              <w:right w:val="single" w:color="000000" w:sz="6" w:space="0"/>
            </w:tcBorders>
            <w:tcMar>
              <w:left w:w="0" w:type="dxa"/>
              <w:right w:w="0" w:type="dxa"/>
            </w:tcMar>
          </w:tcPr>
          <w:p w14:paraId="79C693D4">
            <w:pPr>
              <w:widowControl/>
              <w:autoSpaceDE w:val="0"/>
              <w:autoSpaceDN w:val="0"/>
              <w:spacing w:before="36" w:after="0" w:line="160" w:lineRule="exact"/>
              <w:ind w:left="24" w:right="0" w:firstLine="0"/>
              <w:jc w:val="left"/>
            </w:pPr>
            <w:r>
              <w:rPr>
                <w:rFonts w:ascii="8GOHJyFf+SimSun" w:hAnsi="8GOHJyFf+SimSun" w:eastAsia="8GOHJyFf+SimSun"/>
                <w:color w:val="000000"/>
                <w:sz w:val="16"/>
              </w:rPr>
              <w:t>我单位重点支出项目有信访应急处置经费，项目执行率为100%，绩效指标已</w:t>
            </w:r>
          </w:p>
          <w:p w14:paraId="53B72A44">
            <w:pPr>
              <w:widowControl/>
              <w:autoSpaceDE w:val="0"/>
              <w:autoSpaceDN w:val="0"/>
              <w:spacing w:before="38" w:after="0" w:line="160" w:lineRule="exact"/>
              <w:ind w:left="24" w:right="0" w:firstLine="0"/>
              <w:jc w:val="left"/>
            </w:pPr>
            <w:r>
              <w:rPr>
                <w:rFonts w:ascii="8GOHJyFf+SimSun" w:hAnsi="8GOHJyFf+SimSun" w:eastAsia="8GOHJyFf+SimSun"/>
                <w:color w:val="000000"/>
                <w:sz w:val="16"/>
              </w:rPr>
              <w:t>全部完成，已确保重点支出按时完成。</w:t>
            </w:r>
          </w:p>
        </w:tc>
        <w:tc>
          <w:tcPr>
            <w:tcW w:w="2568" w:type="dxa"/>
            <w:tcBorders>
              <w:top w:val="single" w:color="000000" w:sz="4" w:space="0"/>
              <w:left w:val="single" w:color="000000" w:sz="6" w:space="0"/>
              <w:bottom w:val="single" w:color="000000" w:sz="6" w:space="0"/>
              <w:right w:val="single" w:color="000000" w:sz="6" w:space="0"/>
            </w:tcBorders>
            <w:tcMar>
              <w:left w:w="0" w:type="dxa"/>
              <w:right w:w="0" w:type="dxa"/>
            </w:tcMar>
          </w:tcPr>
          <w:p w14:paraId="4E4A18AC">
            <w:pPr>
              <w:widowControl/>
              <w:autoSpaceDE w:val="0"/>
              <w:autoSpaceDN w:val="0"/>
              <w:spacing w:before="0" w:after="0" w:line="196" w:lineRule="exact"/>
              <w:ind w:left="24" w:right="134" w:firstLine="0"/>
              <w:jc w:val="both"/>
            </w:pPr>
            <w:r>
              <w:rPr>
                <w:rFonts w:ascii="8GOHJyFf+SimSun" w:hAnsi="8GOHJyFf+SimSun" w:eastAsia="8GOHJyFf+SimSun"/>
                <w:color w:val="000000"/>
                <w:sz w:val="16"/>
              </w:rPr>
              <w:t>重点支出执行情况100%，与年初预算相比已全部支出，按工作计划完成支出。</w:t>
            </w:r>
          </w:p>
        </w:tc>
        <w:tc>
          <w:tcPr>
            <w:tcW w:w="1800" w:type="dxa"/>
            <w:tcBorders>
              <w:top w:val="single" w:color="000000" w:sz="4" w:space="0"/>
              <w:left w:val="single" w:color="000000" w:sz="6" w:space="0"/>
              <w:bottom w:val="single" w:color="000000" w:sz="6" w:space="0"/>
              <w:right w:val="single" w:color="000000" w:sz="6" w:space="0"/>
            </w:tcBorders>
            <w:tcMar>
              <w:left w:w="0" w:type="dxa"/>
              <w:right w:w="0" w:type="dxa"/>
            </w:tcMar>
          </w:tcPr>
          <w:p w14:paraId="72DD31AA">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55BEFDC2">
        <w:tblPrEx>
          <w:tblCellMar>
            <w:top w:w="0" w:type="dxa"/>
            <w:left w:w="108" w:type="dxa"/>
            <w:bottom w:w="0" w:type="dxa"/>
            <w:right w:w="108" w:type="dxa"/>
          </w:tblCellMar>
        </w:tblPrEx>
        <w:trPr>
          <w:trHeight w:val="608" w:hRule="exact"/>
        </w:trPr>
        <w:tc>
          <w:tcPr>
            <w:tcW w:w="2460" w:type="dxa"/>
            <w:vMerge w:val="continue"/>
            <w:tcBorders>
              <w:top w:val="single" w:color="000000" w:sz="4" w:space="0"/>
              <w:left w:val="single" w:color="000000" w:sz="6" w:space="0"/>
              <w:bottom w:val="single" w:color="000000" w:sz="4" w:space="0"/>
              <w:right w:val="single" w:color="000000" w:sz="6" w:space="0"/>
            </w:tcBorders>
          </w:tcPr>
          <w:p w14:paraId="641DF42E"/>
        </w:tc>
        <w:tc>
          <w:tcPr>
            <w:tcW w:w="1512" w:type="dxa"/>
            <w:tcBorders>
              <w:top w:val="single" w:color="000000" w:sz="6" w:space="0"/>
              <w:left w:val="single" w:color="000000" w:sz="6" w:space="0"/>
              <w:bottom w:val="single" w:color="000000" w:sz="4" w:space="0"/>
              <w:right w:val="single" w:color="000000" w:sz="6" w:space="0"/>
            </w:tcBorders>
            <w:tcMar>
              <w:left w:w="0" w:type="dxa"/>
              <w:right w:w="0" w:type="dxa"/>
            </w:tcMar>
          </w:tcPr>
          <w:p w14:paraId="00ADDEE3">
            <w:pPr>
              <w:widowControl/>
              <w:autoSpaceDE w:val="0"/>
              <w:autoSpaceDN w:val="0"/>
              <w:spacing w:before="126" w:after="0" w:line="160" w:lineRule="exact"/>
              <w:ind w:left="0" w:right="0" w:firstLine="0"/>
              <w:jc w:val="center"/>
            </w:pPr>
            <w:r>
              <w:rPr>
                <w:rFonts w:ascii="8GOHJyFf+SimSun" w:hAnsi="8GOHJyFf+SimSun" w:eastAsia="8GOHJyFf+SimSun"/>
                <w:color w:val="000000"/>
                <w:sz w:val="16"/>
              </w:rPr>
              <w:t>严控“三公经费”支</w:t>
            </w:r>
          </w:p>
          <w:p w14:paraId="2CCC9D31">
            <w:pPr>
              <w:widowControl/>
              <w:autoSpaceDE w:val="0"/>
              <w:autoSpaceDN w:val="0"/>
              <w:spacing w:before="38" w:after="0" w:line="160" w:lineRule="exact"/>
              <w:ind w:left="0" w:right="0" w:firstLine="0"/>
              <w:jc w:val="center"/>
            </w:pPr>
            <w:r>
              <w:rPr>
                <w:rFonts w:ascii="8GOHJyFf+SimSun" w:hAnsi="8GOHJyFf+SimSun" w:eastAsia="8GOHJyFf+SimSun"/>
                <w:color w:val="000000"/>
                <w:sz w:val="16"/>
              </w:rPr>
              <w:t>出</w:t>
            </w:r>
          </w:p>
        </w:tc>
        <w:tc>
          <w:tcPr>
            <w:tcW w:w="2556" w:type="dxa"/>
            <w:tcBorders>
              <w:top w:val="single" w:color="000000" w:sz="6" w:space="0"/>
              <w:left w:val="single" w:color="000000" w:sz="6" w:space="0"/>
              <w:bottom w:val="single" w:color="000000" w:sz="4" w:space="0"/>
              <w:right w:val="single" w:color="000000" w:sz="6" w:space="0"/>
            </w:tcBorders>
            <w:tcMar>
              <w:left w:w="0" w:type="dxa"/>
              <w:right w:w="0" w:type="dxa"/>
            </w:tcMar>
          </w:tcPr>
          <w:p w14:paraId="373666E9">
            <w:pPr>
              <w:widowControl/>
              <w:autoSpaceDE w:val="0"/>
              <w:autoSpaceDN w:val="0"/>
              <w:spacing w:before="36" w:after="0" w:line="160" w:lineRule="exact"/>
              <w:ind w:left="24" w:right="0" w:firstLine="0"/>
              <w:jc w:val="left"/>
            </w:pPr>
            <w:r>
              <w:rPr>
                <w:rFonts w:ascii="8GOHJyFf+SimSun" w:hAnsi="8GOHJyFf+SimSun" w:eastAsia="8GOHJyFf+SimSun"/>
                <w:color w:val="000000"/>
                <w:sz w:val="16"/>
              </w:rPr>
              <w:t>单位无一般公共预算“三公”经费</w:t>
            </w:r>
          </w:p>
          <w:p w14:paraId="6E4D90F7">
            <w:pPr>
              <w:widowControl/>
              <w:autoSpaceDE w:val="0"/>
              <w:autoSpaceDN w:val="0"/>
              <w:spacing w:before="36" w:after="0" w:line="160" w:lineRule="exact"/>
              <w:ind w:left="24" w:right="0" w:firstLine="0"/>
              <w:jc w:val="left"/>
            </w:pPr>
            <w:r>
              <w:rPr>
                <w:rFonts w:ascii="8GOHJyFf+SimSun" w:hAnsi="8GOHJyFf+SimSun" w:eastAsia="8GOHJyFf+SimSun"/>
                <w:color w:val="000000"/>
                <w:sz w:val="16"/>
              </w:rPr>
              <w:t>支出。</w:t>
            </w:r>
          </w:p>
        </w:tc>
        <w:tc>
          <w:tcPr>
            <w:tcW w:w="5424" w:type="dxa"/>
            <w:tcBorders>
              <w:top w:val="single" w:color="000000" w:sz="6" w:space="0"/>
              <w:left w:val="single" w:color="000000" w:sz="6" w:space="0"/>
              <w:bottom w:val="single" w:color="000000" w:sz="4" w:space="0"/>
              <w:right w:val="single" w:color="000000" w:sz="6" w:space="0"/>
            </w:tcBorders>
            <w:tcMar>
              <w:left w:w="0" w:type="dxa"/>
              <w:right w:w="0" w:type="dxa"/>
            </w:tcMar>
          </w:tcPr>
          <w:p w14:paraId="1C3492A3">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c>
          <w:tcPr>
            <w:tcW w:w="2568" w:type="dxa"/>
            <w:tcBorders>
              <w:top w:val="single" w:color="000000" w:sz="6" w:space="0"/>
              <w:left w:val="single" w:color="000000" w:sz="6" w:space="0"/>
              <w:bottom w:val="single" w:color="000000" w:sz="4" w:space="0"/>
              <w:right w:val="single" w:color="000000" w:sz="6" w:space="0"/>
            </w:tcBorders>
            <w:tcMar>
              <w:left w:w="0" w:type="dxa"/>
              <w:right w:w="0" w:type="dxa"/>
            </w:tcMar>
          </w:tcPr>
          <w:p w14:paraId="19B13F34">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c>
          <w:tcPr>
            <w:tcW w:w="1800" w:type="dxa"/>
            <w:tcBorders>
              <w:top w:val="single" w:color="000000" w:sz="6" w:space="0"/>
              <w:left w:val="single" w:color="000000" w:sz="6" w:space="0"/>
              <w:bottom w:val="single" w:color="000000" w:sz="4" w:space="0"/>
              <w:right w:val="single" w:color="000000" w:sz="6" w:space="0"/>
            </w:tcBorders>
            <w:tcMar>
              <w:left w:w="0" w:type="dxa"/>
              <w:right w:w="0" w:type="dxa"/>
            </w:tcMar>
          </w:tcPr>
          <w:p w14:paraId="1FF026A1">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680BB675">
        <w:tblPrEx>
          <w:tblCellMar>
            <w:top w:w="0" w:type="dxa"/>
            <w:left w:w="108" w:type="dxa"/>
            <w:bottom w:w="0" w:type="dxa"/>
            <w:right w:w="108" w:type="dxa"/>
          </w:tblCellMar>
        </w:tblPrEx>
        <w:trPr>
          <w:trHeight w:val="640" w:hRule="exact"/>
        </w:trPr>
        <w:tc>
          <w:tcPr>
            <w:tcW w:w="864" w:type="dxa"/>
            <w:vMerge w:val="restart"/>
            <w:tcBorders>
              <w:top w:val="single" w:color="000000" w:sz="4" w:space="0"/>
              <w:left w:val="single" w:color="000000" w:sz="6" w:space="0"/>
              <w:bottom w:val="single" w:color="000000" w:sz="4" w:space="0"/>
              <w:right w:val="single" w:color="000000" w:sz="6" w:space="0"/>
            </w:tcBorders>
            <w:tcMar>
              <w:left w:w="0" w:type="dxa"/>
              <w:right w:w="0" w:type="dxa"/>
            </w:tcMar>
          </w:tcPr>
          <w:p w14:paraId="7AA3DDA8">
            <w:pPr>
              <w:widowControl/>
              <w:autoSpaceDE w:val="0"/>
              <w:autoSpaceDN w:val="0"/>
              <w:spacing w:before="1128" w:after="0" w:line="160" w:lineRule="exact"/>
              <w:ind w:left="0" w:right="0" w:firstLine="0"/>
              <w:jc w:val="center"/>
            </w:pPr>
            <w:r>
              <w:rPr>
                <w:rFonts w:ascii="8GOHJyFf+SimSun" w:hAnsi="8GOHJyFf+SimSun" w:eastAsia="8GOHJyFf+SimSun"/>
                <w:color w:val="000000"/>
                <w:sz w:val="16"/>
              </w:rPr>
              <w:t>预算执行有</w:t>
            </w:r>
          </w:p>
          <w:p w14:paraId="6F23446C">
            <w:pPr>
              <w:widowControl/>
              <w:autoSpaceDE w:val="0"/>
              <w:autoSpaceDN w:val="0"/>
              <w:spacing w:before="40" w:after="0" w:line="160" w:lineRule="exact"/>
              <w:ind w:left="0" w:right="0" w:firstLine="0"/>
              <w:jc w:val="center"/>
            </w:pPr>
            <w:r>
              <w:rPr>
                <w:rFonts w:ascii="8GOHJyFf+SimSun" w:hAnsi="8GOHJyFf+SimSun" w:eastAsia="8GOHJyFf+SimSun"/>
                <w:color w:val="000000"/>
                <w:sz w:val="16"/>
              </w:rPr>
              <w:t>效</w:t>
            </w:r>
          </w:p>
        </w:tc>
        <w:tc>
          <w:tcPr>
            <w:tcW w:w="1512" w:type="dxa"/>
            <w:tcBorders>
              <w:top w:val="single" w:color="000000" w:sz="4" w:space="0"/>
              <w:left w:val="single" w:color="000000" w:sz="6" w:space="0"/>
              <w:bottom w:val="single" w:color="000000" w:sz="6" w:space="0"/>
              <w:right w:val="single" w:color="000000" w:sz="6" w:space="0"/>
            </w:tcBorders>
            <w:tcMar>
              <w:left w:w="0" w:type="dxa"/>
              <w:right w:w="0" w:type="dxa"/>
            </w:tcMar>
          </w:tcPr>
          <w:p w14:paraId="58DD7802">
            <w:pPr>
              <w:widowControl/>
              <w:autoSpaceDE w:val="0"/>
              <w:autoSpaceDN w:val="0"/>
              <w:spacing w:before="242" w:after="0" w:line="160" w:lineRule="exact"/>
              <w:ind w:left="0" w:right="0" w:firstLine="0"/>
              <w:jc w:val="center"/>
            </w:pPr>
            <w:r>
              <w:rPr>
                <w:rFonts w:ascii="8GOHJyFf+SimSun" w:hAnsi="8GOHJyFf+SimSun" w:eastAsia="8GOHJyFf+SimSun"/>
                <w:color w:val="000000"/>
                <w:sz w:val="16"/>
              </w:rPr>
              <w:t>严格预算执行</w:t>
            </w:r>
          </w:p>
        </w:tc>
        <w:tc>
          <w:tcPr>
            <w:tcW w:w="2556" w:type="dxa"/>
            <w:tcBorders>
              <w:top w:val="single" w:color="000000" w:sz="4" w:space="0"/>
              <w:left w:val="single" w:color="000000" w:sz="6" w:space="0"/>
              <w:bottom w:val="single" w:color="000000" w:sz="6" w:space="0"/>
              <w:right w:val="single" w:color="000000" w:sz="6" w:space="0"/>
            </w:tcBorders>
            <w:tcMar>
              <w:left w:w="0" w:type="dxa"/>
              <w:right w:w="0" w:type="dxa"/>
            </w:tcMar>
          </w:tcPr>
          <w:p w14:paraId="3F676F90">
            <w:pPr>
              <w:widowControl/>
              <w:autoSpaceDE w:val="0"/>
              <w:autoSpaceDN w:val="0"/>
              <w:spacing w:before="36" w:after="0" w:line="160" w:lineRule="exact"/>
              <w:ind w:left="24" w:right="0" w:firstLine="0"/>
              <w:jc w:val="left"/>
            </w:pPr>
            <w:r>
              <w:rPr>
                <w:rFonts w:ascii="8GOHJyFf+SimSun" w:hAnsi="8GOHJyFf+SimSun" w:eastAsia="8GOHJyFf+SimSun"/>
                <w:color w:val="000000"/>
                <w:sz w:val="16"/>
              </w:rPr>
              <w:t>项目及时开展，及时合规支付，并</w:t>
            </w:r>
          </w:p>
          <w:p w14:paraId="64D63EBE">
            <w:pPr>
              <w:widowControl/>
              <w:autoSpaceDE w:val="0"/>
              <w:autoSpaceDN w:val="0"/>
              <w:spacing w:before="38" w:after="0" w:line="160" w:lineRule="exact"/>
              <w:ind w:left="24" w:right="0" w:firstLine="0"/>
              <w:jc w:val="left"/>
            </w:pPr>
            <w:r>
              <w:rPr>
                <w:rFonts w:ascii="8GOHJyFf+SimSun" w:hAnsi="8GOHJyFf+SimSun" w:eastAsia="8GOHJyFf+SimSun"/>
                <w:color w:val="000000"/>
                <w:sz w:val="16"/>
              </w:rPr>
              <w:t>定期通报支出执行进度</w:t>
            </w:r>
          </w:p>
        </w:tc>
        <w:tc>
          <w:tcPr>
            <w:tcW w:w="5424" w:type="dxa"/>
            <w:tcBorders>
              <w:top w:val="single" w:color="000000" w:sz="4" w:space="0"/>
              <w:left w:val="single" w:color="000000" w:sz="6" w:space="0"/>
              <w:bottom w:val="single" w:color="000000" w:sz="6" w:space="0"/>
              <w:right w:val="single" w:color="000000" w:sz="6" w:space="0"/>
            </w:tcBorders>
            <w:tcMar>
              <w:left w:w="0" w:type="dxa"/>
              <w:right w:w="0" w:type="dxa"/>
            </w:tcMar>
          </w:tcPr>
          <w:p w14:paraId="7A1984F2">
            <w:pPr>
              <w:widowControl/>
              <w:autoSpaceDE w:val="0"/>
              <w:autoSpaceDN w:val="0"/>
              <w:spacing w:before="36" w:after="0" w:line="160" w:lineRule="exact"/>
              <w:ind w:left="24" w:right="0" w:firstLine="0"/>
              <w:jc w:val="left"/>
            </w:pPr>
            <w:r>
              <w:rPr>
                <w:rFonts w:ascii="8GOHJyFf+SimSun" w:hAnsi="8GOHJyFf+SimSun" w:eastAsia="8GOHJyFf+SimSun"/>
                <w:color w:val="000000"/>
                <w:sz w:val="16"/>
              </w:rPr>
              <w:t>2025年内各项目及时开展，及时合规支付，并按季度定期通报了支出执行进</w:t>
            </w:r>
          </w:p>
          <w:p w14:paraId="6273E135">
            <w:pPr>
              <w:widowControl/>
              <w:autoSpaceDE w:val="0"/>
              <w:autoSpaceDN w:val="0"/>
              <w:spacing w:before="38" w:after="0" w:line="160" w:lineRule="exact"/>
              <w:ind w:left="24" w:right="0" w:firstLine="0"/>
              <w:jc w:val="left"/>
            </w:pPr>
            <w:r>
              <w:rPr>
                <w:rFonts w:ascii="8GOHJyFf+SimSun" w:hAnsi="8GOHJyFf+SimSun" w:eastAsia="8GOHJyFf+SimSun"/>
                <w:color w:val="000000"/>
                <w:sz w:val="16"/>
              </w:rPr>
              <w:t>度，绩效指标基本已完成，执行情况良好。</w:t>
            </w:r>
          </w:p>
        </w:tc>
        <w:tc>
          <w:tcPr>
            <w:tcW w:w="2568" w:type="dxa"/>
            <w:tcBorders>
              <w:top w:val="single" w:color="000000" w:sz="4" w:space="0"/>
              <w:left w:val="single" w:color="000000" w:sz="6" w:space="0"/>
              <w:bottom w:val="single" w:color="000000" w:sz="6" w:space="0"/>
              <w:right w:val="single" w:color="000000" w:sz="6" w:space="0"/>
            </w:tcBorders>
            <w:tcMar>
              <w:left w:w="0" w:type="dxa"/>
              <w:right w:w="0" w:type="dxa"/>
            </w:tcMar>
          </w:tcPr>
          <w:p w14:paraId="48065E46">
            <w:pPr>
              <w:widowControl/>
              <w:autoSpaceDE w:val="0"/>
              <w:autoSpaceDN w:val="0"/>
              <w:spacing w:before="36" w:after="0" w:line="160" w:lineRule="exact"/>
              <w:ind w:left="24" w:right="0" w:firstLine="0"/>
              <w:jc w:val="left"/>
            </w:pPr>
            <w:r>
              <w:rPr>
                <w:rFonts w:ascii="8GOHJyFf+SimSun" w:hAnsi="8GOHJyFf+SimSun" w:eastAsia="8GOHJyFf+SimSun"/>
                <w:color w:val="000000"/>
                <w:sz w:val="16"/>
              </w:rPr>
              <w:t>已完成年初制定的任务。</w:t>
            </w:r>
          </w:p>
        </w:tc>
        <w:tc>
          <w:tcPr>
            <w:tcW w:w="1800" w:type="dxa"/>
            <w:tcBorders>
              <w:top w:val="single" w:color="000000" w:sz="4" w:space="0"/>
              <w:left w:val="single" w:color="000000" w:sz="6" w:space="0"/>
              <w:bottom w:val="single" w:color="000000" w:sz="6" w:space="0"/>
              <w:right w:val="single" w:color="000000" w:sz="6" w:space="0"/>
            </w:tcBorders>
            <w:tcMar>
              <w:left w:w="0" w:type="dxa"/>
              <w:right w:w="0" w:type="dxa"/>
            </w:tcMar>
          </w:tcPr>
          <w:p w14:paraId="7BCF208C">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7828AE8F">
        <w:tblPrEx>
          <w:tblCellMar>
            <w:top w:w="0" w:type="dxa"/>
            <w:left w:w="108" w:type="dxa"/>
            <w:bottom w:w="0" w:type="dxa"/>
            <w:right w:w="108" w:type="dxa"/>
          </w:tblCellMar>
        </w:tblPrEx>
        <w:trPr>
          <w:trHeight w:val="624" w:hRule="exact"/>
        </w:trPr>
        <w:tc>
          <w:tcPr>
            <w:tcW w:w="2460" w:type="dxa"/>
            <w:vMerge w:val="continue"/>
            <w:tcBorders>
              <w:top w:val="single" w:color="000000" w:sz="4" w:space="0"/>
              <w:left w:val="single" w:color="000000" w:sz="6" w:space="0"/>
              <w:bottom w:val="single" w:color="000000" w:sz="4" w:space="0"/>
              <w:right w:val="single" w:color="000000" w:sz="6" w:space="0"/>
            </w:tcBorders>
          </w:tcPr>
          <w:p w14:paraId="74E24D2D"/>
        </w:tc>
        <w:tc>
          <w:tcPr>
            <w:tcW w:w="1512"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1F314">
            <w:pPr>
              <w:widowControl/>
              <w:autoSpaceDE w:val="0"/>
              <w:autoSpaceDN w:val="0"/>
              <w:spacing w:before="234" w:after="0" w:line="160" w:lineRule="exact"/>
              <w:ind w:left="0" w:right="0" w:firstLine="0"/>
              <w:jc w:val="center"/>
            </w:pPr>
            <w:r>
              <w:rPr>
                <w:rFonts w:ascii="8GOHJyFf+SimSun" w:hAnsi="8GOHJyFf+SimSun" w:eastAsia="8GOHJyFf+SimSun"/>
                <w:color w:val="000000"/>
                <w:sz w:val="16"/>
              </w:rPr>
              <w:t>严格结转结余</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B9BBC5">
            <w:pPr>
              <w:widowControl/>
              <w:autoSpaceDE w:val="0"/>
              <w:autoSpaceDN w:val="0"/>
              <w:spacing w:before="36" w:after="0" w:line="160" w:lineRule="exact"/>
              <w:ind w:left="24" w:right="0" w:firstLine="0"/>
              <w:jc w:val="left"/>
            </w:pPr>
            <w:r>
              <w:rPr>
                <w:rFonts w:ascii="8GOHJyFf+SimSun" w:hAnsi="8GOHJyFf+SimSun" w:eastAsia="8GOHJyFf+SimSun"/>
                <w:color w:val="000000"/>
                <w:sz w:val="16"/>
              </w:rPr>
              <w:t>严格执行结转结余相关规定。</w:t>
            </w:r>
          </w:p>
        </w:tc>
        <w:tc>
          <w:tcPr>
            <w:tcW w:w="5424" w:type="dxa"/>
            <w:tcBorders>
              <w:top w:val="single" w:color="000000" w:sz="6" w:space="0"/>
              <w:left w:val="single" w:color="000000" w:sz="6" w:space="0"/>
              <w:bottom w:val="single" w:color="000000" w:sz="6" w:space="0"/>
              <w:right w:val="single" w:color="000000" w:sz="6" w:space="0"/>
            </w:tcBorders>
            <w:tcMar>
              <w:left w:w="0" w:type="dxa"/>
              <w:right w:w="0" w:type="dxa"/>
            </w:tcMar>
          </w:tcPr>
          <w:p w14:paraId="31DCDAD5">
            <w:pPr>
              <w:widowControl/>
              <w:autoSpaceDE w:val="0"/>
              <w:autoSpaceDN w:val="0"/>
              <w:spacing w:before="36" w:after="0" w:line="160" w:lineRule="exact"/>
              <w:ind w:left="0" w:right="0" w:firstLine="0"/>
              <w:jc w:val="center"/>
            </w:pPr>
            <w:r>
              <w:rPr>
                <w:rFonts w:ascii="8GOHJyFf+SimSun" w:hAnsi="8GOHJyFf+SimSun" w:eastAsia="8GOHJyFf+SimSun"/>
                <w:color w:val="000000"/>
                <w:sz w:val="16"/>
              </w:rPr>
              <w:t>2025年年初结转0.20万元，已全部支出，年末结转结余0万元，已按规定办理</w:t>
            </w:r>
          </w:p>
          <w:p w14:paraId="1B2988DC">
            <w:pPr>
              <w:widowControl/>
              <w:autoSpaceDE w:val="0"/>
              <w:autoSpaceDN w:val="0"/>
              <w:spacing w:before="36" w:after="0" w:line="160" w:lineRule="exact"/>
              <w:ind w:left="24" w:right="0" w:firstLine="0"/>
              <w:jc w:val="left"/>
            </w:pPr>
            <w:r>
              <w:rPr>
                <w:rFonts w:ascii="8GOHJyFf+SimSun" w:hAnsi="8GOHJyFf+SimSun" w:eastAsia="8GOHJyFf+SimSun"/>
                <w:color w:val="000000"/>
                <w:sz w:val="16"/>
              </w:rPr>
              <w:t>结转结余相关手续。</w:t>
            </w:r>
          </w:p>
        </w:tc>
        <w:tc>
          <w:tcPr>
            <w:tcW w:w="25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C5ADC2">
            <w:pPr>
              <w:widowControl/>
              <w:autoSpaceDE w:val="0"/>
              <w:autoSpaceDN w:val="0"/>
              <w:spacing w:before="36" w:after="0" w:line="160" w:lineRule="exact"/>
              <w:ind w:left="24" w:right="0" w:firstLine="0"/>
              <w:jc w:val="left"/>
            </w:pPr>
            <w:r>
              <w:rPr>
                <w:rFonts w:ascii="8GOHJyFf+SimSun" w:hAnsi="8GOHJyFf+SimSun" w:eastAsia="8GOHJyFf+SimSun"/>
                <w:color w:val="000000"/>
                <w:sz w:val="16"/>
              </w:rPr>
              <w:t>已完成严格执行结转结余相关规定</w:t>
            </w:r>
          </w:p>
          <w:p w14:paraId="79962095">
            <w:pPr>
              <w:widowControl/>
              <w:autoSpaceDE w:val="0"/>
              <w:autoSpaceDN w:val="0"/>
              <w:spacing w:before="36" w:after="0" w:line="160" w:lineRule="exact"/>
              <w:ind w:left="24" w:right="0" w:firstLine="0"/>
              <w:jc w:val="left"/>
            </w:pPr>
            <w:r>
              <w:rPr>
                <w:rFonts w:ascii="8GOHJyFf+SimSun" w:hAnsi="8GOHJyFf+SimSun" w:eastAsia="8GOHJyFf+SimSun"/>
                <w:color w:val="000000"/>
                <w:sz w:val="16"/>
              </w:rPr>
              <w:t>的任务。</w:t>
            </w:r>
          </w:p>
        </w:tc>
        <w:tc>
          <w:tcPr>
            <w:tcW w:w="1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6DFCBC8C">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728DBDFA">
        <w:tblPrEx>
          <w:tblCellMar>
            <w:top w:w="0" w:type="dxa"/>
            <w:left w:w="108" w:type="dxa"/>
            <w:bottom w:w="0" w:type="dxa"/>
            <w:right w:w="108" w:type="dxa"/>
          </w:tblCellMar>
        </w:tblPrEx>
        <w:trPr>
          <w:trHeight w:val="804" w:hRule="exact"/>
        </w:trPr>
        <w:tc>
          <w:tcPr>
            <w:tcW w:w="2460" w:type="dxa"/>
            <w:vMerge w:val="continue"/>
            <w:tcBorders>
              <w:top w:val="single" w:color="000000" w:sz="4" w:space="0"/>
              <w:left w:val="single" w:color="000000" w:sz="6" w:space="0"/>
              <w:bottom w:val="single" w:color="000000" w:sz="4" w:space="0"/>
              <w:right w:val="single" w:color="000000" w:sz="6" w:space="0"/>
            </w:tcBorders>
          </w:tcPr>
          <w:p w14:paraId="1D320772"/>
        </w:tc>
        <w:tc>
          <w:tcPr>
            <w:tcW w:w="1512" w:type="dxa"/>
            <w:tcBorders>
              <w:top w:val="single" w:color="000000" w:sz="6" w:space="0"/>
              <w:left w:val="single" w:color="000000" w:sz="6" w:space="0"/>
              <w:bottom w:val="single" w:color="000000" w:sz="6" w:space="0"/>
              <w:right w:val="single" w:color="000000" w:sz="6" w:space="0"/>
            </w:tcBorders>
            <w:tcMar>
              <w:left w:w="0" w:type="dxa"/>
              <w:right w:w="0" w:type="dxa"/>
            </w:tcMar>
          </w:tcPr>
          <w:p w14:paraId="4C401F4F">
            <w:pPr>
              <w:widowControl/>
              <w:autoSpaceDE w:val="0"/>
              <w:autoSpaceDN w:val="0"/>
              <w:spacing w:before="324" w:after="0" w:line="160" w:lineRule="exact"/>
              <w:ind w:left="0" w:right="0" w:firstLine="0"/>
              <w:jc w:val="center"/>
            </w:pPr>
            <w:r>
              <w:rPr>
                <w:rFonts w:ascii="8GOHJyFf+SimSun" w:hAnsi="8GOHJyFf+SimSun" w:eastAsia="8GOHJyFf+SimSun"/>
                <w:color w:val="000000"/>
                <w:sz w:val="16"/>
              </w:rPr>
              <w:t>项目组织良好</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8E54F3">
            <w:pPr>
              <w:widowControl/>
              <w:autoSpaceDE w:val="0"/>
              <w:autoSpaceDN w:val="0"/>
              <w:spacing w:before="0" w:after="0" w:line="196" w:lineRule="exact"/>
              <w:ind w:left="24" w:right="128" w:firstLine="0"/>
              <w:jc w:val="both"/>
            </w:pPr>
            <w:r>
              <w:rPr>
                <w:rFonts w:ascii="8GOHJyFf+SimSun" w:hAnsi="8GOHJyFf+SimSun" w:eastAsia="8GOHJyFf+SimSun"/>
                <w:color w:val="000000"/>
                <w:sz w:val="16"/>
              </w:rPr>
              <w:t>项目及时开展，按照相关规定和程序开展。强化财政管理。完善全过程预算绩效管理流程。</w:t>
            </w:r>
          </w:p>
        </w:tc>
        <w:tc>
          <w:tcPr>
            <w:tcW w:w="5424" w:type="dxa"/>
            <w:tcBorders>
              <w:top w:val="single" w:color="000000" w:sz="6" w:space="0"/>
              <w:left w:val="single" w:color="000000" w:sz="6" w:space="0"/>
              <w:bottom w:val="single" w:color="000000" w:sz="6" w:space="0"/>
              <w:right w:val="single" w:color="000000" w:sz="6" w:space="0"/>
            </w:tcBorders>
            <w:tcMar>
              <w:left w:w="0" w:type="dxa"/>
              <w:right w:w="0" w:type="dxa"/>
            </w:tcMar>
          </w:tcPr>
          <w:p w14:paraId="7DD44461">
            <w:pPr>
              <w:widowControl/>
              <w:autoSpaceDE w:val="0"/>
              <w:autoSpaceDN w:val="0"/>
              <w:spacing w:before="36" w:after="0" w:line="160" w:lineRule="exact"/>
              <w:ind w:left="24" w:right="0" w:firstLine="0"/>
              <w:jc w:val="left"/>
            </w:pPr>
            <w:r>
              <w:rPr>
                <w:rFonts w:ascii="8GOHJyFf+SimSun" w:hAnsi="8GOHJyFf+SimSun" w:eastAsia="8GOHJyFf+SimSun"/>
                <w:color w:val="000000"/>
                <w:sz w:val="16"/>
              </w:rPr>
              <w:t>项目及时开展，按照相关规定和程序开展，绩效指标基本已完成，执行情况</w:t>
            </w:r>
          </w:p>
          <w:p w14:paraId="39E199A0">
            <w:pPr>
              <w:widowControl/>
              <w:autoSpaceDE w:val="0"/>
              <w:autoSpaceDN w:val="0"/>
              <w:spacing w:before="36" w:after="0" w:line="160" w:lineRule="exact"/>
              <w:ind w:left="24" w:right="0" w:firstLine="0"/>
              <w:jc w:val="left"/>
            </w:pPr>
            <w:r>
              <w:rPr>
                <w:rFonts w:ascii="8GOHJyFf+SimSun" w:hAnsi="8GOHJyFf+SimSun" w:eastAsia="8GOHJyFf+SimSun"/>
                <w:color w:val="000000"/>
                <w:sz w:val="16"/>
              </w:rPr>
              <w:t>良好。</w:t>
            </w:r>
          </w:p>
        </w:tc>
        <w:tc>
          <w:tcPr>
            <w:tcW w:w="25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BC9F04">
            <w:pPr>
              <w:widowControl/>
              <w:autoSpaceDE w:val="0"/>
              <w:autoSpaceDN w:val="0"/>
              <w:spacing w:before="0" w:after="0" w:line="196" w:lineRule="exact"/>
              <w:ind w:left="24" w:right="140" w:firstLine="0"/>
              <w:jc w:val="both"/>
            </w:pPr>
            <w:r>
              <w:rPr>
                <w:rFonts w:ascii="8GOHJyFf+SimSun" w:hAnsi="8GOHJyFf+SimSun" w:eastAsia="8GOHJyFf+SimSun"/>
                <w:color w:val="000000"/>
                <w:sz w:val="16"/>
              </w:rPr>
              <w:t>项目及时开展，按照相关规定和程序开展。强化财政管理。完善全过程预算绩效管理流程。</w:t>
            </w:r>
          </w:p>
        </w:tc>
        <w:tc>
          <w:tcPr>
            <w:tcW w:w="1800" w:type="dxa"/>
            <w:tcBorders>
              <w:top w:val="single" w:color="000000" w:sz="6" w:space="0"/>
              <w:left w:val="single" w:color="000000" w:sz="6" w:space="0"/>
              <w:bottom w:val="single" w:color="000000" w:sz="6" w:space="0"/>
              <w:right w:val="single" w:color="000000" w:sz="6" w:space="0"/>
            </w:tcBorders>
            <w:tcMar>
              <w:left w:w="0" w:type="dxa"/>
              <w:right w:w="0" w:type="dxa"/>
            </w:tcMar>
          </w:tcPr>
          <w:p w14:paraId="268EDAF8">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17C9FB15">
        <w:tblPrEx>
          <w:tblCellMar>
            <w:top w:w="0" w:type="dxa"/>
            <w:left w:w="108" w:type="dxa"/>
            <w:bottom w:w="0" w:type="dxa"/>
            <w:right w:w="108" w:type="dxa"/>
          </w:tblCellMar>
        </w:tblPrEx>
        <w:trPr>
          <w:trHeight w:val="542" w:hRule="exact"/>
        </w:trPr>
        <w:tc>
          <w:tcPr>
            <w:tcW w:w="2460" w:type="dxa"/>
            <w:vMerge w:val="continue"/>
            <w:tcBorders>
              <w:top w:val="single" w:color="000000" w:sz="4" w:space="0"/>
              <w:left w:val="single" w:color="000000" w:sz="6" w:space="0"/>
              <w:bottom w:val="single" w:color="000000" w:sz="4" w:space="0"/>
              <w:right w:val="single" w:color="000000" w:sz="6" w:space="0"/>
            </w:tcBorders>
          </w:tcPr>
          <w:p w14:paraId="75DA57ED"/>
        </w:tc>
        <w:tc>
          <w:tcPr>
            <w:tcW w:w="1512" w:type="dxa"/>
            <w:tcBorders>
              <w:top w:val="single" w:color="000000" w:sz="6" w:space="0"/>
              <w:left w:val="single" w:color="000000" w:sz="6" w:space="0"/>
              <w:bottom w:val="single" w:color="000000" w:sz="4" w:space="0"/>
              <w:right w:val="single" w:color="000000" w:sz="6" w:space="0"/>
            </w:tcBorders>
            <w:tcMar>
              <w:left w:w="0" w:type="dxa"/>
              <w:right w:w="0" w:type="dxa"/>
            </w:tcMar>
          </w:tcPr>
          <w:p w14:paraId="136AEBDF">
            <w:pPr>
              <w:widowControl/>
              <w:autoSpaceDE w:val="0"/>
              <w:autoSpaceDN w:val="0"/>
              <w:spacing w:before="92" w:after="0" w:line="160" w:lineRule="exact"/>
              <w:ind w:left="0" w:right="0" w:firstLine="0"/>
              <w:jc w:val="center"/>
            </w:pPr>
            <w:r>
              <w:rPr>
                <w:rFonts w:ascii="8GOHJyFf+SimSun" w:hAnsi="8GOHJyFf+SimSun" w:eastAsia="8GOHJyFf+SimSun"/>
                <w:color w:val="000000"/>
                <w:sz w:val="16"/>
              </w:rPr>
              <w:t>“三公经费”节支增</w:t>
            </w:r>
          </w:p>
          <w:p w14:paraId="01B18C30">
            <w:pPr>
              <w:widowControl/>
              <w:autoSpaceDE w:val="0"/>
              <w:autoSpaceDN w:val="0"/>
              <w:spacing w:before="40" w:after="0" w:line="160" w:lineRule="exact"/>
              <w:ind w:left="0" w:right="0" w:firstLine="0"/>
              <w:jc w:val="center"/>
            </w:pPr>
            <w:r>
              <w:rPr>
                <w:rFonts w:ascii="8GOHJyFf+SimSun" w:hAnsi="8GOHJyFf+SimSun" w:eastAsia="8GOHJyFf+SimSun"/>
                <w:color w:val="000000"/>
                <w:sz w:val="16"/>
              </w:rPr>
              <w:t>效</w:t>
            </w:r>
          </w:p>
        </w:tc>
        <w:tc>
          <w:tcPr>
            <w:tcW w:w="2556" w:type="dxa"/>
            <w:tcBorders>
              <w:top w:val="single" w:color="000000" w:sz="6" w:space="0"/>
              <w:left w:val="single" w:color="000000" w:sz="6" w:space="0"/>
              <w:bottom w:val="single" w:color="000000" w:sz="4" w:space="0"/>
              <w:right w:val="single" w:color="000000" w:sz="6" w:space="0"/>
            </w:tcBorders>
            <w:tcMar>
              <w:left w:w="0" w:type="dxa"/>
              <w:right w:w="0" w:type="dxa"/>
            </w:tcMar>
          </w:tcPr>
          <w:p w14:paraId="27345B47">
            <w:pPr>
              <w:widowControl/>
              <w:autoSpaceDE w:val="0"/>
              <w:autoSpaceDN w:val="0"/>
              <w:spacing w:before="36" w:after="0" w:line="160" w:lineRule="exact"/>
              <w:ind w:left="24" w:right="0" w:firstLine="0"/>
              <w:jc w:val="left"/>
            </w:pPr>
            <w:r>
              <w:rPr>
                <w:rFonts w:ascii="8GOHJyFf+SimSun" w:hAnsi="8GOHJyFf+SimSun" w:eastAsia="8GOHJyFf+SimSun"/>
                <w:color w:val="000000"/>
                <w:sz w:val="16"/>
              </w:rPr>
              <w:t>单位无一般公共预算“三公”经费</w:t>
            </w:r>
          </w:p>
          <w:p w14:paraId="70F27DCF">
            <w:pPr>
              <w:widowControl/>
              <w:autoSpaceDE w:val="0"/>
              <w:autoSpaceDN w:val="0"/>
              <w:spacing w:before="36" w:after="0" w:line="160" w:lineRule="exact"/>
              <w:ind w:left="24" w:right="0" w:firstLine="0"/>
              <w:jc w:val="left"/>
            </w:pPr>
            <w:r>
              <w:rPr>
                <w:rFonts w:ascii="8GOHJyFf+SimSun" w:hAnsi="8GOHJyFf+SimSun" w:eastAsia="8GOHJyFf+SimSun"/>
                <w:color w:val="000000"/>
                <w:sz w:val="16"/>
              </w:rPr>
              <w:t>支出。</w:t>
            </w:r>
          </w:p>
        </w:tc>
        <w:tc>
          <w:tcPr>
            <w:tcW w:w="5424" w:type="dxa"/>
            <w:tcBorders>
              <w:top w:val="single" w:color="000000" w:sz="6" w:space="0"/>
              <w:left w:val="single" w:color="000000" w:sz="6" w:space="0"/>
              <w:bottom w:val="single" w:color="000000" w:sz="4" w:space="0"/>
              <w:right w:val="single" w:color="000000" w:sz="6" w:space="0"/>
            </w:tcBorders>
            <w:tcMar>
              <w:left w:w="0" w:type="dxa"/>
              <w:right w:w="0" w:type="dxa"/>
            </w:tcMar>
          </w:tcPr>
          <w:p w14:paraId="11A2609E">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c>
          <w:tcPr>
            <w:tcW w:w="2568" w:type="dxa"/>
            <w:tcBorders>
              <w:top w:val="single" w:color="000000" w:sz="6" w:space="0"/>
              <w:left w:val="single" w:color="000000" w:sz="6" w:space="0"/>
              <w:bottom w:val="single" w:color="000000" w:sz="4" w:space="0"/>
              <w:right w:val="single" w:color="000000" w:sz="6" w:space="0"/>
            </w:tcBorders>
            <w:tcMar>
              <w:left w:w="0" w:type="dxa"/>
              <w:right w:w="0" w:type="dxa"/>
            </w:tcMar>
          </w:tcPr>
          <w:p w14:paraId="73CA7982">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c>
          <w:tcPr>
            <w:tcW w:w="1800" w:type="dxa"/>
            <w:tcBorders>
              <w:top w:val="single" w:color="000000" w:sz="6" w:space="0"/>
              <w:left w:val="single" w:color="000000" w:sz="6" w:space="0"/>
              <w:bottom w:val="single" w:color="000000" w:sz="4" w:space="0"/>
              <w:right w:val="single" w:color="000000" w:sz="6" w:space="0"/>
            </w:tcBorders>
            <w:tcMar>
              <w:left w:w="0" w:type="dxa"/>
              <w:right w:w="0" w:type="dxa"/>
            </w:tcMar>
          </w:tcPr>
          <w:p w14:paraId="272A9E03">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5843DA8F">
        <w:tblPrEx>
          <w:tblCellMar>
            <w:top w:w="0" w:type="dxa"/>
            <w:left w:w="108" w:type="dxa"/>
            <w:bottom w:w="0" w:type="dxa"/>
            <w:right w:w="108" w:type="dxa"/>
          </w:tblCellMar>
        </w:tblPrEx>
        <w:trPr>
          <w:trHeight w:val="852" w:hRule="exact"/>
        </w:trPr>
        <w:tc>
          <w:tcPr>
            <w:tcW w:w="864" w:type="dxa"/>
            <w:tcBorders>
              <w:top w:val="single" w:color="000000" w:sz="4" w:space="0"/>
              <w:left w:val="single" w:color="000000" w:sz="6" w:space="0"/>
              <w:right w:val="single" w:color="000000" w:sz="6" w:space="0"/>
            </w:tcBorders>
            <w:tcMar>
              <w:left w:w="0" w:type="dxa"/>
              <w:right w:w="0" w:type="dxa"/>
            </w:tcMar>
          </w:tcPr>
          <w:p w14:paraId="29C7E505"/>
        </w:tc>
        <w:tc>
          <w:tcPr>
            <w:tcW w:w="1512" w:type="dxa"/>
            <w:tcBorders>
              <w:top w:val="single" w:color="000000" w:sz="4" w:space="0"/>
              <w:left w:val="single" w:color="000000" w:sz="6" w:space="0"/>
              <w:bottom w:val="single" w:color="000000" w:sz="4" w:space="0"/>
              <w:right w:val="single" w:color="000000" w:sz="6" w:space="0"/>
            </w:tcBorders>
            <w:tcMar>
              <w:left w:w="0" w:type="dxa"/>
              <w:right w:w="0" w:type="dxa"/>
            </w:tcMar>
          </w:tcPr>
          <w:p w14:paraId="65BB3922">
            <w:pPr>
              <w:widowControl/>
              <w:autoSpaceDE w:val="0"/>
              <w:autoSpaceDN w:val="0"/>
              <w:spacing w:before="350" w:after="0" w:line="160" w:lineRule="exact"/>
              <w:ind w:left="0" w:right="0" w:firstLine="0"/>
              <w:jc w:val="center"/>
            </w:pPr>
            <w:r>
              <w:rPr>
                <w:rFonts w:ascii="8GOHJyFf+SimSun" w:hAnsi="8GOHJyFf+SimSun" w:eastAsia="8GOHJyFf+SimSun"/>
                <w:color w:val="000000"/>
                <w:sz w:val="16"/>
              </w:rPr>
              <w:t>管理制度健全</w:t>
            </w:r>
          </w:p>
        </w:tc>
        <w:tc>
          <w:tcPr>
            <w:tcW w:w="2556" w:type="dxa"/>
            <w:tcBorders>
              <w:top w:val="single" w:color="000000" w:sz="4" w:space="0"/>
              <w:left w:val="single" w:color="000000" w:sz="6" w:space="0"/>
              <w:bottom w:val="single" w:color="000000" w:sz="4" w:space="0"/>
              <w:right w:val="single" w:color="000000" w:sz="6" w:space="0"/>
            </w:tcBorders>
            <w:tcMar>
              <w:left w:w="0" w:type="dxa"/>
              <w:right w:w="0" w:type="dxa"/>
            </w:tcMar>
          </w:tcPr>
          <w:p w14:paraId="645751A4">
            <w:pPr>
              <w:widowControl/>
              <w:autoSpaceDE w:val="0"/>
              <w:autoSpaceDN w:val="0"/>
              <w:spacing w:before="2" w:after="0" w:line="196" w:lineRule="exact"/>
              <w:ind w:left="24" w:right="128" w:firstLine="0"/>
              <w:jc w:val="both"/>
            </w:pPr>
            <w:r>
              <w:rPr>
                <w:rFonts w:ascii="8GOHJyFf+SimSun" w:hAnsi="8GOHJyFf+SimSun" w:eastAsia="8GOHJyFf+SimSun"/>
                <w:color w:val="000000"/>
                <w:sz w:val="16"/>
              </w:rPr>
              <w:t>建立部门内部控制制度，财务管理制度、资产管理制度和“三重一大”事项集体决策制度。</w:t>
            </w:r>
          </w:p>
        </w:tc>
        <w:tc>
          <w:tcPr>
            <w:tcW w:w="5424" w:type="dxa"/>
            <w:tcBorders>
              <w:top w:val="single" w:color="000000" w:sz="4" w:space="0"/>
              <w:left w:val="single" w:color="000000" w:sz="6" w:space="0"/>
              <w:bottom w:val="single" w:color="000000" w:sz="4" w:space="0"/>
              <w:right w:val="single" w:color="000000" w:sz="6" w:space="0"/>
            </w:tcBorders>
            <w:tcMar>
              <w:left w:w="0" w:type="dxa"/>
              <w:right w:w="0" w:type="dxa"/>
            </w:tcMar>
          </w:tcPr>
          <w:p w14:paraId="282633B0">
            <w:pPr>
              <w:widowControl/>
              <w:autoSpaceDE w:val="0"/>
              <w:autoSpaceDN w:val="0"/>
              <w:spacing w:before="38" w:after="0" w:line="160" w:lineRule="exact"/>
              <w:ind w:left="24" w:right="0" w:firstLine="0"/>
              <w:jc w:val="left"/>
            </w:pPr>
            <w:r>
              <w:rPr>
                <w:rFonts w:ascii="8GOHJyFf+SimSun" w:hAnsi="8GOHJyFf+SimSun" w:eastAsia="8GOHJyFf+SimSun"/>
                <w:color w:val="000000"/>
                <w:sz w:val="16"/>
              </w:rPr>
              <w:t>建立部门内部控制制度，财务管理制度、资产管理制度和“三重一大”事项</w:t>
            </w:r>
          </w:p>
          <w:p w14:paraId="4B27C653">
            <w:pPr>
              <w:widowControl/>
              <w:autoSpaceDE w:val="0"/>
              <w:autoSpaceDN w:val="0"/>
              <w:spacing w:before="36" w:after="0" w:line="160" w:lineRule="exact"/>
              <w:ind w:left="24" w:right="0" w:firstLine="0"/>
              <w:jc w:val="left"/>
            </w:pPr>
            <w:r>
              <w:rPr>
                <w:rFonts w:ascii="8GOHJyFf+SimSun" w:hAnsi="8GOHJyFf+SimSun" w:eastAsia="8GOHJyFf+SimSun"/>
                <w:color w:val="000000"/>
                <w:sz w:val="16"/>
              </w:rPr>
              <w:t>集体决策制度。</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007657EC">
            <w:pPr>
              <w:widowControl/>
              <w:autoSpaceDE w:val="0"/>
              <w:autoSpaceDN w:val="0"/>
              <w:spacing w:before="2" w:after="0" w:line="196" w:lineRule="exact"/>
              <w:ind w:left="24" w:right="140" w:firstLine="0"/>
              <w:jc w:val="both"/>
            </w:pPr>
            <w:r>
              <w:rPr>
                <w:rFonts w:ascii="8GOHJyFf+SimSun" w:hAnsi="8GOHJyFf+SimSun" w:eastAsia="8GOHJyFf+SimSun"/>
                <w:color w:val="000000"/>
                <w:sz w:val="16"/>
              </w:rPr>
              <w:t>建立部门内部控制制度，财务管理制度、资产管理制度和“三重一大”事项集体决策制度。</w:t>
            </w:r>
          </w:p>
        </w:tc>
        <w:tc>
          <w:tcPr>
            <w:tcW w:w="1800" w:type="dxa"/>
            <w:tcBorders>
              <w:top w:val="single" w:color="000000" w:sz="4" w:space="0"/>
              <w:left w:val="single" w:color="000000" w:sz="6" w:space="0"/>
              <w:bottom w:val="single" w:color="000000" w:sz="4" w:space="0"/>
              <w:right w:val="single" w:color="000000" w:sz="6" w:space="0"/>
            </w:tcBorders>
            <w:tcMar>
              <w:left w:w="0" w:type="dxa"/>
              <w:right w:w="0" w:type="dxa"/>
            </w:tcMar>
          </w:tcPr>
          <w:p w14:paraId="72B9A2F4">
            <w:pPr>
              <w:widowControl/>
              <w:autoSpaceDE w:val="0"/>
              <w:autoSpaceDN w:val="0"/>
              <w:spacing w:before="38" w:after="0" w:line="160" w:lineRule="exact"/>
              <w:ind w:left="24" w:right="0" w:firstLine="0"/>
              <w:jc w:val="left"/>
            </w:pPr>
            <w:r>
              <w:rPr>
                <w:rFonts w:ascii="8GOHJyFf+SimSun" w:hAnsi="8GOHJyFf+SimSun" w:eastAsia="8GOHJyFf+SimSun"/>
                <w:color w:val="000000"/>
                <w:sz w:val="16"/>
              </w:rPr>
              <w:t>无</w:t>
            </w:r>
          </w:p>
        </w:tc>
      </w:tr>
    </w:tbl>
    <w:p w14:paraId="5C0CCFA3">
      <w:pPr>
        <w:widowControl/>
        <w:autoSpaceDE w:val="0"/>
        <w:autoSpaceDN w:val="0"/>
        <w:spacing w:before="30" w:after="0" w:line="160" w:lineRule="exact"/>
        <w:ind w:left="48" w:right="0" w:firstLine="0"/>
        <w:jc w:val="left"/>
      </w:pPr>
      <w:r>
        <w:rPr>
          <w:rFonts w:ascii="8GOHJyFf+SimSun" w:hAnsi="8GOHJyFf+SimSun" w:eastAsia="8GOHJyFf+SimSun"/>
          <w:color w:val="000000"/>
          <w:sz w:val="16"/>
        </w:rPr>
        <w:t>预算管理规</w:t>
      </w:r>
    </w:p>
    <w:p w14:paraId="27FFC250">
      <w:pPr>
        <w:widowControl/>
        <w:autoSpaceDE w:val="0"/>
        <w:autoSpaceDN w:val="0"/>
        <w:spacing w:before="38" w:after="0" w:line="160" w:lineRule="exact"/>
        <w:ind w:left="366" w:right="0" w:firstLine="0"/>
        <w:jc w:val="left"/>
      </w:pPr>
      <w:r>
        <w:rPr>
          <w:rFonts w:ascii="8GOHJyFf+SimSun" w:hAnsi="8GOHJyFf+SimSun" w:eastAsia="8GOHJyFf+SimSun"/>
          <w:color w:val="000000"/>
          <w:sz w:val="16"/>
        </w:rPr>
        <w:t>范</w:t>
      </w:r>
    </w:p>
    <w:p w14:paraId="1A4D9B76">
      <w:pPr>
        <w:sectPr>
          <w:pgSz w:w="16837" w:h="12305"/>
          <w:pgMar w:top="280" w:right="1232" w:bottom="204" w:left="844" w:header="720" w:footer="720" w:gutter="0"/>
          <w:cols w:equalWidth="0" w:num="1">
            <w:col w:w="14760"/>
          </w:cols>
          <w:docGrid w:linePitch="360" w:charSpace="0"/>
        </w:sectPr>
      </w:pPr>
    </w:p>
    <w:p w14:paraId="353FC1E2">
      <w:pPr>
        <w:widowControl/>
        <w:autoSpaceDE w:val="0"/>
        <w:autoSpaceDN w:val="0"/>
        <w:spacing w:before="60"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64"/>
        <w:gridCol w:w="1512"/>
        <w:gridCol w:w="2556"/>
        <w:gridCol w:w="5424"/>
        <w:gridCol w:w="2568"/>
        <w:gridCol w:w="1800"/>
      </w:tblGrid>
      <w:tr w14:paraId="43D1A509">
        <w:tblPrEx>
          <w:tblCellMar>
            <w:top w:w="0" w:type="dxa"/>
            <w:left w:w="108" w:type="dxa"/>
            <w:bottom w:w="0" w:type="dxa"/>
            <w:right w:w="108" w:type="dxa"/>
          </w:tblCellMar>
        </w:tblPrEx>
        <w:trPr>
          <w:trHeight w:val="906" w:hRule="exact"/>
        </w:trPr>
        <w:tc>
          <w:tcPr>
            <w:tcW w:w="14724" w:type="dxa"/>
            <w:gridSpan w:val="6"/>
            <w:tcBorders>
              <w:top w:val="single" w:color="000000" w:sz="4" w:space="0"/>
              <w:left w:val="single" w:color="000000" w:sz="6" w:space="0"/>
              <w:bottom w:val="single" w:color="000000" w:sz="4" w:space="0"/>
              <w:right w:val="single" w:color="000000" w:sz="6" w:space="0"/>
            </w:tcBorders>
            <w:tcMar>
              <w:left w:w="0" w:type="dxa"/>
              <w:right w:w="0" w:type="dxa"/>
            </w:tcMar>
          </w:tcPr>
          <w:p w14:paraId="601FD8B7">
            <w:pPr>
              <w:widowControl/>
              <w:autoSpaceDE w:val="0"/>
              <w:autoSpaceDN w:val="0"/>
              <w:spacing w:before="274" w:after="0" w:line="382" w:lineRule="exact"/>
              <w:ind w:left="0" w:right="0" w:firstLine="0"/>
              <w:jc w:val="center"/>
            </w:pPr>
            <w:r>
              <w:rPr>
                <w:rFonts w:ascii="8GOHJyFf+SimSun" w:hAnsi="8GOHJyFf+SimSun" w:eastAsia="8GOHJyFf+SimSun"/>
                <w:color w:val="000000"/>
                <w:sz w:val="38"/>
              </w:rPr>
              <w:t>部门整体支出绩效自评表</w:t>
            </w:r>
          </w:p>
        </w:tc>
      </w:tr>
      <w:tr w14:paraId="63A20B9D">
        <w:tblPrEx>
          <w:tblCellMar>
            <w:top w:w="0" w:type="dxa"/>
            <w:left w:w="108" w:type="dxa"/>
            <w:bottom w:w="0" w:type="dxa"/>
            <w:right w:w="108" w:type="dxa"/>
          </w:tblCellMar>
        </w:tblPrEx>
        <w:trPr>
          <w:trHeight w:val="434" w:hRule="exact"/>
        </w:trPr>
        <w:tc>
          <w:tcPr>
            <w:tcW w:w="864" w:type="dxa"/>
            <w:tcBorders>
              <w:top w:val="single" w:color="000000" w:sz="4" w:space="0"/>
              <w:left w:val="single" w:color="000000" w:sz="6" w:space="0"/>
              <w:bottom w:val="single" w:color="000000" w:sz="6" w:space="0"/>
              <w:right w:val="single" w:color="000000" w:sz="6" w:space="0"/>
            </w:tcBorders>
            <w:tcMar>
              <w:left w:w="0" w:type="dxa"/>
              <w:right w:w="0" w:type="dxa"/>
            </w:tcMar>
          </w:tcPr>
          <w:p w14:paraId="27FC668E">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目标</w:t>
            </w:r>
          </w:p>
        </w:tc>
        <w:tc>
          <w:tcPr>
            <w:tcW w:w="1512" w:type="dxa"/>
            <w:tcBorders>
              <w:top w:val="single" w:color="000000" w:sz="4" w:space="0"/>
              <w:left w:val="single" w:color="000000" w:sz="6" w:space="0"/>
              <w:bottom w:val="single" w:color="000000" w:sz="6" w:space="0"/>
              <w:right w:val="single" w:color="000000" w:sz="6" w:space="0"/>
            </w:tcBorders>
            <w:tcMar>
              <w:left w:w="0" w:type="dxa"/>
              <w:right w:w="0" w:type="dxa"/>
            </w:tcMar>
          </w:tcPr>
          <w:p w14:paraId="09CAD0FC">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任务名称</w:t>
            </w:r>
          </w:p>
        </w:tc>
        <w:tc>
          <w:tcPr>
            <w:tcW w:w="2556" w:type="dxa"/>
            <w:tcBorders>
              <w:top w:val="single" w:color="000000" w:sz="4" w:space="0"/>
              <w:left w:val="single" w:color="000000" w:sz="6" w:space="0"/>
              <w:bottom w:val="single" w:color="000000" w:sz="6" w:space="0"/>
              <w:right w:val="single" w:color="000000" w:sz="6" w:space="0"/>
            </w:tcBorders>
            <w:tcMar>
              <w:left w:w="0" w:type="dxa"/>
              <w:right w:w="0" w:type="dxa"/>
            </w:tcMar>
          </w:tcPr>
          <w:p w14:paraId="2335B5E7">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编制预算时提出的的任务措施</w:t>
            </w:r>
          </w:p>
        </w:tc>
        <w:tc>
          <w:tcPr>
            <w:tcW w:w="5424" w:type="dxa"/>
            <w:tcBorders>
              <w:top w:val="single" w:color="000000" w:sz="4" w:space="0"/>
              <w:left w:val="single" w:color="000000" w:sz="6" w:space="0"/>
              <w:bottom w:val="single" w:color="000000" w:sz="6" w:space="0"/>
              <w:right w:val="single" w:color="000000" w:sz="6" w:space="0"/>
            </w:tcBorders>
            <w:tcMar>
              <w:left w:w="0" w:type="dxa"/>
              <w:right w:w="0" w:type="dxa"/>
            </w:tcMar>
          </w:tcPr>
          <w:p w14:paraId="28703BE7">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绩效指标实际执行情况</w:t>
            </w:r>
          </w:p>
        </w:tc>
        <w:tc>
          <w:tcPr>
            <w:tcW w:w="2568" w:type="dxa"/>
            <w:tcBorders>
              <w:top w:val="single" w:color="000000" w:sz="4" w:space="0"/>
              <w:left w:val="single" w:color="000000" w:sz="6" w:space="0"/>
              <w:bottom w:val="single" w:color="000000" w:sz="6" w:space="0"/>
              <w:right w:val="single" w:color="000000" w:sz="6" w:space="0"/>
            </w:tcBorders>
            <w:tcMar>
              <w:left w:w="0" w:type="dxa"/>
              <w:right w:w="0" w:type="dxa"/>
            </w:tcMar>
          </w:tcPr>
          <w:p w14:paraId="6D32A37E">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执行情况与年初预算的对比</w:t>
            </w:r>
          </w:p>
        </w:tc>
        <w:tc>
          <w:tcPr>
            <w:tcW w:w="1800" w:type="dxa"/>
            <w:tcBorders>
              <w:top w:val="single" w:color="000000" w:sz="4" w:space="0"/>
              <w:left w:val="single" w:color="000000" w:sz="6" w:space="0"/>
              <w:bottom w:val="single" w:color="000000" w:sz="6" w:space="0"/>
              <w:right w:val="single" w:color="000000" w:sz="6" w:space="0"/>
            </w:tcBorders>
            <w:tcMar>
              <w:left w:w="0" w:type="dxa"/>
              <w:right w:w="0" w:type="dxa"/>
            </w:tcMar>
          </w:tcPr>
          <w:p w14:paraId="67C31310">
            <w:pPr>
              <w:widowControl/>
              <w:autoSpaceDE w:val="0"/>
              <w:autoSpaceDN w:val="0"/>
              <w:spacing w:before="140" w:after="0" w:line="160" w:lineRule="exact"/>
              <w:ind w:left="0" w:right="0" w:firstLine="0"/>
              <w:jc w:val="center"/>
            </w:pPr>
            <w:r>
              <w:rPr>
                <w:rFonts w:ascii="8GOHJyFf+SimSun" w:hAnsi="8GOHJyFf+SimSun" w:eastAsia="8GOHJyFf+SimSun"/>
                <w:color w:val="000000"/>
                <w:sz w:val="16"/>
              </w:rPr>
              <w:t>相关情况说明</w:t>
            </w:r>
          </w:p>
        </w:tc>
      </w:tr>
      <w:tr w14:paraId="3A4293D8">
        <w:tblPrEx>
          <w:tblCellMar>
            <w:top w:w="0" w:type="dxa"/>
            <w:left w:w="108" w:type="dxa"/>
            <w:bottom w:w="0" w:type="dxa"/>
            <w:right w:w="108" w:type="dxa"/>
          </w:tblCellMar>
        </w:tblPrEx>
        <w:trPr>
          <w:trHeight w:val="556" w:hRule="exact"/>
        </w:trPr>
        <w:tc>
          <w:tcPr>
            <w:tcW w:w="864" w:type="dxa"/>
            <w:vMerge w:val="restart"/>
            <w:tcBorders>
              <w:top w:val="single" w:color="000000" w:sz="6" w:space="0"/>
              <w:left w:val="single" w:color="000000" w:sz="6" w:space="0"/>
              <w:bottom w:val="single" w:color="000000" w:sz="4" w:space="0"/>
              <w:right w:val="single" w:color="000000" w:sz="6" w:space="0"/>
            </w:tcBorders>
            <w:tcMar>
              <w:left w:w="0" w:type="dxa"/>
              <w:right w:w="0" w:type="dxa"/>
            </w:tcMar>
          </w:tcPr>
          <w:p w14:paraId="37E4B517">
            <w:pPr>
              <w:widowControl/>
              <w:autoSpaceDE w:val="0"/>
              <w:autoSpaceDN w:val="0"/>
              <w:spacing w:before="28" w:after="0" w:line="160" w:lineRule="exact"/>
              <w:ind w:left="0" w:right="0" w:firstLine="0"/>
              <w:jc w:val="center"/>
            </w:pPr>
            <w:r>
              <w:rPr>
                <w:rFonts w:ascii="8GOHJyFf+SimSun" w:hAnsi="8GOHJyFf+SimSun" w:eastAsia="8GOHJyFf+SimSun"/>
                <w:color w:val="000000"/>
                <w:sz w:val="16"/>
              </w:rPr>
              <w:t>预算管理规</w:t>
            </w:r>
          </w:p>
          <w:p w14:paraId="4ADD1026">
            <w:pPr>
              <w:widowControl/>
              <w:autoSpaceDE w:val="0"/>
              <w:autoSpaceDN w:val="0"/>
              <w:spacing w:before="36" w:after="0" w:line="160" w:lineRule="exact"/>
              <w:ind w:left="0" w:right="0" w:firstLine="0"/>
              <w:jc w:val="center"/>
            </w:pPr>
            <w:r>
              <w:rPr>
                <w:rFonts w:ascii="8GOHJyFf+SimSun" w:hAnsi="8GOHJyFf+SimSun" w:eastAsia="8GOHJyFf+SimSun"/>
                <w:color w:val="000000"/>
                <w:sz w:val="16"/>
              </w:rPr>
              <w:t>范</w:t>
            </w:r>
          </w:p>
        </w:tc>
        <w:tc>
          <w:tcPr>
            <w:tcW w:w="1512" w:type="dxa"/>
            <w:tcBorders>
              <w:top w:val="single" w:color="000000" w:sz="6" w:space="0"/>
              <w:left w:val="single" w:color="000000" w:sz="6" w:space="0"/>
              <w:bottom w:val="single" w:color="000000" w:sz="4" w:space="0"/>
              <w:right w:val="single" w:color="000000" w:sz="6" w:space="0"/>
            </w:tcBorders>
            <w:tcMar>
              <w:left w:w="0" w:type="dxa"/>
              <w:right w:w="0" w:type="dxa"/>
            </w:tcMar>
          </w:tcPr>
          <w:p w14:paraId="6A172024">
            <w:pPr>
              <w:widowControl/>
              <w:autoSpaceDE w:val="0"/>
              <w:autoSpaceDN w:val="0"/>
              <w:spacing w:before="200" w:after="0" w:line="160" w:lineRule="exact"/>
              <w:ind w:left="0" w:right="0" w:firstLine="0"/>
              <w:jc w:val="center"/>
            </w:pPr>
            <w:r>
              <w:rPr>
                <w:rFonts w:ascii="8GOHJyFf+SimSun" w:hAnsi="8GOHJyFf+SimSun" w:eastAsia="8GOHJyFf+SimSun"/>
                <w:color w:val="000000"/>
                <w:sz w:val="16"/>
              </w:rPr>
              <w:t>信息公开及时完整</w:t>
            </w:r>
          </w:p>
        </w:tc>
        <w:tc>
          <w:tcPr>
            <w:tcW w:w="2556" w:type="dxa"/>
            <w:tcBorders>
              <w:top w:val="single" w:color="000000" w:sz="6" w:space="0"/>
              <w:left w:val="single" w:color="000000" w:sz="6" w:space="0"/>
              <w:bottom w:val="single" w:color="000000" w:sz="4" w:space="0"/>
              <w:right w:val="single" w:color="000000" w:sz="6" w:space="0"/>
            </w:tcBorders>
            <w:tcMar>
              <w:left w:w="0" w:type="dxa"/>
              <w:right w:w="0" w:type="dxa"/>
            </w:tcMar>
          </w:tcPr>
          <w:p w14:paraId="4ABACF3C">
            <w:pPr>
              <w:widowControl/>
              <w:autoSpaceDE w:val="0"/>
              <w:autoSpaceDN w:val="0"/>
              <w:spacing w:before="36" w:after="0" w:line="160" w:lineRule="exact"/>
              <w:ind w:left="24" w:right="0" w:firstLine="0"/>
              <w:jc w:val="left"/>
            </w:pPr>
            <w:r>
              <w:rPr>
                <w:rFonts w:ascii="8GOHJyFf+SimSun" w:hAnsi="8GOHJyFf+SimSun" w:eastAsia="8GOHJyFf+SimSun"/>
                <w:color w:val="000000"/>
                <w:sz w:val="16"/>
              </w:rPr>
              <w:t>预决算按时公开。</w:t>
            </w:r>
          </w:p>
        </w:tc>
        <w:tc>
          <w:tcPr>
            <w:tcW w:w="5424" w:type="dxa"/>
            <w:tcBorders>
              <w:top w:val="single" w:color="000000" w:sz="6" w:space="0"/>
              <w:left w:val="single" w:color="000000" w:sz="6" w:space="0"/>
              <w:bottom w:val="single" w:color="000000" w:sz="4" w:space="0"/>
              <w:right w:val="single" w:color="000000" w:sz="6" w:space="0"/>
            </w:tcBorders>
            <w:tcMar>
              <w:left w:w="0" w:type="dxa"/>
              <w:right w:w="0" w:type="dxa"/>
            </w:tcMar>
          </w:tcPr>
          <w:p w14:paraId="0FB9F0E9">
            <w:pPr>
              <w:widowControl/>
              <w:autoSpaceDE w:val="0"/>
              <w:autoSpaceDN w:val="0"/>
              <w:spacing w:before="36" w:after="0" w:line="160" w:lineRule="exact"/>
              <w:ind w:left="24" w:right="0" w:firstLine="0"/>
              <w:jc w:val="left"/>
            </w:pPr>
            <w:r>
              <w:rPr>
                <w:rFonts w:ascii="8GOHJyFf+SimSun" w:hAnsi="8GOHJyFf+SimSun" w:eastAsia="8GOHJyFf+SimSun"/>
                <w:color w:val="000000"/>
                <w:sz w:val="16"/>
              </w:rPr>
              <w:t>财政预决算已按相关要求按时公开</w:t>
            </w:r>
          </w:p>
        </w:tc>
        <w:tc>
          <w:tcPr>
            <w:tcW w:w="2568" w:type="dxa"/>
            <w:tcBorders>
              <w:top w:val="single" w:color="000000" w:sz="6" w:space="0"/>
              <w:left w:val="single" w:color="000000" w:sz="6" w:space="0"/>
              <w:bottom w:val="single" w:color="000000" w:sz="4" w:space="0"/>
              <w:right w:val="single" w:color="000000" w:sz="6" w:space="0"/>
            </w:tcBorders>
            <w:tcMar>
              <w:left w:w="0" w:type="dxa"/>
              <w:right w:w="0" w:type="dxa"/>
            </w:tcMar>
          </w:tcPr>
          <w:p w14:paraId="183A3B50">
            <w:pPr>
              <w:widowControl/>
              <w:autoSpaceDE w:val="0"/>
              <w:autoSpaceDN w:val="0"/>
              <w:spacing w:before="36" w:after="0" w:line="160" w:lineRule="exact"/>
              <w:ind w:left="24" w:right="0" w:firstLine="0"/>
              <w:jc w:val="left"/>
            </w:pPr>
            <w:r>
              <w:rPr>
                <w:rFonts w:ascii="8GOHJyFf+SimSun" w:hAnsi="8GOHJyFf+SimSun" w:eastAsia="8GOHJyFf+SimSun"/>
                <w:color w:val="000000"/>
                <w:sz w:val="16"/>
              </w:rPr>
              <w:t>预决算已按预算编制时的要求按时</w:t>
            </w:r>
          </w:p>
          <w:p w14:paraId="4D1EE427">
            <w:pPr>
              <w:widowControl/>
              <w:autoSpaceDE w:val="0"/>
              <w:autoSpaceDN w:val="0"/>
              <w:spacing w:before="36" w:after="0" w:line="160" w:lineRule="exact"/>
              <w:ind w:left="24" w:right="0" w:firstLine="0"/>
              <w:jc w:val="left"/>
            </w:pPr>
            <w:r>
              <w:rPr>
                <w:rFonts w:ascii="8GOHJyFf+SimSun" w:hAnsi="8GOHJyFf+SimSun" w:eastAsia="8GOHJyFf+SimSun"/>
                <w:color w:val="000000"/>
                <w:sz w:val="16"/>
              </w:rPr>
              <w:t>公开。</w:t>
            </w:r>
          </w:p>
        </w:tc>
        <w:tc>
          <w:tcPr>
            <w:tcW w:w="1800" w:type="dxa"/>
            <w:tcBorders>
              <w:top w:val="single" w:color="000000" w:sz="6" w:space="0"/>
              <w:left w:val="single" w:color="000000" w:sz="6" w:space="0"/>
              <w:bottom w:val="single" w:color="000000" w:sz="4" w:space="0"/>
              <w:right w:val="single" w:color="000000" w:sz="6" w:space="0"/>
            </w:tcBorders>
            <w:tcMar>
              <w:left w:w="0" w:type="dxa"/>
              <w:right w:w="0" w:type="dxa"/>
            </w:tcMar>
          </w:tcPr>
          <w:p w14:paraId="27B0D2BD">
            <w:pPr>
              <w:widowControl/>
              <w:autoSpaceDE w:val="0"/>
              <w:autoSpaceDN w:val="0"/>
              <w:spacing w:before="36" w:after="0" w:line="160" w:lineRule="exact"/>
              <w:ind w:left="24" w:right="0" w:firstLine="0"/>
              <w:jc w:val="left"/>
            </w:pPr>
            <w:r>
              <w:rPr>
                <w:rFonts w:ascii="8GOHJyFf+SimSun" w:hAnsi="8GOHJyFf+SimSun" w:eastAsia="8GOHJyFf+SimSun"/>
                <w:color w:val="000000"/>
                <w:sz w:val="16"/>
              </w:rPr>
              <w:t>无</w:t>
            </w:r>
          </w:p>
        </w:tc>
      </w:tr>
      <w:tr w14:paraId="5F2B518F">
        <w:tblPrEx>
          <w:tblCellMar>
            <w:top w:w="0" w:type="dxa"/>
            <w:left w:w="108" w:type="dxa"/>
            <w:bottom w:w="0" w:type="dxa"/>
            <w:right w:w="108" w:type="dxa"/>
          </w:tblCellMar>
        </w:tblPrEx>
        <w:trPr>
          <w:trHeight w:val="688" w:hRule="exact"/>
        </w:trPr>
        <w:tc>
          <w:tcPr>
            <w:tcW w:w="2460" w:type="dxa"/>
            <w:vMerge w:val="continue"/>
            <w:tcBorders>
              <w:top w:val="single" w:color="000000" w:sz="6" w:space="0"/>
              <w:left w:val="single" w:color="000000" w:sz="6" w:space="0"/>
              <w:bottom w:val="single" w:color="000000" w:sz="4" w:space="0"/>
              <w:right w:val="single" w:color="000000" w:sz="6" w:space="0"/>
            </w:tcBorders>
          </w:tcPr>
          <w:p w14:paraId="21480698"/>
        </w:tc>
        <w:tc>
          <w:tcPr>
            <w:tcW w:w="1512" w:type="dxa"/>
            <w:tcBorders>
              <w:top w:val="single" w:color="000000" w:sz="4" w:space="0"/>
              <w:left w:val="single" w:color="000000" w:sz="6" w:space="0"/>
              <w:bottom w:val="single" w:color="000000" w:sz="4" w:space="0"/>
              <w:right w:val="single" w:color="000000" w:sz="6" w:space="0"/>
            </w:tcBorders>
            <w:tcMar>
              <w:left w:w="0" w:type="dxa"/>
              <w:right w:w="0" w:type="dxa"/>
            </w:tcMar>
          </w:tcPr>
          <w:p w14:paraId="4CA82190">
            <w:pPr>
              <w:widowControl/>
              <w:autoSpaceDE w:val="0"/>
              <w:autoSpaceDN w:val="0"/>
              <w:spacing w:before="178" w:after="0" w:line="160" w:lineRule="exact"/>
              <w:ind w:left="0" w:right="0" w:firstLine="0"/>
              <w:jc w:val="center"/>
            </w:pPr>
            <w:r>
              <w:rPr>
                <w:rFonts w:ascii="8GOHJyFf+SimSun" w:hAnsi="8GOHJyFf+SimSun" w:eastAsia="8GOHJyFf+SimSun"/>
                <w:color w:val="000000"/>
                <w:sz w:val="16"/>
              </w:rPr>
              <w:t>资产管理使用规范有</w:t>
            </w:r>
          </w:p>
          <w:p w14:paraId="75590434">
            <w:pPr>
              <w:widowControl/>
              <w:autoSpaceDE w:val="0"/>
              <w:autoSpaceDN w:val="0"/>
              <w:spacing w:before="38" w:after="0" w:line="160" w:lineRule="exact"/>
              <w:ind w:left="0" w:right="0" w:firstLine="0"/>
              <w:jc w:val="center"/>
            </w:pPr>
            <w:r>
              <w:rPr>
                <w:rFonts w:ascii="8GOHJyFf+SimSun" w:hAnsi="8GOHJyFf+SimSun" w:eastAsia="8GOHJyFf+SimSun"/>
                <w:color w:val="000000"/>
                <w:sz w:val="16"/>
              </w:rPr>
              <w:t>效</w:t>
            </w:r>
          </w:p>
        </w:tc>
        <w:tc>
          <w:tcPr>
            <w:tcW w:w="2556" w:type="dxa"/>
            <w:tcBorders>
              <w:top w:val="single" w:color="000000" w:sz="4" w:space="0"/>
              <w:left w:val="single" w:color="000000" w:sz="6" w:space="0"/>
              <w:bottom w:val="single" w:color="000000" w:sz="4" w:space="0"/>
              <w:right w:val="single" w:color="000000" w:sz="6" w:space="0"/>
            </w:tcBorders>
            <w:tcMar>
              <w:left w:w="0" w:type="dxa"/>
              <w:right w:w="0" w:type="dxa"/>
            </w:tcMar>
          </w:tcPr>
          <w:p w14:paraId="22BBEFDD">
            <w:pPr>
              <w:widowControl/>
              <w:autoSpaceDE w:val="0"/>
              <w:autoSpaceDN w:val="0"/>
              <w:spacing w:before="0" w:after="0" w:line="198" w:lineRule="exact"/>
              <w:ind w:left="24" w:right="0" w:firstLine="0"/>
              <w:jc w:val="left"/>
            </w:pPr>
            <w:r>
              <w:rPr>
                <w:rFonts w:ascii="8GOHJyFf+SimSun" w:hAnsi="8GOHJyFf+SimSun" w:eastAsia="8GOHJyFf+SimSun"/>
                <w:color w:val="000000"/>
                <w:sz w:val="16"/>
              </w:rPr>
              <w:t>资产新增、处置按规定和程序报批，日常使用按内部制度进行登记领用管理。</w:t>
            </w:r>
          </w:p>
        </w:tc>
        <w:tc>
          <w:tcPr>
            <w:tcW w:w="5424" w:type="dxa"/>
            <w:tcBorders>
              <w:top w:val="single" w:color="000000" w:sz="4" w:space="0"/>
              <w:left w:val="single" w:color="000000" w:sz="6" w:space="0"/>
              <w:bottom w:val="single" w:color="000000" w:sz="4" w:space="0"/>
              <w:right w:val="single" w:color="000000" w:sz="6" w:space="0"/>
            </w:tcBorders>
            <w:tcMar>
              <w:left w:w="0" w:type="dxa"/>
              <w:right w:w="0" w:type="dxa"/>
            </w:tcMar>
          </w:tcPr>
          <w:p w14:paraId="1823B441">
            <w:pPr>
              <w:widowControl/>
              <w:autoSpaceDE w:val="0"/>
              <w:autoSpaceDN w:val="0"/>
              <w:spacing w:before="38" w:after="0" w:line="160" w:lineRule="exact"/>
              <w:ind w:left="24" w:right="0" w:firstLine="0"/>
              <w:jc w:val="left"/>
            </w:pPr>
            <w:r>
              <w:rPr>
                <w:rFonts w:ascii="8GOHJyFf+SimSun" w:hAnsi="8GOHJyFf+SimSun" w:eastAsia="8GOHJyFf+SimSun"/>
                <w:color w:val="000000"/>
                <w:sz w:val="16"/>
              </w:rPr>
              <w:t>资产新增、处置按规定和程序报批，日常使用按内部制度进行登记领用管理</w:t>
            </w:r>
          </w:p>
          <w:p w14:paraId="7A1A1EC7">
            <w:pPr>
              <w:widowControl/>
              <w:autoSpaceDE w:val="0"/>
              <w:autoSpaceDN w:val="0"/>
              <w:spacing w:before="36" w:after="0" w:line="160" w:lineRule="exact"/>
              <w:ind w:left="24" w:right="0" w:firstLine="0"/>
              <w:jc w:val="left"/>
            </w:pPr>
            <w:r>
              <w:rPr>
                <w:rFonts w:ascii="8GOHJyFf+SimSun" w:hAnsi="8GOHJyFf+SimSun" w:eastAsia="8GOHJyFf+SimSun"/>
                <w:color w:val="000000"/>
                <w:sz w:val="16"/>
              </w:rPr>
              <w:t>。</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26C96A79">
            <w:pPr>
              <w:widowControl/>
              <w:autoSpaceDE w:val="0"/>
              <w:autoSpaceDN w:val="0"/>
              <w:spacing w:before="0" w:after="0" w:line="198" w:lineRule="exact"/>
              <w:ind w:left="24" w:right="0" w:firstLine="0"/>
              <w:jc w:val="left"/>
            </w:pPr>
            <w:r>
              <w:rPr>
                <w:rFonts w:ascii="8GOHJyFf+SimSun" w:hAnsi="8GOHJyFf+SimSun" w:eastAsia="8GOHJyFf+SimSun"/>
                <w:color w:val="000000"/>
                <w:sz w:val="16"/>
              </w:rPr>
              <w:t>资产新增、处置按规定和程序报批，日常使用按内部制度进行登记领用管理。</w:t>
            </w:r>
          </w:p>
        </w:tc>
        <w:tc>
          <w:tcPr>
            <w:tcW w:w="1800" w:type="dxa"/>
            <w:tcBorders>
              <w:top w:val="single" w:color="000000" w:sz="4" w:space="0"/>
              <w:left w:val="single" w:color="000000" w:sz="6" w:space="0"/>
              <w:bottom w:val="single" w:color="000000" w:sz="4" w:space="0"/>
              <w:right w:val="single" w:color="000000" w:sz="6" w:space="0"/>
            </w:tcBorders>
            <w:tcMar>
              <w:left w:w="0" w:type="dxa"/>
              <w:right w:w="0" w:type="dxa"/>
            </w:tcMar>
          </w:tcPr>
          <w:p w14:paraId="0A3E815F">
            <w:pPr>
              <w:widowControl/>
              <w:autoSpaceDE w:val="0"/>
              <w:autoSpaceDN w:val="0"/>
              <w:spacing w:before="38" w:after="0" w:line="160" w:lineRule="exact"/>
              <w:ind w:left="24" w:right="0" w:firstLine="0"/>
              <w:jc w:val="left"/>
            </w:pPr>
            <w:r>
              <w:rPr>
                <w:rFonts w:ascii="8GOHJyFf+SimSun" w:hAnsi="8GOHJyFf+SimSun" w:eastAsia="8GOHJyFf+SimSun"/>
                <w:color w:val="000000"/>
                <w:sz w:val="16"/>
              </w:rPr>
              <w:t>无</w:t>
            </w:r>
          </w:p>
        </w:tc>
      </w:tr>
    </w:tbl>
    <w:p w14:paraId="782D9F0D">
      <w:pPr>
        <w:widowControl/>
        <w:autoSpaceDE w:val="0"/>
        <w:autoSpaceDN w:val="0"/>
        <w:spacing w:before="0" w:after="0" w:line="14" w:lineRule="exact"/>
        <w:ind w:left="0" w:right="0"/>
      </w:pPr>
    </w:p>
    <w:p w14:paraId="6550A762">
      <w:pPr>
        <w:sectPr>
          <w:pgSz w:w="16837" w:h="11905"/>
          <w:pgMar w:top="280" w:right="1232" w:bottom="1440" w:left="844" w:header="720" w:footer="720" w:gutter="0"/>
          <w:cols w:equalWidth="0" w:num="1">
            <w:col w:w="14760"/>
          </w:cols>
          <w:docGrid w:linePitch="360" w:charSpace="0"/>
        </w:sectPr>
      </w:pPr>
    </w:p>
    <w:p w14:paraId="397BC342">
      <w:pPr>
        <w:widowControl/>
        <w:autoSpaceDE w:val="0"/>
        <w:autoSpaceDN w:val="0"/>
        <w:spacing w:before="118"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752"/>
        <w:gridCol w:w="6108"/>
        <w:gridCol w:w="2388"/>
        <w:gridCol w:w="2902"/>
        <w:gridCol w:w="2460"/>
      </w:tblGrid>
      <w:tr w14:paraId="593894C1">
        <w:tblPrEx>
          <w:tblCellMar>
            <w:top w:w="0" w:type="dxa"/>
            <w:left w:w="108" w:type="dxa"/>
            <w:bottom w:w="0" w:type="dxa"/>
            <w:right w:w="108" w:type="dxa"/>
          </w:tblCellMar>
        </w:tblPrEx>
        <w:trPr>
          <w:trHeight w:val="898" w:hRule="exact"/>
        </w:trPr>
        <w:tc>
          <w:tcPr>
            <w:tcW w:w="15610" w:type="dxa"/>
            <w:gridSpan w:val="5"/>
            <w:tcBorders>
              <w:top w:val="single" w:color="000000" w:sz="6" w:space="0"/>
              <w:left w:val="single" w:color="000000" w:sz="4" w:space="0"/>
              <w:bottom w:val="single" w:color="000000" w:sz="4" w:space="0"/>
              <w:right w:val="single" w:color="000000" w:sz="4" w:space="0"/>
            </w:tcBorders>
            <w:tcMar>
              <w:left w:w="0" w:type="dxa"/>
              <w:right w:w="0" w:type="dxa"/>
            </w:tcMar>
          </w:tcPr>
          <w:p w14:paraId="340A44A5">
            <w:pPr>
              <w:widowControl/>
              <w:autoSpaceDE w:val="0"/>
              <w:autoSpaceDN w:val="0"/>
              <w:spacing w:before="284" w:after="0" w:line="352" w:lineRule="exact"/>
              <w:ind w:left="0" w:right="0" w:firstLine="0"/>
              <w:jc w:val="center"/>
            </w:pPr>
            <w:r>
              <w:rPr>
                <w:rFonts w:ascii="8GOHJyFf+SimSun" w:hAnsi="8GOHJyFf+SimSun" w:eastAsia="8GOHJyFf+SimSun"/>
                <w:b/>
                <w:color w:val="000000"/>
                <w:sz w:val="35"/>
              </w:rPr>
              <w:t>部门整体支出绩效自评职责履行良好表</w:t>
            </w:r>
          </w:p>
        </w:tc>
      </w:tr>
      <w:tr w14:paraId="17647E48">
        <w:tblPrEx>
          <w:tblCellMar>
            <w:top w:w="0" w:type="dxa"/>
            <w:left w:w="108" w:type="dxa"/>
            <w:bottom w:w="0" w:type="dxa"/>
            <w:right w:w="108" w:type="dxa"/>
          </w:tblCellMar>
        </w:tblPrEx>
        <w:trPr>
          <w:trHeight w:val="534" w:hRule="exact"/>
        </w:trPr>
        <w:tc>
          <w:tcPr>
            <w:tcW w:w="1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D54225">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任务名称</w:t>
            </w:r>
          </w:p>
        </w:tc>
        <w:tc>
          <w:tcPr>
            <w:tcW w:w="61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27743F">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编制预算时提出的的任务措施</w:t>
            </w:r>
          </w:p>
        </w:tc>
        <w:tc>
          <w:tcPr>
            <w:tcW w:w="2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045B53">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绩效指标实际执行情况</w:t>
            </w:r>
          </w:p>
        </w:tc>
        <w:tc>
          <w:tcPr>
            <w:tcW w:w="29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1D9690">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执行情况与年初预算的对比</w:t>
            </w:r>
          </w:p>
        </w:tc>
        <w:tc>
          <w:tcPr>
            <w:tcW w:w="2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0E18F13D">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相关情况说明</w:t>
            </w:r>
          </w:p>
        </w:tc>
      </w:tr>
      <w:tr w14:paraId="6FF6AC86">
        <w:tblPrEx>
          <w:tblCellMar>
            <w:top w:w="0" w:type="dxa"/>
            <w:left w:w="108" w:type="dxa"/>
            <w:bottom w:w="0" w:type="dxa"/>
            <w:right w:w="108" w:type="dxa"/>
          </w:tblCellMar>
        </w:tblPrEx>
        <w:trPr>
          <w:trHeight w:val="3240" w:hRule="exact"/>
        </w:trPr>
        <w:tc>
          <w:tcPr>
            <w:tcW w:w="1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6832AC">
            <w:pPr>
              <w:widowControl/>
              <w:autoSpaceDE w:val="0"/>
              <w:autoSpaceDN w:val="0"/>
              <w:spacing w:before="36" w:after="0" w:line="160" w:lineRule="exact"/>
              <w:ind w:left="24" w:right="0" w:firstLine="0"/>
              <w:jc w:val="left"/>
            </w:pPr>
            <w:r>
              <w:rPr>
                <w:rFonts w:ascii="8GOHJyFf+SimSun" w:hAnsi="8GOHJyFf+SimSun" w:eastAsia="8GOHJyFf+SimSun"/>
                <w:color w:val="000000"/>
                <w:sz w:val="16"/>
              </w:rPr>
              <w:t>群众信访工作经费</w:t>
            </w:r>
          </w:p>
        </w:tc>
        <w:tc>
          <w:tcPr>
            <w:tcW w:w="61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94C0E4">
            <w:pPr>
              <w:widowControl/>
              <w:autoSpaceDE w:val="0"/>
              <w:autoSpaceDN w:val="0"/>
              <w:spacing w:before="0" w:after="0" w:line="198" w:lineRule="exact"/>
              <w:ind w:left="24" w:right="18" w:firstLine="0"/>
              <w:jc w:val="both"/>
            </w:pPr>
            <w:r>
              <w:rPr>
                <w:rFonts w:ascii="8GOHJyFf+SimSun" w:hAnsi="8GOHJyFf+SimSun" w:eastAsia="8GOHJyFf+SimSun"/>
                <w:color w:val="000000"/>
                <w:sz w:val="16"/>
              </w:rPr>
              <w:t>任务：信访事项办理，包括：化解“四大重点”信访矛盾、信访积案和疑难信访问题，上访信息系统数据录入费，视频接访、依法分类处理信访诉求等业务。措施：1.预算编制与执行：根据信访工作量、设施改善需求、人员培训、宣传教育、调研督导等实际需要，科学合理编制年度信访工作经费预算。确保经费预算得到有效执行，覆盖群众来信来访接待、受理、交办、督办、回复、回访等全流程工作环节。2.经费来源：主要依靠国家财政拨款，确保稳定的经费供给，用于日常运作及处理信访事项。可能还包括来自其他合法渠道的资金支持，如社会捐赠、特别项目资助等。3.经费使用范围：办公设施和设备购置、维修、更新；人员培训和教育，提升信访工作人员素质；群众来访接待成本，包括场地维护、安全保卫、便民服务等；信访案件办理过程中产生的调查取证、协调处理、差旅费、电话通信、邮寄等费用；对重大、疑难、集体信访事项的专项处理费用；信息化建设及运维费用，如信访信息系统的开发、维护与升级；法律援助、心理咨询、矛盾纠纷调解等配套服务费用。4.资金管理与监督：建立健全财务管理制度，严格执行国家财经纪律，实行收支两条线管理；加强经费使用的内部审计和外部审计，确保资金使用公开透明、合理合规；推进绩效管理，对经费使用效果进行评估，确保资金有效使用并提高信访工作效率。</w:t>
            </w:r>
          </w:p>
        </w:tc>
        <w:tc>
          <w:tcPr>
            <w:tcW w:w="2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8A94F7">
            <w:pPr>
              <w:widowControl/>
              <w:autoSpaceDE w:val="0"/>
              <w:autoSpaceDN w:val="0"/>
              <w:spacing w:before="0" w:after="0" w:line="198" w:lineRule="exact"/>
              <w:ind w:left="24" w:right="0" w:firstLine="0"/>
              <w:jc w:val="left"/>
            </w:pPr>
            <w:r>
              <w:rPr>
                <w:rFonts w:ascii="8GOHJyFf+SimSun" w:hAnsi="8GOHJyFf+SimSun" w:eastAsia="8GOHJyFf+SimSun"/>
                <w:color w:val="000000"/>
                <w:sz w:val="16"/>
              </w:rPr>
              <w:t>2025年昆明市五华区信访局截至12月31日群众信访工作经费预算执行率2.19%，部分未完成的主要原因为单位厉行节约和财政收回额度。</w:t>
            </w:r>
          </w:p>
        </w:tc>
        <w:tc>
          <w:tcPr>
            <w:tcW w:w="29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BF6C4B">
            <w:pPr>
              <w:widowControl/>
              <w:autoSpaceDE w:val="0"/>
              <w:autoSpaceDN w:val="0"/>
              <w:spacing w:before="0" w:after="0" w:line="198" w:lineRule="exact"/>
              <w:ind w:left="24" w:right="154" w:firstLine="0"/>
              <w:jc w:val="both"/>
            </w:pPr>
            <w:r>
              <w:rPr>
                <w:rFonts w:ascii="8GOHJyFf+SimSun" w:hAnsi="8GOHJyFf+SimSun" w:eastAsia="8GOHJyFf+SimSun"/>
                <w:color w:val="000000"/>
                <w:sz w:val="16"/>
              </w:rPr>
              <w:t>2025年在预算执行中预算执行率完成较低，绩效指标部分未完成，主要原因为2025年财政预算资金紧张，只能用于保运转、保民生、要确保每一笔资金花得安全、用得高效。</w:t>
            </w:r>
          </w:p>
        </w:tc>
        <w:tc>
          <w:tcPr>
            <w:tcW w:w="2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5B7F2E1">
            <w:pPr>
              <w:widowControl/>
              <w:autoSpaceDE w:val="0"/>
              <w:autoSpaceDN w:val="0"/>
              <w:spacing w:before="0" w:after="0" w:line="198" w:lineRule="exact"/>
              <w:ind w:left="26" w:right="28" w:firstLine="0"/>
              <w:jc w:val="both"/>
            </w:pPr>
            <w:r>
              <w:rPr>
                <w:rFonts w:ascii="8GOHJyFf+SimSun" w:hAnsi="8GOHJyFf+SimSun" w:eastAsia="8GOHJyFf+SimSun"/>
                <w:color w:val="000000"/>
                <w:sz w:val="16"/>
              </w:rPr>
              <w:t>2025年项目存在问题为预算资金不足，未及时执行资金。只能用于保运转、保民生、要确保每一笔资金花得安全、用得高效。</w:t>
            </w:r>
          </w:p>
        </w:tc>
      </w:tr>
      <w:tr w14:paraId="4298693F">
        <w:tblPrEx>
          <w:tblCellMar>
            <w:top w:w="0" w:type="dxa"/>
            <w:left w:w="108" w:type="dxa"/>
            <w:bottom w:w="0" w:type="dxa"/>
            <w:right w:w="108" w:type="dxa"/>
          </w:tblCellMar>
        </w:tblPrEx>
        <w:trPr>
          <w:trHeight w:val="2004" w:hRule="exact"/>
        </w:trPr>
        <w:tc>
          <w:tcPr>
            <w:tcW w:w="1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371E51">
            <w:pPr>
              <w:widowControl/>
              <w:autoSpaceDE w:val="0"/>
              <w:autoSpaceDN w:val="0"/>
              <w:spacing w:before="36" w:after="0" w:line="160" w:lineRule="exact"/>
              <w:ind w:left="24" w:right="0" w:firstLine="0"/>
              <w:jc w:val="left"/>
            </w:pPr>
            <w:r>
              <w:rPr>
                <w:rFonts w:ascii="8GOHJyFf+SimSun" w:hAnsi="8GOHJyFf+SimSun" w:eastAsia="8GOHJyFf+SimSun"/>
                <w:color w:val="000000"/>
                <w:sz w:val="16"/>
              </w:rPr>
              <w:t>信访信息系统工作经费</w:t>
            </w:r>
          </w:p>
        </w:tc>
        <w:tc>
          <w:tcPr>
            <w:tcW w:w="61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E4285D">
            <w:pPr>
              <w:widowControl/>
              <w:autoSpaceDE w:val="0"/>
              <w:autoSpaceDN w:val="0"/>
              <w:spacing w:before="0" w:after="0" w:line="198" w:lineRule="exact"/>
              <w:ind w:left="24" w:right="16" w:firstLine="0"/>
              <w:jc w:val="both"/>
            </w:pPr>
            <w:r>
              <w:rPr>
                <w:rFonts w:ascii="8GOHJyFf+SimSun" w:hAnsi="8GOHJyFf+SimSun" w:eastAsia="8GOHJyFf+SimSun"/>
                <w:color w:val="000000"/>
                <w:sz w:val="16"/>
              </w:rPr>
              <w:t>任务：1.构建党政领导、信访牵头、部门联动的网上信访系统工作办理体系。2.认真做好信访事项信息采集工作。3.协助做好预防预警、配合落实帮扶措施、及时收集社情民意、组织开展民情恳谈等项工作。措施：1.预算编制：根据信访信息系统的建设规划、升级改造需求、运行维护成本等要素，科学合理地编制年度信息系统建设与运维的专项经费预算。2.经费来源：经费可能来源于各级政府的财政预算拨款，或者是根据相关规定从本级部门预算中列支，确保信息系统建设与维护的资金需求得到满足。3.资金管理与监督：严格遵守财务规章制度，强化资金监管，确保专款专用，防止浪费和挪用。建立经费使用的绩效评价机制，定期对信息系统建设成效和经费使用情况进行评估审查。</w:t>
            </w:r>
          </w:p>
        </w:tc>
        <w:tc>
          <w:tcPr>
            <w:tcW w:w="2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195E39">
            <w:pPr>
              <w:widowControl/>
              <w:autoSpaceDE w:val="0"/>
              <w:autoSpaceDN w:val="0"/>
              <w:spacing w:before="0" w:after="0" w:line="198" w:lineRule="exact"/>
              <w:ind w:left="24" w:right="116" w:firstLine="0"/>
              <w:jc w:val="both"/>
            </w:pPr>
            <w:r>
              <w:rPr>
                <w:rFonts w:ascii="8GOHJyFf+SimSun" w:hAnsi="8GOHJyFf+SimSun" w:eastAsia="8GOHJyFf+SimSun"/>
                <w:color w:val="000000"/>
                <w:sz w:val="16"/>
              </w:rPr>
              <w:t>2025年昆明市五华区信访局截至12月31日信访信息系统工作经费预算执行率19.71%，未完成的主要原因为单位厉行节约和财政收回额度。</w:t>
            </w:r>
          </w:p>
        </w:tc>
        <w:tc>
          <w:tcPr>
            <w:tcW w:w="29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9C1AF8">
            <w:pPr>
              <w:widowControl/>
              <w:autoSpaceDE w:val="0"/>
              <w:autoSpaceDN w:val="0"/>
              <w:spacing w:before="0" w:after="0" w:line="198" w:lineRule="exact"/>
              <w:ind w:left="24" w:right="154" w:firstLine="0"/>
              <w:jc w:val="both"/>
            </w:pPr>
            <w:r>
              <w:rPr>
                <w:rFonts w:ascii="8GOHJyFf+SimSun" w:hAnsi="8GOHJyFf+SimSun" w:eastAsia="8GOHJyFf+SimSun"/>
                <w:color w:val="000000"/>
                <w:sz w:val="16"/>
              </w:rPr>
              <w:t>2025年在预算执行中预算执行率完成较低，绩效指标部分未完成，主要原因为2025年财政预算资金紧张，只能用于保运转、保民生、要确保每一笔资金花得安全、用得高效。</w:t>
            </w:r>
          </w:p>
        </w:tc>
        <w:tc>
          <w:tcPr>
            <w:tcW w:w="2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AA4CC78">
            <w:pPr>
              <w:widowControl/>
              <w:autoSpaceDE w:val="0"/>
              <w:autoSpaceDN w:val="0"/>
              <w:spacing w:before="0" w:after="0" w:line="196" w:lineRule="exact"/>
              <w:ind w:left="26" w:right="28" w:firstLine="0"/>
              <w:jc w:val="both"/>
            </w:pPr>
            <w:r>
              <w:rPr>
                <w:rFonts w:ascii="8GOHJyFf+SimSun" w:hAnsi="8GOHJyFf+SimSun" w:eastAsia="8GOHJyFf+SimSun"/>
                <w:color w:val="000000"/>
                <w:sz w:val="16"/>
              </w:rPr>
              <w:t>2025年项目存在问题为预算资金不足，未及时执行资金。只能用于保运转、保民生、要确保每一笔资金花得安全、用得高效。</w:t>
            </w:r>
          </w:p>
        </w:tc>
      </w:tr>
      <w:tr w14:paraId="064D9D66">
        <w:tblPrEx>
          <w:tblCellMar>
            <w:top w:w="0" w:type="dxa"/>
            <w:left w:w="108" w:type="dxa"/>
            <w:bottom w:w="0" w:type="dxa"/>
            <w:right w:w="108" w:type="dxa"/>
          </w:tblCellMar>
        </w:tblPrEx>
        <w:trPr>
          <w:trHeight w:val="2740" w:hRule="exact"/>
        </w:trPr>
        <w:tc>
          <w:tcPr>
            <w:tcW w:w="1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9E002E">
            <w:pPr>
              <w:widowControl/>
              <w:autoSpaceDE w:val="0"/>
              <w:autoSpaceDN w:val="0"/>
              <w:spacing w:before="38" w:after="0" w:line="160" w:lineRule="exact"/>
              <w:ind w:left="24" w:right="0" w:firstLine="0"/>
              <w:jc w:val="left"/>
            </w:pPr>
            <w:r>
              <w:rPr>
                <w:rFonts w:ascii="8GOHJyFf+SimSun" w:hAnsi="8GOHJyFf+SimSun" w:eastAsia="8GOHJyFf+SimSun"/>
                <w:color w:val="000000"/>
                <w:sz w:val="16"/>
              </w:rPr>
              <w:t>机构正常运转经费</w:t>
            </w:r>
          </w:p>
        </w:tc>
        <w:tc>
          <w:tcPr>
            <w:tcW w:w="61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5F5AC8">
            <w:pPr>
              <w:widowControl/>
              <w:autoSpaceDE w:val="0"/>
              <w:autoSpaceDN w:val="0"/>
              <w:spacing w:before="0" w:after="0" w:line="198" w:lineRule="exact"/>
              <w:ind w:left="24" w:right="0" w:firstLine="0"/>
              <w:jc w:val="left"/>
            </w:pPr>
            <w:r>
              <w:rPr>
                <w:rFonts w:ascii="8GOHJyFf+SimSun" w:hAnsi="8GOHJyFf+SimSun" w:eastAsia="8GOHJyFf+SimSun"/>
                <w:color w:val="000000"/>
                <w:sz w:val="16"/>
              </w:rPr>
              <w:t>任务：做好本部门人员、公用经费保障，按规定落实干部职工各项待遇，支持部门正常履职。措施：1.预算编制与分配：信访局依据每年的工作计划和预期任务，编制全面、详实的年度预算，预算内容包括人员工资、办公经费、信访接待、调查处理、矛盾化解、培训学习、信息化建设等多个方面，确保每个工作环节都有对应的经费保障。2.经费来源：经费主要来源于国家财政拨款，也有可能通过合理合规的方式筹集自其他合法渠道，例如上级部门的专项转移支付，以及在法律法规允许范围内接受社会捐赠等。3.经费使用管理：建立严格的经费使用管理制度，实行“收支两条线”管理，确保经费使用遵循国家财经法规和财务制度，做到专款专用，厉行节约。对于每一笔支出，均需经过审批流程，确保经费使用的公开透明和有效监督。4.绩效考核与审计监督：对接收和使用的经费进行绩效考核，定期对经费使用情况进行内部等方面，确保经费使用的合理性、合规性和有效性。5.应急保障与风险防控：针对可能出现的突发信访事件或特殊情况，设定一定比例的应急保障经费，确保在关键时刻能够迅速、高效地处置问题，维护社会稳定。</w:t>
            </w:r>
          </w:p>
        </w:tc>
        <w:tc>
          <w:tcPr>
            <w:tcW w:w="2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76B1C2">
            <w:pPr>
              <w:widowControl/>
              <w:autoSpaceDE w:val="0"/>
              <w:autoSpaceDN w:val="0"/>
              <w:spacing w:before="0" w:after="0" w:line="198" w:lineRule="exact"/>
              <w:ind w:left="24" w:right="114" w:firstLine="0"/>
              <w:jc w:val="both"/>
            </w:pPr>
            <w:r>
              <w:rPr>
                <w:rFonts w:ascii="8GOHJyFf+SimSun" w:hAnsi="8GOHJyFf+SimSun" w:eastAsia="8GOHJyFf+SimSun"/>
                <w:color w:val="000000"/>
                <w:sz w:val="16"/>
              </w:rPr>
              <w:t>2025年昆明市五华区信访局截至12月31日项目预算执行率100%，整体支出已经基本按计划完成，基本支出已全部完成</w:t>
            </w:r>
          </w:p>
        </w:tc>
        <w:tc>
          <w:tcPr>
            <w:tcW w:w="29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C5742F">
            <w:pPr>
              <w:widowControl/>
              <w:autoSpaceDE w:val="0"/>
              <w:autoSpaceDN w:val="0"/>
              <w:spacing w:before="38" w:after="0" w:line="160" w:lineRule="exact"/>
              <w:ind w:left="24" w:right="0" w:firstLine="0"/>
              <w:jc w:val="left"/>
            </w:pPr>
            <w:r>
              <w:rPr>
                <w:rFonts w:ascii="8GOHJyFf+SimSun" w:hAnsi="8GOHJyFf+SimSun" w:eastAsia="8GOHJyFf+SimSun"/>
                <w:color w:val="000000"/>
                <w:sz w:val="16"/>
              </w:rPr>
              <w:t>2025年在预算执行中预算执行率完成较</w:t>
            </w:r>
          </w:p>
          <w:p w14:paraId="1AD66DCE">
            <w:pPr>
              <w:widowControl/>
              <w:autoSpaceDE w:val="0"/>
              <w:autoSpaceDN w:val="0"/>
              <w:spacing w:before="36" w:after="0" w:line="160" w:lineRule="exact"/>
              <w:ind w:left="24" w:right="0" w:firstLine="0"/>
              <w:jc w:val="left"/>
            </w:pPr>
            <w:r>
              <w:rPr>
                <w:rFonts w:ascii="8GOHJyFf+SimSun" w:hAnsi="8GOHJyFf+SimSun" w:eastAsia="8GOHJyFf+SimSun"/>
                <w:color w:val="000000"/>
                <w:sz w:val="16"/>
              </w:rPr>
              <w:t>高，绩效指标部分基本完成</w:t>
            </w:r>
          </w:p>
        </w:tc>
        <w:tc>
          <w:tcPr>
            <w:tcW w:w="2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3BE8503">
            <w:pPr>
              <w:widowControl/>
              <w:autoSpaceDE w:val="0"/>
              <w:autoSpaceDN w:val="0"/>
              <w:spacing w:before="38" w:after="0" w:line="160" w:lineRule="exact"/>
              <w:ind w:left="0" w:right="0" w:firstLine="0"/>
              <w:jc w:val="center"/>
            </w:pPr>
            <w:r>
              <w:rPr>
                <w:rFonts w:ascii="8GOHJyFf+SimSun" w:hAnsi="8GOHJyFf+SimSun" w:eastAsia="8GOHJyFf+SimSun"/>
                <w:color w:val="000000"/>
                <w:sz w:val="16"/>
              </w:rPr>
              <w:t>用于保运转、保民生、要确保每一</w:t>
            </w:r>
          </w:p>
          <w:p w14:paraId="63B33473">
            <w:pPr>
              <w:widowControl/>
              <w:autoSpaceDE w:val="0"/>
              <w:autoSpaceDN w:val="0"/>
              <w:spacing w:before="36" w:after="0" w:line="160" w:lineRule="exact"/>
              <w:ind w:left="26" w:right="0" w:firstLine="0"/>
              <w:jc w:val="left"/>
            </w:pPr>
            <w:r>
              <w:rPr>
                <w:rFonts w:ascii="8GOHJyFf+SimSun" w:hAnsi="8GOHJyFf+SimSun" w:eastAsia="8GOHJyFf+SimSun"/>
                <w:color w:val="000000"/>
                <w:sz w:val="16"/>
              </w:rPr>
              <w:t>笔资金花得安全、用得高效。</w:t>
            </w:r>
          </w:p>
        </w:tc>
      </w:tr>
    </w:tbl>
    <w:p w14:paraId="79E8A6A1">
      <w:pPr>
        <w:widowControl/>
        <w:autoSpaceDE w:val="0"/>
        <w:autoSpaceDN w:val="0"/>
        <w:spacing w:before="0" w:after="0" w:line="14" w:lineRule="exact"/>
        <w:ind w:left="0" w:right="0"/>
      </w:pPr>
    </w:p>
    <w:p w14:paraId="5D14210D">
      <w:pPr>
        <w:sectPr>
          <w:pgSz w:w="16837" w:h="12305"/>
          <w:pgMar w:top="338" w:right="738" w:bottom="888" w:left="452" w:header="720" w:footer="720" w:gutter="0"/>
          <w:cols w:equalWidth="0" w:num="1">
            <w:col w:w="15646"/>
          </w:cols>
          <w:docGrid w:linePitch="360" w:charSpace="0"/>
        </w:sectPr>
      </w:pPr>
    </w:p>
    <w:p w14:paraId="64B633D6">
      <w:pPr>
        <w:widowControl/>
        <w:autoSpaceDE w:val="0"/>
        <w:autoSpaceDN w:val="0"/>
        <w:spacing w:before="118"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752"/>
        <w:gridCol w:w="6108"/>
        <w:gridCol w:w="2388"/>
        <w:gridCol w:w="2902"/>
        <w:gridCol w:w="2460"/>
      </w:tblGrid>
      <w:tr w14:paraId="0F1DB0E7">
        <w:tblPrEx>
          <w:tblCellMar>
            <w:top w:w="0" w:type="dxa"/>
            <w:left w:w="108" w:type="dxa"/>
            <w:bottom w:w="0" w:type="dxa"/>
            <w:right w:w="108" w:type="dxa"/>
          </w:tblCellMar>
        </w:tblPrEx>
        <w:trPr>
          <w:trHeight w:val="898" w:hRule="exact"/>
        </w:trPr>
        <w:tc>
          <w:tcPr>
            <w:tcW w:w="15610" w:type="dxa"/>
            <w:gridSpan w:val="5"/>
            <w:tcBorders>
              <w:top w:val="single" w:color="000000" w:sz="6" w:space="0"/>
              <w:left w:val="single" w:color="000000" w:sz="4" w:space="0"/>
              <w:bottom w:val="single" w:color="000000" w:sz="4" w:space="0"/>
              <w:right w:val="single" w:color="000000" w:sz="4" w:space="0"/>
            </w:tcBorders>
            <w:tcMar>
              <w:left w:w="0" w:type="dxa"/>
              <w:right w:w="0" w:type="dxa"/>
            </w:tcMar>
          </w:tcPr>
          <w:p w14:paraId="17FF2608">
            <w:pPr>
              <w:widowControl/>
              <w:autoSpaceDE w:val="0"/>
              <w:autoSpaceDN w:val="0"/>
              <w:spacing w:before="284" w:after="0" w:line="352" w:lineRule="exact"/>
              <w:ind w:left="0" w:right="0" w:firstLine="0"/>
              <w:jc w:val="center"/>
            </w:pPr>
            <w:r>
              <w:rPr>
                <w:rFonts w:ascii="8GOHJyFf+SimSun" w:hAnsi="8GOHJyFf+SimSun" w:eastAsia="8GOHJyFf+SimSun"/>
                <w:b/>
                <w:color w:val="000000"/>
                <w:sz w:val="35"/>
              </w:rPr>
              <w:t>部门整体支出绩效自评职责履行良好表</w:t>
            </w:r>
          </w:p>
        </w:tc>
      </w:tr>
      <w:tr w14:paraId="695725F3">
        <w:tblPrEx>
          <w:tblCellMar>
            <w:top w:w="0" w:type="dxa"/>
            <w:left w:w="108" w:type="dxa"/>
            <w:bottom w:w="0" w:type="dxa"/>
            <w:right w:w="108" w:type="dxa"/>
          </w:tblCellMar>
        </w:tblPrEx>
        <w:trPr>
          <w:trHeight w:val="534" w:hRule="exact"/>
        </w:trPr>
        <w:tc>
          <w:tcPr>
            <w:tcW w:w="1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149FE5">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任务名称</w:t>
            </w:r>
          </w:p>
        </w:tc>
        <w:tc>
          <w:tcPr>
            <w:tcW w:w="61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4286CC">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编制预算时提出的的任务措施</w:t>
            </w:r>
          </w:p>
        </w:tc>
        <w:tc>
          <w:tcPr>
            <w:tcW w:w="2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EBED86">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绩效指标实际执行情况</w:t>
            </w:r>
          </w:p>
        </w:tc>
        <w:tc>
          <w:tcPr>
            <w:tcW w:w="29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5D577A">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执行情况与年初预算的对比</w:t>
            </w:r>
          </w:p>
        </w:tc>
        <w:tc>
          <w:tcPr>
            <w:tcW w:w="2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A5D52A">
            <w:pPr>
              <w:widowControl/>
              <w:autoSpaceDE w:val="0"/>
              <w:autoSpaceDN w:val="0"/>
              <w:spacing w:before="190" w:after="0" w:line="160" w:lineRule="exact"/>
              <w:ind w:left="0" w:right="0" w:firstLine="0"/>
              <w:jc w:val="center"/>
            </w:pPr>
            <w:r>
              <w:rPr>
                <w:rFonts w:ascii="8GOHJyFf+SimSun" w:hAnsi="8GOHJyFf+SimSun" w:eastAsia="8GOHJyFf+SimSun"/>
                <w:color w:val="000000"/>
                <w:sz w:val="16"/>
              </w:rPr>
              <w:t>相关情况说明</w:t>
            </w:r>
          </w:p>
        </w:tc>
      </w:tr>
      <w:tr w14:paraId="09955CF6">
        <w:tblPrEx>
          <w:tblCellMar>
            <w:top w:w="0" w:type="dxa"/>
            <w:left w:w="108" w:type="dxa"/>
            <w:bottom w:w="0" w:type="dxa"/>
            <w:right w:w="108" w:type="dxa"/>
          </w:tblCellMar>
        </w:tblPrEx>
        <w:trPr>
          <w:trHeight w:val="1280" w:hRule="exact"/>
        </w:trPr>
        <w:tc>
          <w:tcPr>
            <w:tcW w:w="1752" w:type="dxa"/>
            <w:tcBorders>
              <w:top w:val="single" w:color="000000" w:sz="4" w:space="0"/>
              <w:left w:val="single" w:color="000000" w:sz="4" w:space="0"/>
              <w:bottom w:val="single" w:color="000000" w:sz="6" w:space="0"/>
              <w:right w:val="single" w:color="000000" w:sz="4" w:space="0"/>
            </w:tcBorders>
            <w:tcMar>
              <w:left w:w="0" w:type="dxa"/>
              <w:right w:w="0" w:type="dxa"/>
            </w:tcMar>
          </w:tcPr>
          <w:p w14:paraId="7331268C">
            <w:pPr>
              <w:widowControl/>
              <w:autoSpaceDE w:val="0"/>
              <w:autoSpaceDN w:val="0"/>
              <w:spacing w:before="0" w:after="0" w:line="196" w:lineRule="exact"/>
              <w:ind w:left="24" w:right="124" w:firstLine="0"/>
              <w:jc w:val="both"/>
            </w:pPr>
            <w:r>
              <w:rPr>
                <w:rFonts w:ascii="8GOHJyFf+SimSun" w:hAnsi="8GOHJyFf+SimSun" w:eastAsia="8GOHJyFf+SimSun"/>
                <w:color w:val="000000"/>
                <w:sz w:val="16"/>
              </w:rPr>
              <w:t>中共昆明市五华区委政法委员会拨队伍建设和信访工作经费</w:t>
            </w:r>
          </w:p>
        </w:tc>
        <w:tc>
          <w:tcPr>
            <w:tcW w:w="6108" w:type="dxa"/>
            <w:tcBorders>
              <w:top w:val="single" w:color="000000" w:sz="4" w:space="0"/>
              <w:left w:val="single" w:color="000000" w:sz="4" w:space="0"/>
              <w:bottom w:val="single" w:color="000000" w:sz="6" w:space="0"/>
              <w:right w:val="single" w:color="000000" w:sz="4" w:space="0"/>
            </w:tcBorders>
            <w:tcMar>
              <w:left w:w="0" w:type="dxa"/>
              <w:right w:w="0" w:type="dxa"/>
            </w:tcMar>
          </w:tcPr>
          <w:p w14:paraId="7DAA740B">
            <w:pPr>
              <w:widowControl/>
              <w:autoSpaceDE w:val="0"/>
              <w:autoSpaceDN w:val="0"/>
              <w:spacing w:before="0" w:after="0" w:line="196" w:lineRule="exact"/>
              <w:ind w:left="24" w:right="20" w:firstLine="0"/>
              <w:jc w:val="both"/>
            </w:pPr>
            <w:r>
              <w:rPr>
                <w:rFonts w:ascii="8GOHJyFf+SimSun" w:hAnsi="8GOHJyFf+SimSun" w:eastAsia="8GOHJyFf+SimSun"/>
                <w:color w:val="000000"/>
                <w:sz w:val="16"/>
              </w:rPr>
              <w:t>任务：认真做好信访工作人员日常保障。措施：1.预算编制：根据信访工作规划、升级改造需求、运行维护成本等要素，科学合理地编制年度信息系统建设与运维的专项经费预算。2.经费来源：经费可能来源于各级政府的财政预算拨款，或者是根据相关规定从本级部门预算中列支。3.资金管理与监督：严格遵守财务规章制度，强化资金监管，确保专款专用，防止浪费和挪用。建立经费使用的绩效评价机制，定期对经费使用情况进行评估审查。</w:t>
            </w:r>
          </w:p>
        </w:tc>
        <w:tc>
          <w:tcPr>
            <w:tcW w:w="2388" w:type="dxa"/>
            <w:tcBorders>
              <w:top w:val="single" w:color="000000" w:sz="4" w:space="0"/>
              <w:left w:val="single" w:color="000000" w:sz="4" w:space="0"/>
              <w:bottom w:val="single" w:color="000000" w:sz="6" w:space="0"/>
              <w:right w:val="single" w:color="000000" w:sz="4" w:space="0"/>
            </w:tcBorders>
            <w:tcMar>
              <w:left w:w="0" w:type="dxa"/>
              <w:right w:w="0" w:type="dxa"/>
            </w:tcMar>
          </w:tcPr>
          <w:p w14:paraId="7289AFDC">
            <w:pPr>
              <w:widowControl/>
              <w:autoSpaceDE w:val="0"/>
              <w:autoSpaceDN w:val="0"/>
              <w:spacing w:before="0" w:after="0" w:line="198" w:lineRule="exact"/>
              <w:ind w:left="24" w:right="118" w:firstLine="0"/>
              <w:jc w:val="both"/>
            </w:pPr>
            <w:r>
              <w:rPr>
                <w:rFonts w:ascii="8GOHJyFf+SimSun" w:hAnsi="8GOHJyFf+SimSun" w:eastAsia="8GOHJyFf+SimSun"/>
                <w:color w:val="000000"/>
                <w:sz w:val="16"/>
              </w:rPr>
              <w:t>2025年昆明市五华区信访局截至12月31日中共昆明市五华区委政法委员会拨队伍建设和信访工作经费预算执行率100%，项目支出绩效目标已完成。</w:t>
            </w:r>
          </w:p>
        </w:tc>
        <w:tc>
          <w:tcPr>
            <w:tcW w:w="2902" w:type="dxa"/>
            <w:tcBorders>
              <w:top w:val="single" w:color="000000" w:sz="4" w:space="0"/>
              <w:left w:val="single" w:color="000000" w:sz="4" w:space="0"/>
              <w:bottom w:val="single" w:color="000000" w:sz="6" w:space="0"/>
              <w:right w:val="single" w:color="000000" w:sz="4" w:space="0"/>
            </w:tcBorders>
            <w:tcMar>
              <w:left w:w="0" w:type="dxa"/>
              <w:right w:w="0" w:type="dxa"/>
            </w:tcMar>
          </w:tcPr>
          <w:p w14:paraId="4DBA4B8B">
            <w:pPr>
              <w:widowControl/>
              <w:autoSpaceDE w:val="0"/>
              <w:autoSpaceDN w:val="0"/>
              <w:spacing w:before="36" w:after="0" w:line="160" w:lineRule="exact"/>
              <w:ind w:left="24" w:right="0" w:firstLine="0"/>
              <w:jc w:val="left"/>
            </w:pPr>
            <w:r>
              <w:rPr>
                <w:rFonts w:ascii="8GOHJyFf+SimSun" w:hAnsi="8GOHJyFf+SimSun" w:eastAsia="8GOHJyFf+SimSun"/>
                <w:color w:val="000000"/>
                <w:sz w:val="16"/>
              </w:rPr>
              <w:t>2025年在预算执行中预算执行率完成较</w:t>
            </w:r>
          </w:p>
          <w:p w14:paraId="11F4ABE6">
            <w:pPr>
              <w:widowControl/>
              <w:autoSpaceDE w:val="0"/>
              <w:autoSpaceDN w:val="0"/>
              <w:spacing w:before="36" w:after="0" w:line="160" w:lineRule="exact"/>
              <w:ind w:left="24" w:right="0" w:firstLine="0"/>
              <w:jc w:val="left"/>
            </w:pPr>
            <w:r>
              <w:rPr>
                <w:rFonts w:ascii="8GOHJyFf+SimSun" w:hAnsi="8GOHJyFf+SimSun" w:eastAsia="8GOHJyFf+SimSun"/>
                <w:color w:val="000000"/>
                <w:sz w:val="16"/>
              </w:rPr>
              <w:t>高，绩效指标已完成。</w:t>
            </w:r>
          </w:p>
        </w:tc>
        <w:tc>
          <w:tcPr>
            <w:tcW w:w="2460" w:type="dxa"/>
            <w:tcBorders>
              <w:top w:val="single" w:color="000000" w:sz="4" w:space="0"/>
              <w:left w:val="single" w:color="000000" w:sz="4" w:space="0"/>
              <w:bottom w:val="single" w:color="000000" w:sz="6" w:space="0"/>
              <w:right w:val="single" w:color="000000" w:sz="4" w:space="0"/>
            </w:tcBorders>
            <w:tcMar>
              <w:left w:w="0" w:type="dxa"/>
              <w:right w:w="0" w:type="dxa"/>
            </w:tcMar>
          </w:tcPr>
          <w:p w14:paraId="51F61659">
            <w:pPr>
              <w:widowControl/>
              <w:autoSpaceDE w:val="0"/>
              <w:autoSpaceDN w:val="0"/>
              <w:spacing w:before="36" w:after="0" w:line="160" w:lineRule="exact"/>
              <w:ind w:left="26" w:right="0" w:firstLine="0"/>
              <w:jc w:val="left"/>
            </w:pPr>
            <w:r>
              <w:rPr>
                <w:rFonts w:ascii="8GOHJyFf+SimSun" w:hAnsi="8GOHJyFf+SimSun" w:eastAsia="8GOHJyFf+SimSun"/>
                <w:color w:val="000000"/>
                <w:sz w:val="16"/>
              </w:rPr>
              <w:t>无</w:t>
            </w:r>
          </w:p>
        </w:tc>
      </w:tr>
      <w:tr w14:paraId="6F30D89C">
        <w:tblPrEx>
          <w:tblCellMar>
            <w:top w:w="0" w:type="dxa"/>
            <w:left w:w="108" w:type="dxa"/>
            <w:bottom w:w="0" w:type="dxa"/>
            <w:right w:w="108" w:type="dxa"/>
          </w:tblCellMar>
        </w:tblPrEx>
        <w:trPr>
          <w:trHeight w:val="4106" w:hRule="exact"/>
        </w:trPr>
        <w:tc>
          <w:tcPr>
            <w:tcW w:w="1752" w:type="dxa"/>
            <w:tcBorders>
              <w:top w:val="single" w:color="000000" w:sz="6" w:space="0"/>
              <w:left w:val="single" w:color="000000" w:sz="4" w:space="0"/>
              <w:bottom w:val="single" w:color="000000" w:sz="4" w:space="0"/>
              <w:right w:val="single" w:color="000000" w:sz="4" w:space="0"/>
            </w:tcBorders>
            <w:tcMar>
              <w:left w:w="0" w:type="dxa"/>
              <w:right w:w="0" w:type="dxa"/>
            </w:tcMar>
          </w:tcPr>
          <w:p w14:paraId="5AFF92C6">
            <w:pPr>
              <w:widowControl/>
              <w:autoSpaceDE w:val="0"/>
              <w:autoSpaceDN w:val="0"/>
              <w:spacing w:before="36" w:after="0" w:line="160" w:lineRule="exact"/>
              <w:ind w:left="24" w:right="0" w:firstLine="0"/>
              <w:jc w:val="left"/>
            </w:pPr>
            <w:r>
              <w:rPr>
                <w:rFonts w:ascii="8GOHJyFf+SimSun" w:hAnsi="8GOHJyFf+SimSun" w:eastAsia="8GOHJyFf+SimSun"/>
                <w:color w:val="000000"/>
                <w:sz w:val="16"/>
              </w:rPr>
              <w:t>信访应急处置经费</w:t>
            </w:r>
          </w:p>
        </w:tc>
        <w:tc>
          <w:tcPr>
            <w:tcW w:w="6108" w:type="dxa"/>
            <w:tcBorders>
              <w:top w:val="single" w:color="000000" w:sz="6" w:space="0"/>
              <w:left w:val="single" w:color="000000" w:sz="4" w:space="0"/>
              <w:bottom w:val="single" w:color="000000" w:sz="4" w:space="0"/>
              <w:right w:val="single" w:color="000000" w:sz="4" w:space="0"/>
            </w:tcBorders>
            <w:tcMar>
              <w:left w:w="0" w:type="dxa"/>
              <w:right w:w="0" w:type="dxa"/>
            </w:tcMar>
          </w:tcPr>
          <w:p w14:paraId="28A16518">
            <w:pPr>
              <w:widowControl/>
              <w:autoSpaceDE w:val="0"/>
              <w:autoSpaceDN w:val="0"/>
              <w:spacing w:before="0" w:after="0" w:line="198" w:lineRule="exact"/>
              <w:ind w:left="24" w:right="0" w:firstLine="0"/>
              <w:jc w:val="left"/>
            </w:pPr>
            <w:r>
              <w:rPr>
                <w:rFonts w:ascii="8GOHJyFf+SimSun" w:hAnsi="8GOHJyFf+SimSun" w:eastAsia="8GOHJyFf+SimSun"/>
                <w:color w:val="000000"/>
                <w:sz w:val="16"/>
              </w:rPr>
              <w:t>任务：1.全力做好重点时期的信访工作。2.根据省市联办要求，组织人员进京开展劝访工作。3.按照省、市信联办工作部署及时对涉及需要信访联席会议制度办公室协调的案件召开协调会议研究，及时对相关人员进行走访调研。措施：1.预算编制：根据信访工作的实际需求和可能遇到的突发事件规模，提前做好年度信访应急处置专项预算，充分考虑应急队伍建设、装备购置、培训演练、现场处置、后勤保障等各种成本。2.经费来源：财政拨款：由中央或地方政府财政给予专项资金支持，确保信访应急处置工作的基础经费需求。预算内调整：在年度预算执行过程中，根据实际情况灵活调整，确保应急经费充足。3.资金使用管理：明确经费使用范围：包括但不限于应急队伍的组建与培训、应急设施设备购置维护、现场处置交通食宿、安全保障、矛盾化解、舆情应对等各个环节。规范审批流程：严格按照财务管理规定和政府采购程序进行经费使用，确保每一笔支出合法合规。绩效考核与监督：建立经费使用的绩效评估体系，定期进行内部审计，同时接受外部审计机关和社会公众的监督。4.应急准备与储备：设立应急预备金：为应对突发、紧急的大规模信访事件，确保在关键时刻有足够资金快速启动应急响应。物资储备：除了经费外，还可能包括必要的物资储备，如应急设备、通讯器材、生活保障物资等。5.协同联动机制：与有关部门建立经费协同机制，在必要时可联合其他部门共同承担或分摊部分应急处置经费。</w:t>
            </w:r>
          </w:p>
        </w:tc>
        <w:tc>
          <w:tcPr>
            <w:tcW w:w="2388" w:type="dxa"/>
            <w:tcBorders>
              <w:top w:val="single" w:color="000000" w:sz="6" w:space="0"/>
              <w:left w:val="single" w:color="000000" w:sz="4" w:space="0"/>
              <w:bottom w:val="single" w:color="000000" w:sz="4" w:space="0"/>
              <w:right w:val="single" w:color="000000" w:sz="4" w:space="0"/>
            </w:tcBorders>
            <w:tcMar>
              <w:left w:w="0" w:type="dxa"/>
              <w:right w:w="0" w:type="dxa"/>
            </w:tcMar>
          </w:tcPr>
          <w:p w14:paraId="1DFF3D77">
            <w:pPr>
              <w:widowControl/>
              <w:autoSpaceDE w:val="0"/>
              <w:autoSpaceDN w:val="0"/>
              <w:spacing w:before="0" w:after="0" w:line="198" w:lineRule="exact"/>
              <w:ind w:left="24" w:right="118" w:firstLine="0"/>
              <w:jc w:val="both"/>
            </w:pPr>
            <w:r>
              <w:rPr>
                <w:rFonts w:ascii="8GOHJyFf+SimSun" w:hAnsi="8GOHJyFf+SimSun" w:eastAsia="8GOHJyFf+SimSun"/>
                <w:color w:val="000000"/>
                <w:sz w:val="16"/>
              </w:rPr>
              <w:t>2025年昆明市五华区信访局截至12月31日信访应急处置经费预算执行率100%，项目支出绩效目标已完成。</w:t>
            </w:r>
          </w:p>
        </w:tc>
        <w:tc>
          <w:tcPr>
            <w:tcW w:w="2902" w:type="dxa"/>
            <w:tcBorders>
              <w:top w:val="single" w:color="000000" w:sz="6" w:space="0"/>
              <w:left w:val="single" w:color="000000" w:sz="4" w:space="0"/>
              <w:bottom w:val="single" w:color="000000" w:sz="4" w:space="0"/>
              <w:right w:val="single" w:color="000000" w:sz="4" w:space="0"/>
            </w:tcBorders>
            <w:tcMar>
              <w:left w:w="0" w:type="dxa"/>
              <w:right w:w="0" w:type="dxa"/>
            </w:tcMar>
          </w:tcPr>
          <w:p w14:paraId="28A60980">
            <w:pPr>
              <w:widowControl/>
              <w:autoSpaceDE w:val="0"/>
              <w:autoSpaceDN w:val="0"/>
              <w:spacing w:before="36" w:after="0" w:line="160" w:lineRule="exact"/>
              <w:ind w:left="24" w:right="0" w:firstLine="0"/>
              <w:jc w:val="left"/>
            </w:pPr>
            <w:r>
              <w:rPr>
                <w:rFonts w:ascii="8GOHJyFf+SimSun" w:hAnsi="8GOHJyFf+SimSun" w:eastAsia="8GOHJyFf+SimSun"/>
                <w:color w:val="000000"/>
                <w:sz w:val="16"/>
              </w:rPr>
              <w:t>2025年在预算执行中预算执行率完成较</w:t>
            </w:r>
          </w:p>
          <w:p w14:paraId="595D0DCE">
            <w:pPr>
              <w:widowControl/>
              <w:autoSpaceDE w:val="0"/>
              <w:autoSpaceDN w:val="0"/>
              <w:spacing w:before="36" w:after="0" w:line="160" w:lineRule="exact"/>
              <w:ind w:left="24" w:right="0" w:firstLine="0"/>
              <w:jc w:val="left"/>
            </w:pPr>
            <w:r>
              <w:rPr>
                <w:rFonts w:ascii="8GOHJyFf+SimSun" w:hAnsi="8GOHJyFf+SimSun" w:eastAsia="8GOHJyFf+SimSun"/>
                <w:color w:val="000000"/>
                <w:sz w:val="16"/>
              </w:rPr>
              <w:t>高，绩效指标已完成。</w:t>
            </w:r>
          </w:p>
        </w:tc>
        <w:tc>
          <w:tcPr>
            <w:tcW w:w="2460" w:type="dxa"/>
            <w:tcBorders>
              <w:top w:val="single" w:color="000000" w:sz="6" w:space="0"/>
              <w:left w:val="single" w:color="000000" w:sz="4" w:space="0"/>
              <w:bottom w:val="single" w:color="000000" w:sz="4" w:space="0"/>
              <w:right w:val="single" w:color="000000" w:sz="4" w:space="0"/>
            </w:tcBorders>
            <w:tcMar>
              <w:left w:w="0" w:type="dxa"/>
              <w:right w:w="0" w:type="dxa"/>
            </w:tcMar>
          </w:tcPr>
          <w:p w14:paraId="6E19496B">
            <w:pPr>
              <w:widowControl/>
              <w:autoSpaceDE w:val="0"/>
              <w:autoSpaceDN w:val="0"/>
              <w:spacing w:before="36" w:after="0" w:line="160" w:lineRule="exact"/>
              <w:ind w:left="26" w:right="0" w:firstLine="0"/>
              <w:jc w:val="left"/>
            </w:pPr>
            <w:r>
              <w:rPr>
                <w:rFonts w:ascii="8GOHJyFf+SimSun" w:hAnsi="8GOHJyFf+SimSun" w:eastAsia="8GOHJyFf+SimSun"/>
                <w:color w:val="000000"/>
                <w:sz w:val="16"/>
              </w:rPr>
              <w:t>无</w:t>
            </w:r>
          </w:p>
        </w:tc>
      </w:tr>
      <w:tr w14:paraId="23CD85A9">
        <w:tblPrEx>
          <w:tblCellMar>
            <w:top w:w="0" w:type="dxa"/>
            <w:left w:w="108" w:type="dxa"/>
            <w:bottom w:w="0" w:type="dxa"/>
            <w:right w:w="108" w:type="dxa"/>
          </w:tblCellMar>
        </w:tblPrEx>
        <w:trPr>
          <w:trHeight w:val="2988" w:hRule="exact"/>
        </w:trPr>
        <w:tc>
          <w:tcPr>
            <w:tcW w:w="17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26CB3C">
            <w:pPr>
              <w:widowControl/>
              <w:autoSpaceDE w:val="0"/>
              <w:autoSpaceDN w:val="0"/>
              <w:spacing w:before="38" w:after="0" w:line="160" w:lineRule="exact"/>
              <w:ind w:left="24" w:right="0" w:firstLine="0"/>
              <w:jc w:val="left"/>
            </w:pPr>
            <w:r>
              <w:rPr>
                <w:rFonts w:ascii="8GOHJyFf+SimSun" w:hAnsi="8GOHJyFf+SimSun" w:eastAsia="8GOHJyFf+SimSun"/>
                <w:color w:val="000000"/>
                <w:sz w:val="16"/>
              </w:rPr>
              <w:t>返还工会经费</w:t>
            </w:r>
          </w:p>
        </w:tc>
        <w:tc>
          <w:tcPr>
            <w:tcW w:w="61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78A803C">
            <w:pPr>
              <w:widowControl/>
              <w:autoSpaceDE w:val="0"/>
              <w:autoSpaceDN w:val="0"/>
              <w:spacing w:before="0" w:after="0" w:line="198" w:lineRule="exact"/>
              <w:ind w:left="24" w:right="18" w:firstLine="0"/>
              <w:jc w:val="both"/>
            </w:pPr>
            <w:r>
              <w:rPr>
                <w:rFonts w:ascii="8GOHJyFf+SimSun" w:hAnsi="8GOHJyFf+SimSun" w:eastAsia="8GOHJyFf+SimSun"/>
                <w:color w:val="000000"/>
                <w:sz w:val="16"/>
              </w:rPr>
              <w:t>任务：做好本部门工会经费保障，支持部门正常履职。措施：1.预算编制与分配：信访局依据每年的工作计划和预期任务，编制全面、详实的年度预算，预算内容包括人员工资、办公经费、信访接待、调查处理、矛盾化解、培训学习、信息化建设等多个方面，确保每个工作环节都有对应的经费保障。2.经费来源：经费主要来源于国家财政拨款，也有可能通过合理合规的方式筹集自其他合法渠道，例如上级部门的专项转移支付，以及在法律法规允许范围内接受社会捐赠等。3.经费使用管理：建立严格的经费使用管理制度，实行“收支两条线”管理，确保经费使用遵循国家财经法规和财务制度，做到专款专用，厉行节约。对于每一笔支出，均需经过审批流程，确保经费使用的公开透明和有效监督。4.绩效考核与审计监督：对接收和使用的经费进行绩效考核，定期对经费使用情况进行内部等方面，确保经费使用的合理性、合规性和有效性。5.应急保障与风险防控：针对可能出现的突发信访事件或特殊情况，设定一定比例的应急保障经费，确保在关键时刻能够迅速、高效地处置问题，维护社会稳定。</w:t>
            </w:r>
          </w:p>
        </w:tc>
        <w:tc>
          <w:tcPr>
            <w:tcW w:w="2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0BB985">
            <w:pPr>
              <w:widowControl/>
              <w:autoSpaceDE w:val="0"/>
              <w:autoSpaceDN w:val="0"/>
              <w:spacing w:before="0" w:after="0" w:line="198" w:lineRule="exact"/>
              <w:ind w:left="24" w:right="118" w:firstLine="0"/>
              <w:jc w:val="both"/>
            </w:pPr>
            <w:r>
              <w:rPr>
                <w:rFonts w:ascii="8GOHJyFf+SimSun" w:hAnsi="8GOHJyFf+SimSun" w:eastAsia="8GOHJyFf+SimSun"/>
                <w:color w:val="000000"/>
                <w:sz w:val="16"/>
              </w:rPr>
              <w:t>2025年昆明市五华区信访局截至12月31日返还工会经费预算执行率100%，项目支出绩效目标已完成。</w:t>
            </w:r>
          </w:p>
        </w:tc>
        <w:tc>
          <w:tcPr>
            <w:tcW w:w="29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917005">
            <w:pPr>
              <w:widowControl/>
              <w:autoSpaceDE w:val="0"/>
              <w:autoSpaceDN w:val="0"/>
              <w:spacing w:before="38" w:after="0" w:line="160" w:lineRule="exact"/>
              <w:ind w:left="24" w:right="0" w:firstLine="0"/>
              <w:jc w:val="left"/>
            </w:pPr>
            <w:r>
              <w:rPr>
                <w:rFonts w:ascii="8GOHJyFf+SimSun" w:hAnsi="8GOHJyFf+SimSun" w:eastAsia="8GOHJyFf+SimSun"/>
                <w:color w:val="000000"/>
                <w:sz w:val="16"/>
              </w:rPr>
              <w:t>2025年在预算执行中预算执行率完成较</w:t>
            </w:r>
          </w:p>
          <w:p w14:paraId="716C92E5">
            <w:pPr>
              <w:widowControl/>
              <w:autoSpaceDE w:val="0"/>
              <w:autoSpaceDN w:val="0"/>
              <w:spacing w:before="36" w:after="0" w:line="160" w:lineRule="exact"/>
              <w:ind w:left="24" w:right="0" w:firstLine="0"/>
              <w:jc w:val="left"/>
            </w:pPr>
            <w:r>
              <w:rPr>
                <w:rFonts w:ascii="8GOHJyFf+SimSun" w:hAnsi="8GOHJyFf+SimSun" w:eastAsia="8GOHJyFf+SimSun"/>
                <w:color w:val="000000"/>
                <w:sz w:val="16"/>
              </w:rPr>
              <w:t>高，绩效指标已完成。</w:t>
            </w:r>
          </w:p>
        </w:tc>
        <w:tc>
          <w:tcPr>
            <w:tcW w:w="2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516D290">
            <w:pPr>
              <w:widowControl/>
              <w:autoSpaceDE w:val="0"/>
              <w:autoSpaceDN w:val="0"/>
              <w:spacing w:before="38" w:after="0" w:line="160" w:lineRule="exact"/>
              <w:ind w:left="0" w:right="0" w:firstLine="0"/>
              <w:jc w:val="center"/>
            </w:pPr>
            <w:r>
              <w:rPr>
                <w:rFonts w:ascii="8GOHJyFf+SimSun" w:hAnsi="8GOHJyFf+SimSun" w:eastAsia="8GOHJyFf+SimSun"/>
                <w:color w:val="000000"/>
                <w:sz w:val="16"/>
              </w:rPr>
              <w:t>用于保运转、保民生、要确保每一</w:t>
            </w:r>
          </w:p>
          <w:p w14:paraId="1566A569">
            <w:pPr>
              <w:widowControl/>
              <w:autoSpaceDE w:val="0"/>
              <w:autoSpaceDN w:val="0"/>
              <w:spacing w:before="36" w:after="0" w:line="160" w:lineRule="exact"/>
              <w:ind w:left="26" w:right="0" w:firstLine="0"/>
              <w:jc w:val="left"/>
            </w:pPr>
            <w:r>
              <w:rPr>
                <w:rFonts w:ascii="8GOHJyFf+SimSun" w:hAnsi="8GOHJyFf+SimSun" w:eastAsia="8GOHJyFf+SimSun"/>
                <w:color w:val="000000"/>
                <w:sz w:val="16"/>
              </w:rPr>
              <w:t>笔资金花得安全、用得高效。</w:t>
            </w:r>
          </w:p>
        </w:tc>
      </w:tr>
    </w:tbl>
    <w:p w14:paraId="441ADC28">
      <w:pPr>
        <w:widowControl/>
        <w:autoSpaceDE w:val="0"/>
        <w:autoSpaceDN w:val="0"/>
        <w:spacing w:before="0" w:after="0" w:line="14" w:lineRule="exact"/>
        <w:ind w:left="0" w:right="0"/>
      </w:pPr>
    </w:p>
    <w:sectPr>
      <w:pgSz w:w="16837" w:h="12305"/>
      <w:pgMar w:top="338" w:right="738" w:bottom="694" w:left="452" w:header="720" w:footer="720" w:gutter="0"/>
      <w:cols w:equalWidth="0" w:num="1">
        <w:col w:w="1564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8GOHJyFf+SimSun">
    <w:panose1 w:val="02000503000000000000"/>
    <w:charset w:val="88"/>
    <w:family w:val="auto"/>
    <w:pitch w:val="default"/>
    <w:sig w:usb0="80000003" w:usb1="08010000" w:usb2="00000010" w:usb3="00000000" w:csb0="001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3" w:usb1="08010000" w:usb2="00000010" w:usb3="00000000" w:csb0="001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4B64C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3501</Words>
  <Characters>3659</Characters>
  <Lines>0</Lines>
  <Paragraphs>0</Paragraphs>
  <TotalTime>0</TotalTime>
  <ScaleCrop>false</ScaleCrop>
  <LinksUpToDate>false</LinksUpToDate>
  <CharactersWithSpaces>3663</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2026-09-03T07:11:07Z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eyJoZGlkIjoiNGI0NTYxYTJlZGY2MTJiZTAzNTdkNzA5NGExNjZkYTMiLCJ1c2VySWQiOiIzNjE2NjA5NTcifQ==</vt:lpwstr>
  </property>
  <property fmtid="{D5CDD505-2E9C-101B-9397-08002B2CF9AE}" pid="3" name="KSOProductBuildVer">
    <vt:lpwstr>2052-12.1.0.28500</vt:lpwstr>
  </property>
  <property fmtid="{D5CDD505-2E9C-101B-9397-08002B2CF9AE}" pid="4" name="ICV">
    <vt:lpwstr>8E929FBEAC9349B9865D05FCDCFE3EE0_12</vt:lpwstr>
  </property>
</Properties>
</file>