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8DE9E">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756"/>
        <w:gridCol w:w="832"/>
        <w:gridCol w:w="1040"/>
        <w:gridCol w:w="6978"/>
      </w:tblGrid>
      <w:tr w14:paraId="40AD564A">
        <w:tblPrEx>
          <w:tblCellMar>
            <w:top w:w="0" w:type="dxa"/>
            <w:left w:w="108" w:type="dxa"/>
            <w:bottom w:w="0" w:type="dxa"/>
            <w:right w:w="108" w:type="dxa"/>
          </w:tblCellMar>
        </w:tblPrEx>
        <w:trPr>
          <w:trHeight w:val="566" w:hRule="exact"/>
        </w:trPr>
        <w:tc>
          <w:tcPr>
            <w:tcW w:w="960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DD0FD0A">
            <w:pPr>
              <w:widowControl/>
              <w:autoSpaceDE w:val="0"/>
              <w:autoSpaceDN w:val="0"/>
              <w:spacing w:before="168" w:after="0" w:line="248" w:lineRule="exact"/>
              <w:ind w:left="0" w:right="0" w:firstLine="0"/>
              <w:jc w:val="center"/>
            </w:pPr>
            <w:r>
              <w:rPr>
                <w:rFonts w:ascii="cNtkqcMC+SimSun" w:hAnsi="cNtkqcMC+SimSun" w:eastAsia="cNtkqcMC+SimSun"/>
                <w:b/>
                <w:color w:val="000000"/>
                <w:sz w:val="25"/>
              </w:rPr>
              <w:t>部门整体支出绩效自评报告</w:t>
            </w:r>
          </w:p>
        </w:tc>
      </w:tr>
      <w:tr w14:paraId="611CF697">
        <w:tblPrEx>
          <w:tblCellMar>
            <w:top w:w="0" w:type="dxa"/>
            <w:left w:w="108" w:type="dxa"/>
            <w:bottom w:w="0" w:type="dxa"/>
            <w:right w:w="108" w:type="dxa"/>
          </w:tblCellMar>
        </w:tblPrEx>
        <w:trPr>
          <w:trHeight w:val="4168" w:hRule="exact"/>
        </w:trPr>
        <w:tc>
          <w:tcPr>
            <w:tcW w:w="75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4677778">
            <w:pPr>
              <w:widowControl/>
              <w:autoSpaceDE w:val="0"/>
              <w:autoSpaceDN w:val="0"/>
              <w:spacing w:before="4846" w:after="0" w:line="126" w:lineRule="exact"/>
              <w:ind w:left="0" w:right="0" w:firstLine="0"/>
              <w:jc w:val="center"/>
            </w:pPr>
            <w:r>
              <w:rPr>
                <w:rFonts w:ascii="cNtkqcMC+SimSun" w:hAnsi="cNtkqcMC+SimSun" w:eastAsia="cNtkqcMC+SimSun"/>
                <w:color w:val="000000"/>
                <w:w w:val="104"/>
                <w:sz w:val="12"/>
              </w:rPr>
              <w:t>一、部门基</w:t>
            </w:r>
          </w:p>
          <w:p w14:paraId="6E0E8F76">
            <w:pPr>
              <w:widowControl/>
              <w:autoSpaceDE w:val="0"/>
              <w:autoSpaceDN w:val="0"/>
              <w:spacing w:before="32" w:after="0" w:line="124" w:lineRule="exact"/>
              <w:ind w:left="0" w:right="0" w:firstLine="0"/>
              <w:jc w:val="center"/>
            </w:pPr>
            <w:r>
              <w:rPr>
                <w:rFonts w:ascii="cNtkqcMC+SimSun" w:hAnsi="cNtkqcMC+SimSun" w:eastAsia="cNtkqcMC+SimSun"/>
                <w:color w:val="000000"/>
                <w:w w:val="104"/>
                <w:sz w:val="12"/>
              </w:rPr>
              <w:t>本情况</w:t>
            </w:r>
          </w:p>
        </w:tc>
        <w:tc>
          <w:tcPr>
            <w:tcW w:w="18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4804088">
            <w:pPr>
              <w:widowControl/>
              <w:autoSpaceDE w:val="0"/>
              <w:autoSpaceDN w:val="0"/>
              <w:spacing w:before="2024" w:after="0" w:line="126" w:lineRule="exact"/>
              <w:ind w:left="16" w:right="0" w:firstLine="0"/>
              <w:jc w:val="left"/>
            </w:pPr>
            <w:r>
              <w:rPr>
                <w:rFonts w:ascii="cNtkqcMC+SimSun" w:hAnsi="cNtkqcMC+SimSun" w:eastAsia="cNtkqcMC+SimSun"/>
                <w:color w:val="000000"/>
                <w:w w:val="104"/>
                <w:sz w:val="12"/>
              </w:rPr>
              <w:t>（一）部门概况</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8323A2">
            <w:pPr>
              <w:widowControl/>
              <w:autoSpaceDE w:val="0"/>
              <w:autoSpaceDN w:val="0"/>
              <w:spacing w:before="60" w:after="0" w:line="154" w:lineRule="exact"/>
              <w:ind w:left="16" w:right="0" w:firstLine="0"/>
              <w:jc w:val="left"/>
            </w:pPr>
            <w:r>
              <w:rPr>
                <w:rFonts w:ascii="cNtkqcMC+SimSun" w:hAnsi="cNtkqcMC+SimSun" w:eastAsia="cNtkqcMC+SimSun"/>
                <w:color w:val="000000"/>
                <w:w w:val="104"/>
                <w:sz w:val="12"/>
              </w:rPr>
              <w:t>根据《 中共五华区委办公室 五华区人民政府办公室关于印发&lt;昆明市五华区应急管理局职能配置、内设机构和人员编制规定&gt;的通知》规定,我单位主要职责如下：</w:t>
            </w:r>
            <w:r>
              <w:br w:type="textWrapping"/>
            </w:r>
            <w:r>
              <w:rPr>
                <w:rFonts w:ascii="cNtkqcMC+SimSun" w:hAnsi="cNtkqcMC+SimSun" w:eastAsia="cNtkqcMC+SimSun"/>
                <w:color w:val="000000"/>
                <w:w w:val="104"/>
                <w:sz w:val="12"/>
              </w:rPr>
              <w:t>（一）贯彻执行国家应急管理、安全生产的方针政策、法律法规；拟订区应急体系建设、安全生产规划；</w:t>
            </w:r>
            <w:r>
              <w:br w:type="textWrapping"/>
            </w:r>
            <w:r>
              <w:rPr>
                <w:rFonts w:ascii="cNtkqcMC+SimSun" w:hAnsi="cNtkqcMC+SimSun" w:eastAsia="cNtkqcMC+SimSun"/>
                <w:color w:val="000000"/>
                <w:w w:val="104"/>
                <w:sz w:val="12"/>
              </w:rPr>
              <w:t>（二）负责应急管理工作,指导各街道办事处、各部门、各单位应对安全生产类、自然灾害类等突发事件和综合救灾工作；（三）指导应急预案体系建设、建立完善事故灾难和自然灾害分级应对制度、组织编制区级总体应急预案和安全生产类、自然灾害类专项预案,综合协调应急预案衔接工作、组织开展预案演练、配合推动应急重点工程和应急避难设施建设；（四）组织指导协调安全生产类、自然灾害类等突发事件区委、区政府指定的负责同志组织灾害应急处置工作；</w:t>
            </w:r>
            <w:r>
              <w:br w:type="textWrapping"/>
            </w:r>
            <w:r>
              <w:rPr>
                <w:rFonts w:ascii="cNtkqcMC+SimSun" w:hAnsi="cNtkqcMC+SimSun" w:eastAsia="cNtkqcMC+SimSun"/>
                <w:color w:val="000000"/>
                <w:w w:val="104"/>
                <w:sz w:val="12"/>
              </w:rPr>
              <w:t>（五）建立应急协调联动机制,推进指挥平台对接,协调指挥各类应急专业队伍，与区武装部做好衔接驻区解放军和武|警部队参与应急救援工作；</w:t>
            </w:r>
            <w:r>
              <w:br w:type="textWrapping"/>
            </w:r>
            <w:r>
              <w:rPr>
                <w:rFonts w:ascii="cNtkqcMC+SimSun" w:hAnsi="cNtkqcMC+SimSun" w:eastAsia="cNtkqcMC+SimSun"/>
                <w:color w:val="000000"/>
                <w:w w:val="104"/>
                <w:sz w:val="12"/>
              </w:rPr>
              <w:t>（六）统筹应急救援力量建设,指导消防、森林和草原火灾扑救、抗洪抢险、地震和地质灾害救援等专业应急救援力量建设指导社会应急救援力量建设，指导各街道办事处应急救援力量建设；</w:t>
            </w:r>
            <w:r>
              <w:br w:type="textWrapping"/>
            </w:r>
            <w:r>
              <w:rPr>
                <w:rFonts w:ascii="cNtkqcMC+SimSun" w:hAnsi="cNtkqcMC+SimSun" w:eastAsia="cNtkqcMC+SimSun"/>
                <w:color w:val="000000"/>
                <w:w w:val="104"/>
                <w:sz w:val="12"/>
              </w:rPr>
              <w:t>（七）指导协调森林和草原火灾、水旱灾害、地震和地质 灾害等防治工作，负责自然灾害综合预测预警工作，指导开展自然灾害风险评估工作；</w:t>
            </w:r>
            <w:r>
              <w:br w:type="textWrapping"/>
            </w:r>
            <w:r>
              <w:rPr>
                <w:rFonts w:ascii="cNtkqcMC+SimSun" w:hAnsi="cNtkqcMC+SimSun" w:eastAsia="cNtkqcMC+SimSun"/>
                <w:color w:val="000000"/>
                <w:w w:val="104"/>
                <w:sz w:val="12"/>
              </w:rPr>
              <w:t>（八）组织协调灾害救助工作，组织指导灾情核查、损失评估、救灾捐赠工作,管理、分配救灾款物并监督使用；（九）依法行使安全生产综合监督管理职权，指导协调、监督检查区级有关部门和各街道办事处、开发园区管委会安全生产工作,组织实施安全生产巡查、考核工作。</w:t>
            </w:r>
          </w:p>
          <w:p w14:paraId="48A8151A">
            <w:pPr>
              <w:widowControl/>
              <w:autoSpaceDE w:val="0"/>
              <w:autoSpaceDN w:val="0"/>
              <w:spacing w:before="0" w:after="0" w:line="154" w:lineRule="exact"/>
              <w:ind w:left="16" w:right="0" w:firstLine="0"/>
              <w:jc w:val="left"/>
            </w:pPr>
            <w:r>
              <w:rPr>
                <w:rFonts w:ascii="cNtkqcMC+SimSun" w:hAnsi="cNtkqcMC+SimSun" w:eastAsia="cNtkqcMC+SimSun"/>
                <w:color w:val="000000"/>
                <w:w w:val="104"/>
                <w:sz w:val="12"/>
              </w:rPr>
              <w:t>（十）按照分级属地原则,依法监督检查非煤矿山（含地质勘探）、冶金、有色、建材机械、轻工、纺织、烟草、商贸等工矿商贸行业生产经营单位贯彻执行安全生产法律法规情况，以及安全生产条件的安全生产管理工作；</w:t>
            </w:r>
            <w:r>
              <w:br w:type="textWrapping"/>
            </w:r>
            <w:r>
              <w:rPr>
                <w:rFonts w:ascii="cNtkqcMC+SimSun" w:hAnsi="cNtkqcMC+SimSun" w:eastAsia="cNtkqcMC+SimSun"/>
                <w:color w:val="000000"/>
                <w:w w:val="104"/>
                <w:sz w:val="12"/>
              </w:rPr>
              <w:t>（十一）负责组织辖区烟花爆竹经营（零售）许可证核发工作；新建、改建、扩建危险化学品生产、储存企业审核；危险化学品经营许可证（乙种）核发工作；负责安全生产综合监督管理工作和工矿商贸行业安全生产监督管理工作；</w:t>
            </w:r>
            <w:r>
              <w:br w:type="textWrapping"/>
            </w:r>
            <w:r>
              <w:rPr>
                <w:rFonts w:ascii="cNtkqcMC+SimSun" w:hAnsi="cNtkqcMC+SimSun" w:eastAsia="cNtkqcMC+SimSun"/>
                <w:color w:val="000000"/>
                <w:w w:val="104"/>
                <w:sz w:val="12"/>
              </w:rPr>
              <w:t>（十二）依法组织指导生产安全事故调查处理,监督事故查处和责任追究落实情况；</w:t>
            </w:r>
            <w:r>
              <w:br w:type="textWrapping"/>
            </w:r>
            <w:r>
              <w:rPr>
                <w:rFonts w:ascii="cNtkqcMC+SimSun" w:hAnsi="cNtkqcMC+SimSun" w:eastAsia="cNtkqcMC+SimSun"/>
                <w:color w:val="000000"/>
                <w:w w:val="104"/>
                <w:sz w:val="12"/>
              </w:rPr>
              <w:t>（十三）制定应急物资储备和应急救援装备规划并组织实施,会同有关部门建立健全应急物资信息平台和调拨制度,在救灾时统一调度；</w:t>
            </w:r>
            <w:r>
              <w:br w:type="textWrapping"/>
            </w:r>
            <w:r>
              <w:rPr>
                <w:rFonts w:ascii="cNtkqcMC+SimSun" w:hAnsi="cNtkqcMC+SimSun" w:eastAsia="cNtkqcMC+SimSun"/>
                <w:color w:val="000000"/>
                <w:w w:val="104"/>
                <w:sz w:val="12"/>
              </w:rPr>
              <w:t>（十四）负责应急管理、安全生产宣传教育和培训工作, 组织指导应急管理、安全生产的科学技术推广应用和信息化化建设工作；</w:t>
            </w:r>
          </w:p>
          <w:p w14:paraId="1BECEB3A">
            <w:pPr>
              <w:widowControl/>
              <w:autoSpaceDE w:val="0"/>
              <w:autoSpaceDN w:val="0"/>
              <w:spacing w:before="32" w:after="0" w:line="124" w:lineRule="exact"/>
              <w:ind w:left="16" w:right="0" w:firstLine="0"/>
              <w:jc w:val="left"/>
            </w:pPr>
            <w:r>
              <w:rPr>
                <w:rFonts w:ascii="cNtkqcMC+SimSun" w:hAnsi="cNtkqcMC+SimSun" w:eastAsia="cNtkqcMC+SimSun"/>
                <w:color w:val="000000"/>
                <w:w w:val="104"/>
                <w:sz w:val="12"/>
              </w:rPr>
              <w:t xml:space="preserve">（十五）完成区委、区政府交办的其他任务。 </w:t>
            </w:r>
          </w:p>
        </w:tc>
      </w:tr>
      <w:tr w14:paraId="4BBF35E2">
        <w:tblPrEx>
          <w:tblCellMar>
            <w:top w:w="0" w:type="dxa"/>
            <w:left w:w="108" w:type="dxa"/>
            <w:bottom w:w="0" w:type="dxa"/>
            <w:right w:w="108" w:type="dxa"/>
          </w:tblCellMar>
        </w:tblPrEx>
        <w:trPr>
          <w:trHeight w:val="4178" w:hRule="exact"/>
        </w:trPr>
        <w:tc>
          <w:tcPr>
            <w:tcW w:w="2409" w:type="dxa"/>
            <w:vMerge w:val="continue"/>
            <w:tcBorders>
              <w:top w:val="single" w:color="000000" w:sz="4" w:space="0"/>
              <w:left w:val="single" w:color="000000" w:sz="4" w:space="0"/>
              <w:bottom w:val="single" w:color="000000" w:sz="4" w:space="0"/>
              <w:right w:val="single" w:color="000000" w:sz="4" w:space="0"/>
            </w:tcBorders>
          </w:tcPr>
          <w:p w14:paraId="4160C662"/>
        </w:tc>
        <w:tc>
          <w:tcPr>
            <w:tcW w:w="1872" w:type="dxa"/>
            <w:gridSpan w:val="2"/>
            <w:tcBorders>
              <w:top w:val="single" w:color="000000" w:sz="4" w:space="0"/>
              <w:left w:val="single" w:color="000000" w:sz="4" w:space="0"/>
              <w:bottom w:val="single" w:color="000000" w:sz="2" w:space="0"/>
              <w:right w:val="single" w:color="000000" w:sz="4" w:space="0"/>
            </w:tcBorders>
            <w:tcMar>
              <w:left w:w="0" w:type="dxa"/>
              <w:right w:w="0" w:type="dxa"/>
            </w:tcMar>
          </w:tcPr>
          <w:p w14:paraId="19492AB6">
            <w:pPr>
              <w:widowControl/>
              <w:autoSpaceDE w:val="0"/>
              <w:autoSpaceDN w:val="0"/>
              <w:spacing w:before="2030" w:after="0" w:line="124" w:lineRule="exact"/>
              <w:ind w:left="0" w:right="0" w:firstLine="0"/>
              <w:jc w:val="center"/>
            </w:pPr>
            <w:r>
              <w:rPr>
                <w:rFonts w:ascii="cNtkqcMC+SimSun" w:hAnsi="cNtkqcMC+SimSun" w:eastAsia="cNtkqcMC+SimSun"/>
                <w:color w:val="000000"/>
                <w:w w:val="104"/>
                <w:sz w:val="12"/>
              </w:rPr>
              <w:t>（二）部门绩效目标的设立情况</w:t>
            </w:r>
          </w:p>
        </w:tc>
        <w:tc>
          <w:tcPr>
            <w:tcW w:w="6978" w:type="dxa"/>
            <w:tcBorders>
              <w:top w:val="single" w:color="000000" w:sz="4" w:space="0"/>
              <w:left w:val="single" w:color="000000" w:sz="4" w:space="0"/>
              <w:bottom w:val="single" w:color="000000" w:sz="2" w:space="0"/>
              <w:right w:val="single" w:color="000000" w:sz="4" w:space="0"/>
            </w:tcBorders>
            <w:tcMar>
              <w:left w:w="0" w:type="dxa"/>
              <w:right w:w="0" w:type="dxa"/>
            </w:tcMar>
          </w:tcPr>
          <w:p w14:paraId="1E7365C0">
            <w:pPr>
              <w:widowControl/>
              <w:autoSpaceDE w:val="0"/>
              <w:autoSpaceDN w:val="0"/>
              <w:spacing w:before="64" w:after="0" w:line="156" w:lineRule="exact"/>
              <w:ind w:left="16" w:right="0" w:firstLine="0"/>
              <w:jc w:val="left"/>
            </w:pPr>
            <w:r>
              <w:rPr>
                <w:rFonts w:ascii="cNtkqcMC+SimSun" w:hAnsi="cNtkqcMC+SimSun" w:eastAsia="cNtkqcMC+SimSun"/>
                <w:color w:val="000000"/>
                <w:w w:val="104"/>
                <w:sz w:val="12"/>
              </w:rPr>
              <w:t>已根据部门“十四五”发展规划、部门职责，结合年度工作任务设立总体绩效目标和年度绩效目标。其中，2025年-2027年部门总体目标为：昆明市五华区应急管理局将坚持把党的政治建设摆在首位，始终在思想上政治上行动上同以习近平同志为核心的党中央保持高度一致，引导广大党员干部深入学习党的二十大精神。紧抓安全生产、应急管理、防灾减灾和森林草原防灭火重点工作，推进市域治理现代化，坚守城市生产安全底线，落实安全生产责任制，健全应急管理体系。</w:t>
            </w:r>
          </w:p>
          <w:p w14:paraId="089BB8BB">
            <w:pPr>
              <w:widowControl/>
              <w:autoSpaceDE w:val="0"/>
              <w:autoSpaceDN w:val="0"/>
              <w:spacing w:before="0" w:after="0" w:line="154" w:lineRule="exact"/>
              <w:ind w:left="16" w:right="0" w:firstLine="0"/>
              <w:jc w:val="left"/>
            </w:pPr>
            <w:r>
              <w:rPr>
                <w:rFonts w:ascii="cNtkqcMC+SimSun" w:hAnsi="cNtkqcMC+SimSun" w:eastAsia="cNtkqcMC+SimSun"/>
                <w:color w:val="000000"/>
                <w:w w:val="104"/>
                <w:sz w:val="12"/>
              </w:rPr>
              <w:t xml:space="preserve">2025年年度绩效目标为： </w:t>
            </w:r>
            <w:r>
              <w:br w:type="textWrapping"/>
            </w:r>
            <w:r>
              <w:rPr>
                <w:rFonts w:ascii="cNtkqcMC+SimSun" w:hAnsi="cNtkqcMC+SimSun" w:eastAsia="cNtkqcMC+SimSun"/>
                <w:color w:val="000000"/>
                <w:w w:val="104"/>
                <w:sz w:val="12"/>
              </w:rPr>
              <w:t>（一）推动安全生产责任落实。以落实安全生产十五条措施为抓手，督促各街道、部门严格落实属地监管和行业监管责任，紧盯企业主体责任落实。综合运用行政处罚、联合惩戒等措施，把监管执法的重点放到推动企业落实主体责任。（二）加强重点时段安全风险管控。聚焦重点节日、重点时段，突出非煤矿山、危险化学品、冶金工贸、交通运输、建设施工、自建房、城镇燃气、消防、特种设备、农机、文旅等可能发生事故的企业、场所、装置进行全面排查，对排查出的重大风险隐患分级管理，认真建立台账清单，做到整改责任、措施、资金、时限、预案“五落实”，确保全区安全生产形势稳定。</w:t>
            </w:r>
          </w:p>
          <w:p w14:paraId="39D8B22F">
            <w:pPr>
              <w:widowControl/>
              <w:autoSpaceDE w:val="0"/>
              <w:autoSpaceDN w:val="0"/>
              <w:spacing w:before="2" w:after="0" w:line="154" w:lineRule="exact"/>
              <w:ind w:left="16" w:right="0" w:firstLine="0"/>
              <w:jc w:val="left"/>
            </w:pPr>
            <w:r>
              <w:rPr>
                <w:rFonts w:ascii="cNtkqcMC+SimSun" w:hAnsi="cNtkqcMC+SimSun" w:eastAsia="cNtkqcMC+SimSun"/>
                <w:color w:val="000000"/>
                <w:w w:val="104"/>
                <w:sz w:val="12"/>
              </w:rPr>
              <w:t>（三）进一步加强应急救援队伍建设工作。按照“资源整合、资源共享”的原则，重点抓好骨干队伍、专业队伍、志愿者队伍和驻区企事业单位综合应急队伍建设，完善各项保障措施，提升应急救援工作效能。</w:t>
            </w:r>
          </w:p>
          <w:p w14:paraId="53B50E36">
            <w:pPr>
              <w:widowControl/>
              <w:autoSpaceDE w:val="0"/>
              <w:autoSpaceDN w:val="0"/>
              <w:spacing w:before="2" w:after="0" w:line="154" w:lineRule="exact"/>
              <w:ind w:left="16" w:right="0" w:firstLine="0"/>
              <w:jc w:val="left"/>
            </w:pPr>
            <w:r>
              <w:rPr>
                <w:rFonts w:ascii="cNtkqcMC+SimSun" w:hAnsi="cNtkqcMC+SimSun" w:eastAsia="cNtkqcMC+SimSun"/>
                <w:color w:val="000000"/>
                <w:w w:val="104"/>
                <w:sz w:val="12"/>
              </w:rPr>
              <w:t>（四）加强常规管理和常态监控。进一步建立完善我区突发事件隐患排查和预测预警体系，坚持防处结合，以防为主，增强工作的预见性，防患于未然。搞好源头治理，完善工作机制，采取有效措施，尽量防止、减少突发事件的发生和危害。（五）切实做好防灾减灾救灾工作。进一步加大洪涝、地质、地震等自然灾害的监测力度，加密灾情会商频次，加强预报预警和响应联动。密切监视当前汛情、旱情发展，严防旱涝急转、旱涝并发。严格执行领导在岗带班、24小时值班值守和信息报告制度，保证信息畅通。进一步完善应急预案，畅通应急协调联动机制，做好应急救援准备工作，科学处置各类灾害事故。</w:t>
            </w:r>
          </w:p>
          <w:p w14:paraId="362EA636">
            <w:pPr>
              <w:widowControl/>
              <w:autoSpaceDE w:val="0"/>
              <w:autoSpaceDN w:val="0"/>
              <w:spacing w:before="2" w:after="0" w:line="154" w:lineRule="exact"/>
              <w:ind w:left="16" w:right="90" w:firstLine="0"/>
              <w:jc w:val="both"/>
            </w:pPr>
            <w:r>
              <w:rPr>
                <w:rFonts w:ascii="cNtkqcMC+SimSun" w:hAnsi="cNtkqcMC+SimSun" w:eastAsia="cNtkqcMC+SimSun"/>
                <w:color w:val="000000"/>
                <w:w w:val="104"/>
                <w:sz w:val="12"/>
              </w:rPr>
              <w:t>（六）扎实开展森林草原防灭火工作。压实森林草原防灭火工作责任和包保责任。着力夯实人防、技防基础，强化防灭火车辆、设施、单兵装备等硬件。完善应急预案、加强应急演练、严格火源管控、广泛开展宣传、创新工作方法等措施，着力防范化解重大森林火灾风险。</w:t>
            </w:r>
          </w:p>
          <w:p w14:paraId="47AEF564">
            <w:pPr>
              <w:widowControl/>
              <w:autoSpaceDE w:val="0"/>
              <w:autoSpaceDN w:val="0"/>
              <w:spacing w:before="0" w:after="0" w:line="154" w:lineRule="exact"/>
              <w:ind w:left="16" w:right="86" w:firstLine="0"/>
              <w:jc w:val="both"/>
            </w:pPr>
            <w:r>
              <w:rPr>
                <w:rFonts w:ascii="cNtkqcMC+SimSun" w:hAnsi="cNtkqcMC+SimSun" w:eastAsia="cNtkqcMC+SimSun"/>
                <w:color w:val="000000"/>
                <w:w w:val="104"/>
                <w:sz w:val="12"/>
              </w:rPr>
              <w:t>为了加强部门预算绩效管理，进一步提高财政资金使用效益，我单位的整体支出绩效目标从“产出指标”、“效益指标”、“满意度指标”三个维度设立，并设立了“重点时段安全风险管控工作完成率”，“防灾减灾救灾工作工作完成率”，“采购流程合规率”，“企业安全生产事故发生数”，“突发事件的发生数和危害情况”，“辖区人民群众满意度”等具体指标。</w:t>
            </w:r>
          </w:p>
        </w:tc>
      </w:tr>
      <w:tr w14:paraId="0126F947">
        <w:tblPrEx>
          <w:tblCellMar>
            <w:top w:w="0" w:type="dxa"/>
            <w:left w:w="108" w:type="dxa"/>
            <w:bottom w:w="0" w:type="dxa"/>
            <w:right w:w="108" w:type="dxa"/>
          </w:tblCellMar>
        </w:tblPrEx>
        <w:trPr>
          <w:trHeight w:val="774" w:hRule="exact"/>
        </w:trPr>
        <w:tc>
          <w:tcPr>
            <w:tcW w:w="2409" w:type="dxa"/>
            <w:vMerge w:val="continue"/>
            <w:tcBorders>
              <w:top w:val="single" w:color="000000" w:sz="4" w:space="0"/>
              <w:left w:val="single" w:color="000000" w:sz="4" w:space="0"/>
              <w:bottom w:val="single" w:color="000000" w:sz="4" w:space="0"/>
              <w:right w:val="single" w:color="000000" w:sz="4" w:space="0"/>
            </w:tcBorders>
          </w:tcPr>
          <w:p w14:paraId="6B92A1E2"/>
        </w:tc>
        <w:tc>
          <w:tcPr>
            <w:tcW w:w="1872" w:type="dxa"/>
            <w:gridSpan w:val="2"/>
            <w:tcBorders>
              <w:top w:val="single" w:color="000000" w:sz="2" w:space="0"/>
              <w:left w:val="single" w:color="000000" w:sz="4" w:space="0"/>
              <w:bottom w:val="single" w:color="000000" w:sz="4" w:space="0"/>
              <w:right w:val="single" w:color="000000" w:sz="4" w:space="0"/>
            </w:tcBorders>
            <w:tcMar>
              <w:left w:w="0" w:type="dxa"/>
              <w:right w:w="0" w:type="dxa"/>
            </w:tcMar>
          </w:tcPr>
          <w:p w14:paraId="654E8D74">
            <w:pPr>
              <w:widowControl/>
              <w:autoSpaceDE w:val="0"/>
              <w:autoSpaceDN w:val="0"/>
              <w:spacing w:before="328" w:after="0" w:line="126" w:lineRule="exact"/>
              <w:ind w:left="16" w:right="0" w:firstLine="0"/>
              <w:jc w:val="left"/>
            </w:pPr>
            <w:r>
              <w:rPr>
                <w:rFonts w:ascii="cNtkqcMC+SimSun" w:hAnsi="cNtkqcMC+SimSun" w:eastAsia="cNtkqcMC+SimSun"/>
                <w:color w:val="000000"/>
                <w:w w:val="104"/>
                <w:sz w:val="12"/>
              </w:rPr>
              <w:t>（三）部门整体收支情况</w:t>
            </w:r>
          </w:p>
        </w:tc>
        <w:tc>
          <w:tcPr>
            <w:tcW w:w="6978" w:type="dxa"/>
            <w:tcBorders>
              <w:top w:val="single" w:color="000000" w:sz="2" w:space="0"/>
              <w:left w:val="single" w:color="000000" w:sz="4" w:space="0"/>
              <w:bottom w:val="single" w:color="000000" w:sz="4" w:space="0"/>
              <w:right w:val="single" w:color="000000" w:sz="4" w:space="0"/>
            </w:tcBorders>
            <w:tcMar>
              <w:left w:w="0" w:type="dxa"/>
              <w:right w:w="0" w:type="dxa"/>
            </w:tcMar>
          </w:tcPr>
          <w:p w14:paraId="17BFD586">
            <w:pPr>
              <w:widowControl/>
              <w:autoSpaceDE w:val="0"/>
              <w:autoSpaceDN w:val="0"/>
              <w:spacing w:before="22" w:after="0" w:line="124" w:lineRule="exact"/>
              <w:ind w:left="0" w:right="0" w:firstLine="0"/>
              <w:jc w:val="center"/>
            </w:pPr>
            <w:r>
              <w:rPr>
                <w:rFonts w:ascii="cNtkqcMC+SimSun" w:hAnsi="cNtkqcMC+SimSun" w:eastAsia="cNtkqcMC+SimSun"/>
                <w:color w:val="000000"/>
                <w:w w:val="104"/>
                <w:sz w:val="12"/>
              </w:rPr>
              <w:t>1.2025年部门预算收入1939.78万元，其中财政拨款收入1939.78万元，其他收入0万元，财政拨款收入中：基本支出拨款收入</w:t>
            </w:r>
          </w:p>
          <w:p w14:paraId="5F86BE6D">
            <w:pPr>
              <w:widowControl/>
              <w:autoSpaceDE w:val="0"/>
              <w:autoSpaceDN w:val="0"/>
              <w:spacing w:before="0" w:after="0" w:line="156" w:lineRule="exact"/>
              <w:ind w:left="16" w:right="0" w:firstLine="0"/>
              <w:jc w:val="left"/>
            </w:pPr>
            <w:r>
              <w:rPr>
                <w:rFonts w:ascii="cNtkqcMC+SimSun" w:hAnsi="cNtkqcMC+SimSun" w:eastAsia="cNtkqcMC+SimSun"/>
                <w:color w:val="000000"/>
                <w:w w:val="104"/>
                <w:sz w:val="12"/>
              </w:rPr>
              <w:t>1576.26万元，项目支出拨款363.52万元。较2024年相比增加77.89万元，增长4.18%，主要原因是根据工作计划我单位2025年进行企业化债，导致财政拨款收入增加。</w:t>
            </w:r>
          </w:p>
          <w:p w14:paraId="0B57FBFB">
            <w:pPr>
              <w:widowControl/>
              <w:autoSpaceDE w:val="0"/>
              <w:autoSpaceDN w:val="0"/>
              <w:spacing w:before="28" w:after="0" w:line="126" w:lineRule="exact"/>
              <w:ind w:left="16" w:right="0" w:firstLine="0"/>
              <w:jc w:val="left"/>
            </w:pPr>
            <w:r>
              <w:rPr>
                <w:rFonts w:ascii="cNtkqcMC+SimSun" w:hAnsi="cNtkqcMC+SimSun" w:eastAsia="cNtkqcMC+SimSun"/>
                <w:color w:val="000000"/>
                <w:w w:val="104"/>
                <w:sz w:val="12"/>
              </w:rPr>
              <w:t>2.2025年预算支出1939.78万元，其中：基本支出1576.26万元，项目支出363.52万元。较2024年相比增加61.51万元，下降</w:t>
            </w:r>
          </w:p>
          <w:p w14:paraId="6FA0B9A7">
            <w:pPr>
              <w:widowControl/>
              <w:autoSpaceDE w:val="0"/>
              <w:autoSpaceDN w:val="0"/>
              <w:spacing w:before="28" w:after="0" w:line="126" w:lineRule="exact"/>
              <w:ind w:left="16" w:right="0" w:firstLine="0"/>
              <w:jc w:val="left"/>
            </w:pPr>
            <w:r>
              <w:rPr>
                <w:rFonts w:ascii="cNtkqcMC+SimSun" w:hAnsi="cNtkqcMC+SimSun" w:eastAsia="cNtkqcMC+SimSun"/>
                <w:color w:val="000000"/>
                <w:w w:val="104"/>
                <w:sz w:val="12"/>
              </w:rPr>
              <w:t>11.21%，主要原因是根据工作计划我单位2025年进行企业化债，导致项目支出增加。</w:t>
            </w:r>
          </w:p>
        </w:tc>
      </w:tr>
      <w:tr w14:paraId="6DA36AD0">
        <w:tblPrEx>
          <w:tblCellMar>
            <w:top w:w="0" w:type="dxa"/>
            <w:left w:w="108" w:type="dxa"/>
            <w:bottom w:w="0" w:type="dxa"/>
            <w:right w:w="108" w:type="dxa"/>
          </w:tblCellMar>
        </w:tblPrEx>
        <w:trPr>
          <w:trHeight w:val="850" w:hRule="exact"/>
        </w:trPr>
        <w:tc>
          <w:tcPr>
            <w:tcW w:w="2409" w:type="dxa"/>
            <w:vMerge w:val="continue"/>
            <w:tcBorders>
              <w:top w:val="single" w:color="000000" w:sz="4" w:space="0"/>
              <w:left w:val="single" w:color="000000" w:sz="4" w:space="0"/>
              <w:bottom w:val="single" w:color="000000" w:sz="4" w:space="0"/>
              <w:right w:val="single" w:color="000000" w:sz="4" w:space="0"/>
            </w:tcBorders>
          </w:tcPr>
          <w:p w14:paraId="50F05CFB"/>
        </w:tc>
        <w:tc>
          <w:tcPr>
            <w:tcW w:w="18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D004467">
            <w:pPr>
              <w:widowControl/>
              <w:autoSpaceDE w:val="0"/>
              <w:autoSpaceDN w:val="0"/>
              <w:spacing w:before="290" w:after="0" w:line="124" w:lineRule="exact"/>
              <w:ind w:left="0" w:right="0" w:firstLine="0"/>
              <w:jc w:val="center"/>
            </w:pPr>
            <w:r>
              <w:rPr>
                <w:rFonts w:ascii="cNtkqcMC+SimSun" w:hAnsi="cNtkqcMC+SimSun" w:eastAsia="cNtkqcMC+SimSun"/>
                <w:color w:val="000000"/>
                <w:w w:val="104"/>
                <w:sz w:val="12"/>
              </w:rPr>
              <w:t>（四）部门预算管理制度建设情</w:t>
            </w:r>
          </w:p>
          <w:p w14:paraId="1076BF93">
            <w:pPr>
              <w:widowControl/>
              <w:autoSpaceDE w:val="0"/>
              <w:autoSpaceDN w:val="0"/>
              <w:spacing w:before="28" w:after="0" w:line="126" w:lineRule="exact"/>
              <w:ind w:left="16" w:right="0" w:firstLine="0"/>
              <w:jc w:val="left"/>
            </w:pPr>
            <w:r>
              <w:rPr>
                <w:rFonts w:ascii="cNtkqcMC+SimSun" w:hAnsi="cNtkqcMC+SimSun" w:eastAsia="cNtkqcMC+SimSun"/>
                <w:color w:val="000000"/>
                <w:w w:val="104"/>
                <w:sz w:val="12"/>
              </w:rPr>
              <w:t>况</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D2EB6F">
            <w:pPr>
              <w:widowControl/>
              <w:autoSpaceDE w:val="0"/>
              <w:autoSpaceDN w:val="0"/>
              <w:spacing w:before="28" w:after="0" w:line="154" w:lineRule="exact"/>
              <w:ind w:left="0" w:right="0" w:firstLine="0"/>
              <w:jc w:val="center"/>
            </w:pPr>
            <w:r>
              <w:rPr>
                <w:rFonts w:ascii="cNtkqcMC+SimSun" w:hAnsi="cNtkqcMC+SimSun" w:eastAsia="cNtkqcMC+SimSun"/>
                <w:color w:val="000000"/>
                <w:w w:val="104"/>
                <w:sz w:val="12"/>
              </w:rPr>
              <w:t>我单位始终把制度建设摆在突出位置，严格按照《中华人民共和国预算法》《国务院关于进一步深化预算管理制度改革的意见》等法律法规要求，结合部门实际，不断健全机制，相继修订印发了《昆明市五华区应急管理局财务管理办法》《昆明市五华区应急管理局预算绩效管理办法》《昆明市五华区应急管理局预算项目资金管理办法》《昆明市五华区应急管理局昆明市五华区应急管理局大额用款管理规定》《昆明市五华区应急管理局内控制度手册》等多项规范财务和预算管理的制度，形成了事前有评估、入库有标准、项目有明细、执行有监控、完成有评价、结果有应用、信息有公开的全过程预算管理机制。</w:t>
            </w:r>
          </w:p>
        </w:tc>
      </w:tr>
      <w:tr w14:paraId="6DE64BD6">
        <w:tblPrEx>
          <w:tblCellMar>
            <w:top w:w="0" w:type="dxa"/>
            <w:left w:w="108" w:type="dxa"/>
            <w:bottom w:w="0" w:type="dxa"/>
            <w:right w:w="108" w:type="dxa"/>
          </w:tblCellMar>
        </w:tblPrEx>
        <w:trPr>
          <w:trHeight w:val="468" w:hRule="exact"/>
        </w:trPr>
        <w:tc>
          <w:tcPr>
            <w:tcW w:w="75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E27B71C">
            <w:pPr>
              <w:widowControl/>
              <w:autoSpaceDE w:val="0"/>
              <w:autoSpaceDN w:val="0"/>
              <w:spacing w:before="1510" w:after="0" w:line="124" w:lineRule="exact"/>
              <w:ind w:left="0" w:right="0" w:firstLine="0"/>
              <w:jc w:val="center"/>
            </w:pPr>
            <w:r>
              <w:rPr>
                <w:rFonts w:ascii="cNtkqcMC+SimSun" w:hAnsi="cNtkqcMC+SimSun" w:eastAsia="cNtkqcMC+SimSun"/>
                <w:color w:val="000000"/>
                <w:w w:val="104"/>
                <w:sz w:val="12"/>
              </w:rPr>
              <w:t>二、绩效自</w:t>
            </w:r>
          </w:p>
          <w:p w14:paraId="08F816A2">
            <w:pPr>
              <w:widowControl/>
              <w:autoSpaceDE w:val="0"/>
              <w:autoSpaceDN w:val="0"/>
              <w:spacing w:before="30" w:after="0" w:line="124" w:lineRule="exact"/>
              <w:ind w:left="0" w:right="0" w:firstLine="0"/>
              <w:jc w:val="center"/>
            </w:pPr>
            <w:r>
              <w:rPr>
                <w:rFonts w:ascii="cNtkqcMC+SimSun" w:hAnsi="cNtkqcMC+SimSun" w:eastAsia="cNtkqcMC+SimSun"/>
                <w:color w:val="000000"/>
                <w:w w:val="104"/>
                <w:sz w:val="12"/>
              </w:rPr>
              <w:t>评工作情况</w:t>
            </w:r>
          </w:p>
        </w:tc>
        <w:tc>
          <w:tcPr>
            <w:tcW w:w="187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B9CC589">
            <w:pPr>
              <w:widowControl/>
              <w:autoSpaceDE w:val="0"/>
              <w:autoSpaceDN w:val="0"/>
              <w:spacing w:before="176" w:after="0" w:line="124" w:lineRule="exact"/>
              <w:ind w:left="16" w:right="0" w:firstLine="0"/>
              <w:jc w:val="left"/>
            </w:pPr>
            <w:r>
              <w:rPr>
                <w:rFonts w:ascii="cNtkqcMC+SimSun" w:hAnsi="cNtkqcMC+SimSun" w:eastAsia="cNtkqcMC+SimSun"/>
                <w:color w:val="000000"/>
                <w:w w:val="104"/>
                <w:sz w:val="12"/>
              </w:rPr>
              <w:t>（一）绩效自评的目的</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336E35">
            <w:pPr>
              <w:widowControl/>
              <w:autoSpaceDE w:val="0"/>
              <w:autoSpaceDN w:val="0"/>
              <w:spacing w:before="0" w:after="0" w:line="152" w:lineRule="exact"/>
              <w:ind w:left="16" w:right="88" w:firstLine="0"/>
              <w:jc w:val="both"/>
            </w:pPr>
            <w:r>
              <w:rPr>
                <w:rFonts w:ascii="cNtkqcMC+SimSun" w:hAnsi="cNtkqcMC+SimSun" w:eastAsia="cNtkqcMC+SimSun"/>
                <w:color w:val="000000"/>
                <w:w w:val="104"/>
                <w:sz w:val="12"/>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理措施，不断增强和落实绩效管理责任，达到不断完善工作机制，有效提高资金管理水平和使用效益的目的。</w:t>
            </w:r>
          </w:p>
        </w:tc>
      </w:tr>
      <w:tr w14:paraId="3EE45841">
        <w:tblPrEx>
          <w:tblCellMar>
            <w:top w:w="0" w:type="dxa"/>
            <w:left w:w="108" w:type="dxa"/>
            <w:bottom w:w="0" w:type="dxa"/>
            <w:right w:w="108" w:type="dxa"/>
          </w:tblCellMar>
        </w:tblPrEx>
        <w:trPr>
          <w:trHeight w:val="940" w:hRule="exact"/>
        </w:trPr>
        <w:tc>
          <w:tcPr>
            <w:tcW w:w="2409" w:type="dxa"/>
            <w:vMerge w:val="continue"/>
            <w:tcBorders>
              <w:top w:val="single" w:color="000000" w:sz="4" w:space="0"/>
              <w:left w:val="single" w:color="000000" w:sz="4" w:space="0"/>
              <w:bottom w:val="single" w:color="000000" w:sz="4" w:space="0"/>
              <w:right w:val="single" w:color="000000" w:sz="4" w:space="0"/>
            </w:tcBorders>
          </w:tcPr>
          <w:p w14:paraId="46B79D7A"/>
        </w:tc>
        <w:tc>
          <w:tcPr>
            <w:tcW w:w="8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FFE8B41">
            <w:pPr>
              <w:widowControl/>
              <w:autoSpaceDE w:val="0"/>
              <w:autoSpaceDN w:val="0"/>
              <w:spacing w:before="1274" w:after="0" w:line="126" w:lineRule="exact"/>
              <w:ind w:left="0" w:right="0" w:firstLine="0"/>
              <w:jc w:val="center"/>
            </w:pPr>
            <w:r>
              <w:rPr>
                <w:rFonts w:ascii="cNtkqcMC+SimSun" w:hAnsi="cNtkqcMC+SimSun" w:eastAsia="cNtkqcMC+SimSun"/>
                <w:color w:val="000000"/>
                <w:w w:val="104"/>
                <w:sz w:val="12"/>
              </w:rPr>
              <w:t>（二）自评组</w:t>
            </w:r>
          </w:p>
          <w:p w14:paraId="0E71759C">
            <w:pPr>
              <w:widowControl/>
              <w:autoSpaceDE w:val="0"/>
              <w:autoSpaceDN w:val="0"/>
              <w:spacing w:before="28" w:after="0" w:line="126" w:lineRule="exact"/>
              <w:ind w:left="16" w:right="0" w:firstLine="0"/>
              <w:jc w:val="left"/>
            </w:pPr>
            <w:r>
              <w:rPr>
                <w:rFonts w:ascii="cNtkqcMC+SimSun" w:hAnsi="cNtkqcMC+SimSun" w:eastAsia="cNtkqcMC+SimSun"/>
                <w:color w:val="000000"/>
                <w:w w:val="104"/>
                <w:sz w:val="12"/>
              </w:rPr>
              <w:t>织过程</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1A887">
            <w:pPr>
              <w:widowControl/>
              <w:autoSpaceDE w:val="0"/>
              <w:autoSpaceDN w:val="0"/>
              <w:spacing w:before="410" w:after="0" w:line="126" w:lineRule="exact"/>
              <w:ind w:left="16" w:right="0" w:firstLine="0"/>
              <w:jc w:val="left"/>
            </w:pPr>
            <w:r>
              <w:rPr>
                <w:rFonts w:ascii="cNtkqcMC+SimSun" w:hAnsi="cNtkqcMC+SimSun" w:eastAsia="cNtkqcMC+SimSun"/>
                <w:color w:val="000000"/>
                <w:w w:val="104"/>
                <w:sz w:val="12"/>
              </w:rPr>
              <w:t>1.前期准备</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3E7783">
            <w:pPr>
              <w:widowControl/>
              <w:autoSpaceDE w:val="0"/>
              <w:autoSpaceDN w:val="0"/>
              <w:spacing w:before="0" w:after="0" w:line="154" w:lineRule="exact"/>
              <w:ind w:left="16" w:right="0" w:firstLine="0"/>
              <w:jc w:val="left"/>
            </w:pPr>
            <w:r>
              <w:rPr>
                <w:rFonts w:ascii="cNtkqcMC+SimSun" w:hAnsi="cNtkqcMC+SimSun" w:eastAsia="cNtkqcMC+SimSun"/>
                <w:color w:val="000000"/>
                <w:w w:val="104"/>
                <w:sz w:val="12"/>
              </w:rPr>
              <w:t xml:space="preserve">（1）确定自评对象和组织机构。根据《五华区财政局关于开展2025年度财政支出绩效自评工作的通知》要求，将部门整体支出和全部项目支出纳入自评范围。成立由局长任组长、各分管副局长任副组长、各科室负责人为成员的绩效自评工作领导小组，负责组织协调本次绩效自评工作，形成办公室牵头组织、协调，各科室积极配合、开展的工作机制，确保绩效管理工作顺利推进。 </w:t>
            </w:r>
          </w:p>
          <w:p w14:paraId="58261CA9">
            <w:pPr>
              <w:widowControl/>
              <w:autoSpaceDE w:val="0"/>
              <w:autoSpaceDN w:val="0"/>
              <w:spacing w:before="2" w:after="0" w:line="154" w:lineRule="exact"/>
              <w:ind w:left="16" w:right="0" w:firstLine="0"/>
              <w:jc w:val="left"/>
            </w:pPr>
            <w:r>
              <w:rPr>
                <w:rFonts w:ascii="cNtkqcMC+SimSun" w:hAnsi="cNtkqcMC+SimSun" w:eastAsia="cNtkqcMC+SimSun"/>
                <w:color w:val="000000"/>
                <w:w w:val="104"/>
                <w:sz w:val="12"/>
              </w:rPr>
              <w:t>（2）拟定自评计划，准备自评材料。根据《五华区财政局关于开展2025年度财政支出绩效自评工作的通知》要求，拟定自评计划，准备自评材料。</w:t>
            </w:r>
          </w:p>
        </w:tc>
      </w:tr>
      <w:tr w14:paraId="02B6787B">
        <w:tblPrEx>
          <w:tblCellMar>
            <w:top w:w="0" w:type="dxa"/>
            <w:left w:w="108" w:type="dxa"/>
            <w:bottom w:w="0" w:type="dxa"/>
            <w:right w:w="108" w:type="dxa"/>
          </w:tblCellMar>
        </w:tblPrEx>
        <w:trPr>
          <w:trHeight w:val="1862" w:hRule="exact"/>
        </w:trPr>
        <w:tc>
          <w:tcPr>
            <w:tcW w:w="2409" w:type="dxa"/>
            <w:vMerge w:val="continue"/>
            <w:tcBorders>
              <w:top w:val="single" w:color="000000" w:sz="4" w:space="0"/>
              <w:left w:val="single" w:color="000000" w:sz="4" w:space="0"/>
              <w:bottom w:val="single" w:color="000000" w:sz="4" w:space="0"/>
              <w:right w:val="single" w:color="000000" w:sz="4" w:space="0"/>
            </w:tcBorders>
          </w:tcPr>
          <w:p w14:paraId="1B2C7060"/>
        </w:tc>
        <w:tc>
          <w:tcPr>
            <w:tcW w:w="2409" w:type="dxa"/>
            <w:vMerge w:val="continue"/>
            <w:tcBorders>
              <w:top w:val="single" w:color="000000" w:sz="4" w:space="0"/>
              <w:left w:val="single" w:color="000000" w:sz="4" w:space="0"/>
              <w:bottom w:val="single" w:color="000000" w:sz="4" w:space="0"/>
              <w:right w:val="single" w:color="000000" w:sz="4" w:space="0"/>
            </w:tcBorders>
          </w:tcPr>
          <w:p w14:paraId="366ACE42"/>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E128340">
            <w:pPr>
              <w:widowControl/>
              <w:autoSpaceDE w:val="0"/>
              <w:autoSpaceDN w:val="0"/>
              <w:spacing w:before="882" w:after="0" w:line="126" w:lineRule="exact"/>
              <w:ind w:left="16" w:right="0" w:firstLine="0"/>
              <w:jc w:val="left"/>
            </w:pPr>
            <w:r>
              <w:rPr>
                <w:rFonts w:ascii="cNtkqcMC+SimSun" w:hAnsi="cNtkqcMC+SimSun" w:eastAsia="cNtkqcMC+SimSun"/>
                <w:color w:val="000000"/>
                <w:w w:val="104"/>
                <w:sz w:val="12"/>
              </w:rPr>
              <w:t>2.组织实施</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EF60FC">
            <w:pPr>
              <w:widowControl/>
              <w:autoSpaceDE w:val="0"/>
              <w:autoSpaceDN w:val="0"/>
              <w:spacing w:before="0" w:after="0" w:line="156" w:lineRule="exact"/>
              <w:ind w:left="16" w:right="0" w:firstLine="0"/>
              <w:jc w:val="left"/>
            </w:pPr>
            <w:r>
              <w:rPr>
                <w:rFonts w:ascii="cNtkqcMC+SimSun" w:hAnsi="cNtkqcMC+SimSun" w:eastAsia="cNtkqcMC+SimSun"/>
                <w:color w:val="000000"/>
                <w:w w:val="104"/>
                <w:sz w:val="12"/>
              </w:rPr>
              <w:t xml:space="preserve">（1）任务分解。我单位高度重视自评工作，根据《五华区预算绩效自评管理暂行办法》和《五华区财政局关于开展2025年度财政支出绩效自评工作的通知》要求，由绩效自评工作领导小组组织、协调，办公室牵头，按照各科室职责分工，结合年初预算申报情况、年度中预算调整情况、全年度预算执行情况和绩效指标设置完成情况，组织各科室共同参与我单位2025年度绩效自评工作，确保按时限要求高标准完成自评工作。 </w:t>
            </w:r>
          </w:p>
          <w:p w14:paraId="5CFFF93D">
            <w:pPr>
              <w:widowControl/>
              <w:autoSpaceDE w:val="0"/>
              <w:autoSpaceDN w:val="0"/>
              <w:spacing w:before="0" w:after="0" w:line="156" w:lineRule="exact"/>
              <w:ind w:left="16" w:right="0" w:firstLine="0"/>
              <w:jc w:val="left"/>
            </w:pPr>
            <w:r>
              <w:rPr>
                <w:rFonts w:ascii="cNtkqcMC+SimSun" w:hAnsi="cNtkqcMC+SimSun" w:eastAsia="cNtkqcMC+SimSun"/>
                <w:color w:val="000000"/>
                <w:w w:val="104"/>
                <w:sz w:val="12"/>
              </w:rPr>
              <w:t>（2）数据采集。各业务科室收集年度项目实施过程中绩效目标和绩效指标完成的相关数据，结合预算资金执行情况和绩效目标完成情况，对涉及本科室的资金进行初步自评工作，对发现的问题进行纠正，并将相关资料报办公室。</w:t>
            </w:r>
          </w:p>
          <w:p w14:paraId="12544C39">
            <w:pPr>
              <w:widowControl/>
              <w:autoSpaceDE w:val="0"/>
              <w:autoSpaceDN w:val="0"/>
              <w:spacing w:before="0" w:after="0" w:line="156" w:lineRule="exact"/>
              <w:ind w:left="16" w:right="0" w:firstLine="0"/>
              <w:jc w:val="left"/>
            </w:pPr>
            <w:r>
              <w:rPr>
                <w:rFonts w:ascii="cNtkqcMC+SimSun" w:hAnsi="cNtkqcMC+SimSun" w:eastAsia="cNtkqcMC+SimSun"/>
                <w:color w:val="000000"/>
                <w:w w:val="104"/>
                <w:sz w:val="12"/>
              </w:rPr>
              <w:t>（3）集中审核。办公室根据各业务科室上报情况，牵头组织部门整体支出和项目支出预算绩效自评工作，并形成部门整体支出和项目支出预算绩效自评结果报部门领导审定。</w:t>
            </w:r>
          </w:p>
          <w:p w14:paraId="5307F06D">
            <w:pPr>
              <w:widowControl/>
              <w:autoSpaceDE w:val="0"/>
              <w:autoSpaceDN w:val="0"/>
              <w:spacing w:before="0" w:after="0" w:line="154" w:lineRule="exact"/>
              <w:ind w:left="16" w:right="0" w:firstLine="0"/>
              <w:jc w:val="left"/>
            </w:pPr>
            <w:r>
              <w:rPr>
                <w:rFonts w:ascii="cNtkqcMC+SimSun" w:hAnsi="cNtkqcMC+SimSun" w:eastAsia="cNtkqcMC+SimSun"/>
                <w:color w:val="000000"/>
                <w:w w:val="104"/>
                <w:sz w:val="12"/>
              </w:rPr>
              <w:t>（4）系统填报。按照《五华区财政局关于开展2025年度财政支出绩效自评工作的通知》要求，汇总形成分项目的《2025年度项目支出绩效自评表》以及本部门《2025年度部门整体支出绩效报告》《2025年度部门整体支出绩效自评表》和《2025年度部门整体支出绩效自评职责履行良好表》，在“云南财政·预算管理一体化服务平台”中，将部门整体和所有项目的自评表格录入系统后按要求上报。</w:t>
            </w:r>
          </w:p>
        </w:tc>
      </w:tr>
    </w:tbl>
    <w:p w14:paraId="783FD25A">
      <w:pPr>
        <w:widowControl/>
        <w:autoSpaceDE w:val="0"/>
        <w:autoSpaceDN w:val="0"/>
        <w:spacing w:before="0" w:after="0" w:line="14" w:lineRule="exact"/>
        <w:ind w:left="0" w:right="0"/>
      </w:pPr>
    </w:p>
    <w:p w14:paraId="1CBDAF15">
      <w:pPr>
        <w:sectPr>
          <w:pgSz w:w="11905" w:h="17237"/>
          <w:pgMar w:top="720" w:right="1190" w:bottom="782" w:left="1080" w:header="720" w:footer="720" w:gutter="0"/>
          <w:cols w:equalWidth="0" w:num="1">
            <w:col w:w="9636"/>
          </w:cols>
          <w:docGrid w:linePitch="360" w:charSpace="0"/>
        </w:sectPr>
      </w:pPr>
    </w:p>
    <w:p w14:paraId="544DF4D6">
      <w:pPr>
        <w:widowControl/>
        <w:autoSpaceDE w:val="0"/>
        <w:autoSpaceDN w:val="0"/>
        <w:spacing w:before="500"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2628"/>
        <w:gridCol w:w="6978"/>
      </w:tblGrid>
      <w:tr w14:paraId="23BF3E54">
        <w:tblPrEx>
          <w:tblCellMar>
            <w:top w:w="0" w:type="dxa"/>
            <w:left w:w="108" w:type="dxa"/>
            <w:bottom w:w="0" w:type="dxa"/>
            <w:right w:w="108" w:type="dxa"/>
          </w:tblCellMar>
        </w:tblPrEx>
        <w:trPr>
          <w:trHeight w:val="726" w:hRule="exact"/>
        </w:trPr>
        <w:tc>
          <w:tcPr>
            <w:tcW w:w="26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A831B2">
            <w:pPr>
              <w:widowControl/>
              <w:autoSpaceDE w:val="0"/>
              <w:autoSpaceDN w:val="0"/>
              <w:spacing w:before="304" w:after="0" w:line="124" w:lineRule="exact"/>
              <w:ind w:left="16" w:right="0" w:firstLine="0"/>
              <w:jc w:val="left"/>
            </w:pPr>
            <w:r>
              <w:rPr>
                <w:rFonts w:ascii="cNtkqcMC+SimSun" w:hAnsi="cNtkqcMC+SimSun" w:eastAsia="cNtkqcMC+SimSun"/>
                <w:color w:val="000000"/>
                <w:w w:val="104"/>
                <w:sz w:val="12"/>
              </w:rPr>
              <w:t>三、评价情况分析及综合评价结论</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92428D">
            <w:pPr>
              <w:widowControl/>
              <w:autoSpaceDE w:val="0"/>
              <w:autoSpaceDN w:val="0"/>
              <w:spacing w:before="42" w:after="0" w:line="154" w:lineRule="exact"/>
              <w:ind w:left="16" w:right="86" w:firstLine="0"/>
              <w:jc w:val="both"/>
            </w:pPr>
            <w:r>
              <w:rPr>
                <w:rFonts w:ascii="cNtkqcMC+SimSun" w:hAnsi="cNtkqcMC+SimSun" w:eastAsia="cNtkqcMC+SimSun"/>
                <w:color w:val="000000"/>
                <w:w w:val="104"/>
                <w:sz w:val="12"/>
              </w:rPr>
              <w:t>2025年昆明市五华区应急管理局整体支出绩效评价工作，结合年度预算执行情况和绩效目标实现情况，从“目标设定”的合理性、“预算配置”的科学性、“预算执行和管理”的完整性、“履职产出和效果”的真实性等角度进行分析，结论是部门整体支出的预算配置科学合理，预算执行及时有效，绝大部分的预期工作任务目标均圆满完成，达到预期效果，效益明显。</w:t>
            </w:r>
          </w:p>
          <w:p w14:paraId="1D12842B">
            <w:pPr>
              <w:widowControl/>
              <w:autoSpaceDE w:val="0"/>
              <w:autoSpaceDN w:val="0"/>
              <w:spacing w:before="32" w:after="0" w:line="126" w:lineRule="exact"/>
              <w:ind w:left="16" w:right="0" w:firstLine="0"/>
              <w:jc w:val="left"/>
            </w:pPr>
            <w:r>
              <w:rPr>
                <w:rFonts w:ascii="cNtkqcMC+SimSun" w:hAnsi="cNtkqcMC+SimSun" w:eastAsia="cNtkqcMC+SimSun"/>
                <w:color w:val="000000"/>
                <w:w w:val="104"/>
                <w:sz w:val="12"/>
              </w:rPr>
              <w:t>最终自评分为91分，自评结论为：优</w:t>
            </w:r>
          </w:p>
        </w:tc>
      </w:tr>
      <w:tr w14:paraId="4BD4281A">
        <w:tblPrEx>
          <w:tblCellMar>
            <w:top w:w="0" w:type="dxa"/>
            <w:left w:w="108" w:type="dxa"/>
            <w:bottom w:w="0" w:type="dxa"/>
            <w:right w:w="108" w:type="dxa"/>
          </w:tblCellMar>
        </w:tblPrEx>
        <w:trPr>
          <w:trHeight w:val="1426" w:hRule="exact"/>
        </w:trPr>
        <w:tc>
          <w:tcPr>
            <w:tcW w:w="26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EC3EB">
            <w:pPr>
              <w:widowControl/>
              <w:autoSpaceDE w:val="0"/>
              <w:autoSpaceDN w:val="0"/>
              <w:spacing w:before="652" w:after="0" w:line="126" w:lineRule="exact"/>
              <w:ind w:left="16" w:right="0" w:firstLine="0"/>
              <w:jc w:val="left"/>
            </w:pPr>
            <w:r>
              <w:rPr>
                <w:rFonts w:ascii="cNtkqcMC+SimSun" w:hAnsi="cNtkqcMC+SimSun" w:eastAsia="cNtkqcMC+SimSun"/>
                <w:color w:val="000000"/>
                <w:w w:val="104"/>
                <w:sz w:val="12"/>
              </w:rPr>
              <w:t>四、存在的问题和整改情况</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41E277">
            <w:pPr>
              <w:widowControl/>
              <w:autoSpaceDE w:val="0"/>
              <w:autoSpaceDN w:val="0"/>
              <w:spacing w:before="84" w:after="0" w:line="154" w:lineRule="exact"/>
              <w:ind w:left="16" w:right="0" w:firstLine="0"/>
              <w:jc w:val="left"/>
            </w:pPr>
            <w:r>
              <w:rPr>
                <w:rFonts w:ascii="cNtkqcMC+SimSun" w:hAnsi="cNtkqcMC+SimSun" w:eastAsia="cNtkqcMC+SimSun"/>
                <w:color w:val="000000"/>
                <w:w w:val="104"/>
                <w:sz w:val="12"/>
              </w:rPr>
              <w:t xml:space="preserve">通过本次绩效自评工作，存在以下问题； </w:t>
            </w:r>
            <w:r>
              <w:br w:type="textWrapping"/>
            </w:r>
            <w:r>
              <w:rPr>
                <w:rFonts w:ascii="cNtkqcMC+SimSun" w:hAnsi="cNtkqcMC+SimSun" w:eastAsia="cNtkqcMC+SimSun"/>
                <w:color w:val="000000"/>
                <w:w w:val="104"/>
                <w:sz w:val="12"/>
              </w:rPr>
              <w:t>1.年初预算资金与年末实际下达预算资金有差额，基本经费年中追加7万元；2.编制的部分绩效目标与预算匹配度有待提高；3.部分绩效指标不清晰、个别指标填报时度量单位选择有不准确指标；4.部分指标实际完成值与年初设定值有较大变动，主要原因是欠款所致；5.项目推进跟踪管理不够紧，付款不够及时导致，预算执行进度较慢。</w:t>
            </w:r>
          </w:p>
          <w:p w14:paraId="101A30BA">
            <w:pPr>
              <w:widowControl/>
              <w:autoSpaceDE w:val="0"/>
              <w:autoSpaceDN w:val="0"/>
              <w:spacing w:before="2" w:after="0" w:line="154" w:lineRule="exact"/>
              <w:ind w:left="16" w:right="0" w:firstLine="0"/>
              <w:jc w:val="left"/>
            </w:pPr>
            <w:r>
              <w:rPr>
                <w:rFonts w:ascii="cNtkqcMC+SimSun" w:hAnsi="cNtkqcMC+SimSun" w:eastAsia="cNtkqcMC+SimSun"/>
                <w:color w:val="000000"/>
                <w:w w:val="104"/>
                <w:sz w:val="12"/>
              </w:rPr>
              <w:t xml:space="preserve">改进措施： </w:t>
            </w:r>
            <w:r>
              <w:br w:type="textWrapping"/>
            </w:r>
            <w:r>
              <w:rPr>
                <w:rFonts w:ascii="cNtkqcMC+SimSun" w:hAnsi="cNtkqcMC+SimSun" w:eastAsia="cNtkqcMC+SimSun"/>
                <w:color w:val="000000"/>
                <w:w w:val="104"/>
                <w:sz w:val="12"/>
              </w:rPr>
              <w:t>1.提高预算编制的精准性，加强项目前期谋划和工作沟通，科学编制项目预算2.健全完善预算执行跟踪监测机制，督促预算执行进度较慢的科室加快预算执行，提升预算执行的质量；三是加强绩效目标管理，将预算执行和绩效目标落实与单位年度考核相结合，充分发挥考核指挥棒作用，促使科室采取必要措施，改进工作方法，确保如期完成年初制定的绩效目标。</w:t>
            </w:r>
          </w:p>
        </w:tc>
      </w:tr>
      <w:tr w14:paraId="19122487">
        <w:tblPrEx>
          <w:tblCellMar>
            <w:top w:w="0" w:type="dxa"/>
            <w:left w:w="108" w:type="dxa"/>
            <w:bottom w:w="0" w:type="dxa"/>
            <w:right w:w="108" w:type="dxa"/>
          </w:tblCellMar>
        </w:tblPrEx>
        <w:trPr>
          <w:trHeight w:val="728" w:hRule="exact"/>
        </w:trPr>
        <w:tc>
          <w:tcPr>
            <w:tcW w:w="26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979C05">
            <w:pPr>
              <w:widowControl/>
              <w:autoSpaceDE w:val="0"/>
              <w:autoSpaceDN w:val="0"/>
              <w:spacing w:before="304" w:after="0" w:line="124" w:lineRule="exact"/>
              <w:ind w:left="16" w:right="0" w:firstLine="0"/>
              <w:jc w:val="left"/>
            </w:pPr>
            <w:r>
              <w:rPr>
                <w:rFonts w:ascii="cNtkqcMC+SimSun" w:hAnsi="cNtkqcMC+SimSun" w:eastAsia="cNtkqcMC+SimSun"/>
                <w:color w:val="000000"/>
                <w:w w:val="104"/>
                <w:sz w:val="12"/>
              </w:rPr>
              <w:t>五、绩效自评结果应用</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288726">
            <w:pPr>
              <w:widowControl/>
              <w:autoSpaceDE w:val="0"/>
              <w:autoSpaceDN w:val="0"/>
              <w:spacing w:before="116" w:after="0" w:line="156" w:lineRule="exact"/>
              <w:ind w:left="16" w:right="86" w:firstLine="0"/>
              <w:jc w:val="both"/>
            </w:pPr>
            <w:r>
              <w:rPr>
                <w:rFonts w:ascii="cNtkqcMC+SimSun" w:hAnsi="cNtkqcMC+SimSun" w:eastAsia="cNtkqcMC+SimSun"/>
                <w:color w:val="000000"/>
                <w:w w:val="104"/>
                <w:sz w:val="12"/>
              </w:rPr>
              <w:t>针对我单位绩效自评中存在的问题，及时调整和优化本单位后续项目和以后年度预算支出的方向和结构，合理配置资源，推动重大政策和项目提效益、促改革、强质量，提高部门资源配置效率和财政资金使用效益。建立激励与约束机制，将绩效自评结果作为改进我单位预算管理和以后年度预算编制的重要依据。</w:t>
            </w:r>
          </w:p>
        </w:tc>
      </w:tr>
      <w:tr w14:paraId="51AA2608">
        <w:tblPrEx>
          <w:tblCellMar>
            <w:top w:w="0" w:type="dxa"/>
            <w:left w:w="108" w:type="dxa"/>
            <w:bottom w:w="0" w:type="dxa"/>
            <w:right w:w="108" w:type="dxa"/>
          </w:tblCellMar>
        </w:tblPrEx>
        <w:trPr>
          <w:trHeight w:val="1518" w:hRule="exact"/>
        </w:trPr>
        <w:tc>
          <w:tcPr>
            <w:tcW w:w="26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1E3AD2">
            <w:pPr>
              <w:widowControl/>
              <w:autoSpaceDE w:val="0"/>
              <w:autoSpaceDN w:val="0"/>
              <w:spacing w:before="698" w:after="0" w:line="126" w:lineRule="exact"/>
              <w:ind w:left="16" w:right="0" w:firstLine="0"/>
              <w:jc w:val="left"/>
            </w:pPr>
            <w:r>
              <w:rPr>
                <w:rFonts w:ascii="cNtkqcMC+SimSun" w:hAnsi="cNtkqcMC+SimSun" w:eastAsia="cNtkqcMC+SimSun"/>
                <w:color w:val="000000"/>
                <w:w w:val="104"/>
                <w:sz w:val="12"/>
              </w:rPr>
              <w:t>六、主要经验及做法</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A64E63">
            <w:pPr>
              <w:widowControl/>
              <w:autoSpaceDE w:val="0"/>
              <w:autoSpaceDN w:val="0"/>
              <w:spacing w:before="52" w:after="0" w:line="154" w:lineRule="exact"/>
              <w:ind w:left="16" w:right="0" w:firstLine="0"/>
              <w:jc w:val="left"/>
            </w:pPr>
            <w:r>
              <w:rPr>
                <w:rFonts w:ascii="cNtkqcMC+SimSun" w:hAnsi="cNtkqcMC+SimSun" w:eastAsia="cNtkqcMC+SimSun"/>
                <w:color w:val="000000"/>
                <w:w w:val="104"/>
                <w:sz w:val="12"/>
              </w:rPr>
              <w:t xml:space="preserve">1.本次部门整体支出绩效自评，主要是根据国家、省、市、区级相关法律法规和规定进行。切实结合单位实际工作任务完成情况，据实反映单位绩效管理水平，突出部门预算绩效全周期管理，做到预算立项可靠、目标设定科学、运行监控持续、监督自查有力、结果应用合理。 </w:t>
            </w:r>
          </w:p>
          <w:p w14:paraId="61A59CF1">
            <w:pPr>
              <w:widowControl/>
              <w:autoSpaceDE w:val="0"/>
              <w:autoSpaceDN w:val="0"/>
              <w:spacing w:before="2" w:after="0" w:line="154" w:lineRule="exact"/>
              <w:ind w:left="16" w:right="0" w:firstLine="0"/>
              <w:jc w:val="left"/>
            </w:pPr>
            <w:r>
              <w:rPr>
                <w:rFonts w:ascii="cNtkqcMC+SimSun" w:hAnsi="cNtkqcMC+SimSun" w:eastAsia="cNtkqcMC+SimSun"/>
                <w:color w:val="000000"/>
                <w:w w:val="104"/>
                <w:sz w:val="12"/>
              </w:rPr>
              <w:t xml:space="preserve">2.自评完成后对自评结果进行反馈，根据反馈结果进行任务分解，把整改落实任务细分到各个业务科室。各业务科室均按期进行整改，并上报评价结果落实整改情况。 </w:t>
            </w:r>
          </w:p>
          <w:p w14:paraId="557F8601">
            <w:pPr>
              <w:widowControl/>
              <w:autoSpaceDE w:val="0"/>
              <w:autoSpaceDN w:val="0"/>
              <w:spacing w:before="30" w:after="0" w:line="126" w:lineRule="exact"/>
              <w:ind w:left="16" w:right="0" w:firstLine="0"/>
              <w:jc w:val="left"/>
            </w:pPr>
            <w:r>
              <w:rPr>
                <w:rFonts w:ascii="cNtkqcMC+SimSun" w:hAnsi="cNtkqcMC+SimSun" w:eastAsia="cNtkqcMC+SimSun"/>
                <w:color w:val="000000"/>
                <w:w w:val="104"/>
                <w:sz w:val="12"/>
              </w:rPr>
              <w:t>3.根据新形势和新要求，不断完善单位各项预算管理制度。</w:t>
            </w:r>
          </w:p>
          <w:p w14:paraId="2BD56EEA">
            <w:pPr>
              <w:widowControl/>
              <w:autoSpaceDE w:val="0"/>
              <w:autoSpaceDN w:val="0"/>
              <w:spacing w:before="0" w:after="0" w:line="154" w:lineRule="exact"/>
              <w:ind w:left="16" w:right="0" w:firstLine="0"/>
              <w:jc w:val="left"/>
            </w:pPr>
            <w:r>
              <w:rPr>
                <w:rFonts w:ascii="cNtkqcMC+SimSun" w:hAnsi="cNtkqcMC+SimSun" w:eastAsia="cNtkqcMC+SimSun"/>
                <w:color w:val="000000"/>
                <w:w w:val="104"/>
                <w:sz w:val="12"/>
              </w:rPr>
              <w:t>4.强化预算管理，事前必编预算，控制经费使用，使用必问绩效，将绩效管理贯穿于预算编制、执行及决算等环节。 下一步我单位将进一步提高预算绩效整体目标和具体指标编制的科学性、完整性、全局性、代表性和可执行性，进一步提高部门预算绩效管理水平。</w:t>
            </w:r>
          </w:p>
        </w:tc>
      </w:tr>
      <w:tr w14:paraId="681E374F">
        <w:tblPrEx>
          <w:tblCellMar>
            <w:top w:w="0" w:type="dxa"/>
            <w:left w:w="108" w:type="dxa"/>
            <w:bottom w:w="0" w:type="dxa"/>
            <w:right w:w="108" w:type="dxa"/>
          </w:tblCellMar>
        </w:tblPrEx>
        <w:trPr>
          <w:trHeight w:val="706" w:hRule="exact"/>
        </w:trPr>
        <w:tc>
          <w:tcPr>
            <w:tcW w:w="26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A2740D">
            <w:pPr>
              <w:widowControl/>
              <w:autoSpaceDE w:val="0"/>
              <w:autoSpaceDN w:val="0"/>
              <w:spacing w:before="302" w:after="0" w:line="124" w:lineRule="exact"/>
              <w:ind w:left="16" w:right="0" w:firstLine="0"/>
              <w:jc w:val="left"/>
            </w:pPr>
            <w:r>
              <w:rPr>
                <w:rFonts w:ascii="cNtkqcMC+SimSun" w:hAnsi="cNtkqcMC+SimSun" w:eastAsia="cNtkqcMC+SimSun"/>
                <w:color w:val="000000"/>
                <w:w w:val="104"/>
                <w:sz w:val="12"/>
              </w:rPr>
              <w:t>七、其他需说明的情况</w:t>
            </w:r>
          </w:p>
        </w:tc>
        <w:tc>
          <w:tcPr>
            <w:tcW w:w="6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1AC91F">
            <w:pPr>
              <w:widowControl/>
              <w:autoSpaceDE w:val="0"/>
              <w:autoSpaceDN w:val="0"/>
              <w:spacing w:before="302" w:after="0" w:line="124" w:lineRule="exact"/>
              <w:ind w:left="16" w:right="0" w:firstLine="0"/>
              <w:jc w:val="left"/>
            </w:pPr>
            <w:r>
              <w:rPr>
                <w:rFonts w:ascii="cNtkqcMC+SimSun" w:hAnsi="cNtkqcMC+SimSun" w:eastAsia="cNtkqcMC+SimSun"/>
                <w:color w:val="000000"/>
                <w:w w:val="104"/>
                <w:sz w:val="12"/>
              </w:rPr>
              <w:t>无</w:t>
            </w:r>
          </w:p>
        </w:tc>
      </w:tr>
    </w:tbl>
    <w:p w14:paraId="4A594677">
      <w:pPr>
        <w:widowControl/>
        <w:autoSpaceDE w:val="0"/>
        <w:autoSpaceDN w:val="0"/>
        <w:spacing w:before="0" w:after="0" w:line="14" w:lineRule="exact"/>
        <w:ind w:left="0" w:right="0"/>
      </w:pPr>
    </w:p>
    <w:p w14:paraId="153FFB28">
      <w:pPr>
        <w:sectPr>
          <w:pgSz w:w="11905" w:h="16837"/>
          <w:pgMar w:top="720" w:right="1190" w:bottom="1440" w:left="1080" w:header="720" w:footer="720" w:gutter="0"/>
          <w:cols w:equalWidth="0" w:num="1">
            <w:col w:w="9636"/>
          </w:cols>
          <w:docGrid w:linePitch="360" w:charSpace="0"/>
        </w:sectPr>
      </w:pPr>
    </w:p>
    <w:p w14:paraId="46561E70">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54"/>
        <w:gridCol w:w="1188"/>
        <w:gridCol w:w="2920"/>
        <w:gridCol w:w="4624"/>
        <w:gridCol w:w="2544"/>
        <w:gridCol w:w="2386"/>
      </w:tblGrid>
      <w:tr w14:paraId="6DB8ED02">
        <w:tblPrEx>
          <w:tblCellMar>
            <w:top w:w="0" w:type="dxa"/>
            <w:left w:w="108" w:type="dxa"/>
            <w:bottom w:w="0" w:type="dxa"/>
            <w:right w:w="108" w:type="dxa"/>
          </w:tblCellMar>
        </w:tblPrEx>
        <w:trPr>
          <w:trHeight w:val="852" w:hRule="exact"/>
        </w:trPr>
        <w:tc>
          <w:tcPr>
            <w:tcW w:w="14516"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64B48B36">
            <w:pPr>
              <w:widowControl/>
              <w:autoSpaceDE w:val="0"/>
              <w:autoSpaceDN w:val="0"/>
              <w:spacing w:before="244" w:after="0" w:line="384" w:lineRule="exact"/>
              <w:ind w:left="0" w:right="0" w:firstLine="0"/>
              <w:jc w:val="center"/>
            </w:pPr>
            <w:r>
              <w:rPr>
                <w:rFonts w:ascii="cNtkqcMC+SimSun" w:hAnsi="cNtkqcMC+SimSun" w:eastAsia="cNtkqcMC+SimSun"/>
                <w:color w:val="000000"/>
                <w:sz w:val="38"/>
              </w:rPr>
              <w:t>部门整体支出绩效自评表</w:t>
            </w:r>
          </w:p>
        </w:tc>
      </w:tr>
      <w:tr w14:paraId="201CEABF">
        <w:tblPrEx>
          <w:tblCellMar>
            <w:top w:w="0" w:type="dxa"/>
            <w:left w:w="108" w:type="dxa"/>
            <w:bottom w:w="0" w:type="dxa"/>
            <w:right w:w="108" w:type="dxa"/>
          </w:tblCellMar>
        </w:tblPrEx>
        <w:trPr>
          <w:trHeight w:val="404" w:hRule="exact"/>
        </w:trPr>
        <w:tc>
          <w:tcPr>
            <w:tcW w:w="854" w:type="dxa"/>
            <w:tcBorders>
              <w:top w:val="single" w:color="000000" w:sz="4" w:space="0"/>
              <w:left w:val="single" w:color="000000" w:sz="4" w:space="0"/>
              <w:bottom w:val="single" w:color="000000" w:sz="6" w:space="0"/>
              <w:right w:val="single" w:color="000000" w:sz="4" w:space="0"/>
            </w:tcBorders>
            <w:tcMar>
              <w:left w:w="0" w:type="dxa"/>
              <w:right w:w="0" w:type="dxa"/>
            </w:tcMar>
          </w:tcPr>
          <w:p w14:paraId="5109BF90">
            <w:pPr>
              <w:widowControl/>
              <w:autoSpaceDE w:val="0"/>
              <w:autoSpaceDN w:val="0"/>
              <w:spacing w:before="110" w:after="0" w:line="192" w:lineRule="exact"/>
              <w:ind w:left="0" w:right="0" w:firstLine="0"/>
              <w:jc w:val="center"/>
            </w:pPr>
            <w:r>
              <w:rPr>
                <w:rFonts w:ascii="cNtkqcMC+SimSun" w:hAnsi="cNtkqcMC+SimSun" w:eastAsia="cNtkqcMC+SimSun"/>
                <w:color w:val="000000"/>
                <w:sz w:val="19"/>
              </w:rPr>
              <w:t>目标</w:t>
            </w:r>
          </w:p>
        </w:tc>
        <w:tc>
          <w:tcPr>
            <w:tcW w:w="1188" w:type="dxa"/>
            <w:tcBorders>
              <w:top w:val="single" w:color="000000" w:sz="4" w:space="0"/>
              <w:left w:val="single" w:color="000000" w:sz="4" w:space="0"/>
              <w:bottom w:val="single" w:color="000000" w:sz="6" w:space="0"/>
              <w:right w:val="single" w:color="000000" w:sz="4" w:space="0"/>
            </w:tcBorders>
            <w:tcMar>
              <w:left w:w="0" w:type="dxa"/>
              <w:right w:w="0" w:type="dxa"/>
            </w:tcMar>
          </w:tcPr>
          <w:p w14:paraId="180ED138">
            <w:pPr>
              <w:widowControl/>
              <w:autoSpaceDE w:val="0"/>
              <w:autoSpaceDN w:val="0"/>
              <w:spacing w:before="110" w:after="0" w:line="192" w:lineRule="exact"/>
              <w:ind w:left="0" w:right="0" w:firstLine="0"/>
              <w:jc w:val="center"/>
            </w:pPr>
            <w:r>
              <w:rPr>
                <w:rFonts w:ascii="cNtkqcMC+SimSun" w:hAnsi="cNtkqcMC+SimSun" w:eastAsia="cNtkqcMC+SimSun"/>
                <w:color w:val="000000"/>
                <w:sz w:val="19"/>
              </w:rPr>
              <w:t>任务名称</w:t>
            </w:r>
          </w:p>
        </w:tc>
        <w:tc>
          <w:tcPr>
            <w:tcW w:w="2920" w:type="dxa"/>
            <w:tcBorders>
              <w:top w:val="single" w:color="000000" w:sz="4" w:space="0"/>
              <w:left w:val="single" w:color="000000" w:sz="4" w:space="0"/>
              <w:bottom w:val="single" w:color="000000" w:sz="6" w:space="0"/>
              <w:right w:val="single" w:color="000000" w:sz="4" w:space="0"/>
            </w:tcBorders>
            <w:tcMar>
              <w:left w:w="0" w:type="dxa"/>
              <w:right w:w="0" w:type="dxa"/>
            </w:tcMar>
          </w:tcPr>
          <w:p w14:paraId="2702AC11">
            <w:pPr>
              <w:widowControl/>
              <w:autoSpaceDE w:val="0"/>
              <w:autoSpaceDN w:val="0"/>
              <w:spacing w:before="110" w:after="0" w:line="192" w:lineRule="exact"/>
              <w:ind w:left="0" w:right="0" w:firstLine="0"/>
              <w:jc w:val="center"/>
            </w:pPr>
            <w:r>
              <w:rPr>
                <w:rFonts w:ascii="cNtkqcMC+SimSun" w:hAnsi="cNtkqcMC+SimSun" w:eastAsia="cNtkqcMC+SimSun"/>
                <w:color w:val="000000"/>
                <w:sz w:val="19"/>
              </w:rPr>
              <w:t>编制预算时提出的的任务措施</w:t>
            </w:r>
          </w:p>
        </w:tc>
        <w:tc>
          <w:tcPr>
            <w:tcW w:w="4624" w:type="dxa"/>
            <w:tcBorders>
              <w:top w:val="single" w:color="000000" w:sz="4" w:space="0"/>
              <w:left w:val="single" w:color="000000" w:sz="4" w:space="0"/>
              <w:bottom w:val="single" w:color="000000" w:sz="6" w:space="0"/>
              <w:right w:val="single" w:color="000000" w:sz="6" w:space="0"/>
            </w:tcBorders>
            <w:tcMar>
              <w:left w:w="0" w:type="dxa"/>
              <w:right w:w="0" w:type="dxa"/>
            </w:tcMar>
          </w:tcPr>
          <w:p w14:paraId="58EBF4CB">
            <w:pPr>
              <w:widowControl/>
              <w:autoSpaceDE w:val="0"/>
              <w:autoSpaceDN w:val="0"/>
              <w:spacing w:before="110" w:after="0" w:line="192" w:lineRule="exact"/>
              <w:ind w:left="0" w:right="0" w:firstLine="0"/>
              <w:jc w:val="center"/>
            </w:pPr>
            <w:r>
              <w:rPr>
                <w:rFonts w:ascii="cNtkqcMC+SimSun" w:hAnsi="cNtkqcMC+SimSun" w:eastAsia="cNtkqcMC+SimSun"/>
                <w:color w:val="000000"/>
                <w:sz w:val="19"/>
              </w:rPr>
              <w:t>绩效指标实际执行情况</w:t>
            </w:r>
          </w:p>
        </w:tc>
        <w:tc>
          <w:tcPr>
            <w:tcW w:w="2544" w:type="dxa"/>
            <w:tcBorders>
              <w:top w:val="single" w:color="000000" w:sz="4" w:space="0"/>
              <w:left w:val="single" w:color="000000" w:sz="6" w:space="0"/>
              <w:bottom w:val="single" w:color="000000" w:sz="6" w:space="0"/>
              <w:right w:val="single" w:color="000000" w:sz="6" w:space="0"/>
            </w:tcBorders>
            <w:tcMar>
              <w:left w:w="0" w:type="dxa"/>
              <w:right w:w="0" w:type="dxa"/>
            </w:tcMar>
          </w:tcPr>
          <w:p w14:paraId="7CD6B923">
            <w:pPr>
              <w:widowControl/>
              <w:autoSpaceDE w:val="0"/>
              <w:autoSpaceDN w:val="0"/>
              <w:spacing w:before="110" w:after="0" w:line="192" w:lineRule="exact"/>
              <w:ind w:left="0" w:right="0" w:firstLine="0"/>
              <w:jc w:val="center"/>
            </w:pPr>
            <w:r>
              <w:rPr>
                <w:rFonts w:ascii="cNtkqcMC+SimSun" w:hAnsi="cNtkqcMC+SimSun" w:eastAsia="cNtkqcMC+SimSun"/>
                <w:color w:val="000000"/>
                <w:sz w:val="19"/>
              </w:rPr>
              <w:t>执行情况与年初预算的对比</w:t>
            </w:r>
          </w:p>
        </w:tc>
        <w:tc>
          <w:tcPr>
            <w:tcW w:w="2386" w:type="dxa"/>
            <w:tcBorders>
              <w:top w:val="single" w:color="000000" w:sz="4" w:space="0"/>
              <w:left w:val="single" w:color="000000" w:sz="6" w:space="0"/>
              <w:bottom w:val="single" w:color="000000" w:sz="6" w:space="0"/>
              <w:right w:val="single" w:color="000000" w:sz="4" w:space="0"/>
            </w:tcBorders>
            <w:tcMar>
              <w:left w:w="0" w:type="dxa"/>
              <w:right w:w="0" w:type="dxa"/>
            </w:tcMar>
          </w:tcPr>
          <w:p w14:paraId="560B1265">
            <w:pPr>
              <w:widowControl/>
              <w:autoSpaceDE w:val="0"/>
              <w:autoSpaceDN w:val="0"/>
              <w:spacing w:before="110" w:after="0" w:line="192" w:lineRule="exact"/>
              <w:ind w:left="0" w:right="0" w:firstLine="0"/>
              <w:jc w:val="center"/>
            </w:pPr>
            <w:r>
              <w:rPr>
                <w:rFonts w:ascii="cNtkqcMC+SimSun" w:hAnsi="cNtkqcMC+SimSun" w:eastAsia="cNtkqcMC+SimSun"/>
                <w:color w:val="000000"/>
                <w:sz w:val="19"/>
              </w:rPr>
              <w:t>相关情况说明</w:t>
            </w:r>
          </w:p>
        </w:tc>
      </w:tr>
      <w:tr w14:paraId="19DBC9C7">
        <w:tblPrEx>
          <w:tblCellMar>
            <w:top w:w="0" w:type="dxa"/>
            <w:left w:w="108" w:type="dxa"/>
            <w:bottom w:w="0" w:type="dxa"/>
            <w:right w:w="108" w:type="dxa"/>
          </w:tblCellMar>
        </w:tblPrEx>
        <w:trPr>
          <w:trHeight w:val="1234" w:hRule="exact"/>
        </w:trPr>
        <w:tc>
          <w:tcPr>
            <w:tcW w:w="854" w:type="dxa"/>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21B6C27C">
            <w:pPr>
              <w:widowControl/>
              <w:autoSpaceDE w:val="0"/>
              <w:autoSpaceDN w:val="0"/>
              <w:spacing w:before="2454" w:after="0" w:line="192" w:lineRule="exact"/>
              <w:ind w:left="0" w:right="0" w:firstLine="0"/>
              <w:jc w:val="center"/>
            </w:pPr>
            <w:r>
              <w:rPr>
                <w:rFonts w:ascii="cNtkqcMC+SimSun" w:hAnsi="cNtkqcMC+SimSun" w:eastAsia="cNtkqcMC+SimSun"/>
                <w:color w:val="000000"/>
                <w:sz w:val="19"/>
              </w:rPr>
              <w:t>履职效益</w:t>
            </w:r>
          </w:p>
          <w:p w14:paraId="3B9AFF04">
            <w:pPr>
              <w:widowControl/>
              <w:autoSpaceDE w:val="0"/>
              <w:autoSpaceDN w:val="0"/>
              <w:spacing w:before="38" w:after="0" w:line="192" w:lineRule="exact"/>
              <w:ind w:left="0" w:right="0" w:firstLine="0"/>
              <w:jc w:val="center"/>
            </w:pPr>
            <w:r>
              <w:rPr>
                <w:rFonts w:ascii="cNtkqcMC+SimSun" w:hAnsi="cNtkqcMC+SimSun" w:eastAsia="cNtkqcMC+SimSun"/>
                <w:color w:val="000000"/>
                <w:sz w:val="19"/>
              </w:rPr>
              <w:t>明显</w:t>
            </w:r>
          </w:p>
        </w:tc>
        <w:tc>
          <w:tcPr>
            <w:tcW w:w="1188" w:type="dxa"/>
            <w:tcBorders>
              <w:top w:val="single" w:color="000000" w:sz="6" w:space="0"/>
              <w:left w:val="single" w:color="000000" w:sz="4" w:space="0"/>
              <w:bottom w:val="single" w:color="000000" w:sz="4" w:space="0"/>
              <w:right w:val="single" w:color="000000" w:sz="4" w:space="0"/>
            </w:tcBorders>
            <w:tcMar>
              <w:left w:w="0" w:type="dxa"/>
              <w:right w:w="0" w:type="dxa"/>
            </w:tcMar>
          </w:tcPr>
          <w:p w14:paraId="50E38F49">
            <w:pPr>
              <w:widowControl/>
              <w:autoSpaceDE w:val="0"/>
              <w:autoSpaceDN w:val="0"/>
              <w:spacing w:before="524" w:after="0" w:line="192" w:lineRule="exact"/>
              <w:ind w:left="0" w:right="0" w:firstLine="0"/>
              <w:jc w:val="center"/>
            </w:pPr>
            <w:r>
              <w:rPr>
                <w:rFonts w:ascii="cNtkqcMC+SimSun" w:hAnsi="cNtkqcMC+SimSun" w:eastAsia="cNtkqcMC+SimSun"/>
                <w:color w:val="000000"/>
                <w:sz w:val="19"/>
              </w:rPr>
              <w:t>经济效益</w:t>
            </w:r>
          </w:p>
        </w:tc>
        <w:tc>
          <w:tcPr>
            <w:tcW w:w="2920" w:type="dxa"/>
            <w:tcBorders>
              <w:top w:val="single" w:color="000000" w:sz="6" w:space="0"/>
              <w:left w:val="single" w:color="000000" w:sz="4" w:space="0"/>
              <w:bottom w:val="single" w:color="000000" w:sz="4" w:space="0"/>
              <w:right w:val="single" w:color="000000" w:sz="4" w:space="0"/>
            </w:tcBorders>
            <w:tcMar>
              <w:left w:w="0" w:type="dxa"/>
              <w:right w:w="0" w:type="dxa"/>
            </w:tcMar>
          </w:tcPr>
          <w:p w14:paraId="6EF1202A">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c>
          <w:tcPr>
            <w:tcW w:w="4624" w:type="dxa"/>
            <w:tcBorders>
              <w:top w:val="single" w:color="000000" w:sz="6" w:space="0"/>
              <w:left w:val="single" w:color="000000" w:sz="4" w:space="0"/>
              <w:bottom w:val="single" w:color="000000" w:sz="4" w:space="0"/>
              <w:right w:val="single" w:color="000000" w:sz="6" w:space="0"/>
            </w:tcBorders>
            <w:tcMar>
              <w:left w:w="0" w:type="dxa"/>
              <w:right w:w="0" w:type="dxa"/>
            </w:tcMar>
          </w:tcPr>
          <w:p w14:paraId="5864F05B">
            <w:pPr>
              <w:widowControl/>
              <w:autoSpaceDE w:val="0"/>
              <w:autoSpaceDN w:val="0"/>
              <w:spacing w:before="38" w:after="0" w:line="190" w:lineRule="exact"/>
              <w:ind w:left="26" w:right="0" w:firstLine="0"/>
              <w:jc w:val="left"/>
            </w:pPr>
            <w:r>
              <w:rPr>
                <w:rFonts w:ascii="cNtkqcMC+SimSun" w:hAnsi="cNtkqcMC+SimSun" w:eastAsia="cNtkqcMC+SimSun"/>
                <w:color w:val="000000"/>
                <w:sz w:val="19"/>
              </w:rPr>
              <w:t>无</w:t>
            </w:r>
          </w:p>
        </w:tc>
        <w:tc>
          <w:tcPr>
            <w:tcW w:w="2544" w:type="dxa"/>
            <w:tcBorders>
              <w:top w:val="single" w:color="000000" w:sz="6" w:space="0"/>
              <w:left w:val="single" w:color="000000" w:sz="6" w:space="0"/>
              <w:bottom w:val="single" w:color="000000" w:sz="4" w:space="0"/>
              <w:right w:val="single" w:color="000000" w:sz="6" w:space="0"/>
            </w:tcBorders>
            <w:tcMar>
              <w:left w:w="0" w:type="dxa"/>
              <w:right w:w="0" w:type="dxa"/>
            </w:tcMar>
          </w:tcPr>
          <w:p w14:paraId="51E240AB">
            <w:pPr>
              <w:widowControl/>
              <w:autoSpaceDE w:val="0"/>
              <w:autoSpaceDN w:val="0"/>
              <w:spacing w:before="38" w:after="0" w:line="190" w:lineRule="exact"/>
              <w:ind w:left="22" w:right="0" w:firstLine="0"/>
              <w:jc w:val="left"/>
            </w:pPr>
            <w:r>
              <w:rPr>
                <w:rFonts w:ascii="cNtkqcMC+SimSun" w:hAnsi="cNtkqcMC+SimSun" w:eastAsia="cNtkqcMC+SimSun"/>
                <w:color w:val="000000"/>
                <w:sz w:val="19"/>
              </w:rPr>
              <w:t>无</w:t>
            </w:r>
          </w:p>
        </w:tc>
        <w:tc>
          <w:tcPr>
            <w:tcW w:w="2386" w:type="dxa"/>
            <w:tcBorders>
              <w:top w:val="single" w:color="000000" w:sz="6" w:space="0"/>
              <w:left w:val="single" w:color="000000" w:sz="6" w:space="0"/>
              <w:bottom w:val="single" w:color="000000" w:sz="4" w:space="0"/>
              <w:right w:val="single" w:color="000000" w:sz="4" w:space="0"/>
            </w:tcBorders>
            <w:tcMar>
              <w:left w:w="0" w:type="dxa"/>
              <w:right w:w="0" w:type="dxa"/>
            </w:tcMar>
          </w:tcPr>
          <w:p w14:paraId="5C051BBE">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r>
      <w:tr w14:paraId="093B7858">
        <w:tblPrEx>
          <w:tblCellMar>
            <w:top w:w="0" w:type="dxa"/>
            <w:left w:w="108" w:type="dxa"/>
            <w:bottom w:w="0" w:type="dxa"/>
            <w:right w:w="108" w:type="dxa"/>
          </w:tblCellMar>
        </w:tblPrEx>
        <w:trPr>
          <w:trHeight w:val="1234" w:hRule="exact"/>
        </w:trPr>
        <w:tc>
          <w:tcPr>
            <w:tcW w:w="2425" w:type="dxa"/>
            <w:vMerge w:val="continue"/>
            <w:tcBorders>
              <w:top w:val="single" w:color="000000" w:sz="6" w:space="0"/>
              <w:left w:val="single" w:color="000000" w:sz="4" w:space="0"/>
              <w:bottom w:val="single" w:color="000000" w:sz="4" w:space="0"/>
              <w:right w:val="single" w:color="000000" w:sz="4" w:space="0"/>
            </w:tcBorders>
          </w:tcPr>
          <w:p w14:paraId="2A51ED9D"/>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F1D9C5">
            <w:pPr>
              <w:widowControl/>
              <w:autoSpaceDE w:val="0"/>
              <w:autoSpaceDN w:val="0"/>
              <w:spacing w:before="526" w:after="0" w:line="192" w:lineRule="exact"/>
              <w:ind w:left="0" w:right="0" w:firstLine="0"/>
              <w:jc w:val="center"/>
            </w:pPr>
            <w:r>
              <w:rPr>
                <w:rFonts w:ascii="cNtkqcMC+SimSun" w:hAnsi="cNtkqcMC+SimSun" w:eastAsia="cNtkqcMC+SimSun"/>
                <w:color w:val="000000"/>
                <w:sz w:val="19"/>
              </w:rPr>
              <w:t>社会效益</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B77238">
            <w:pPr>
              <w:widowControl/>
              <w:autoSpaceDE w:val="0"/>
              <w:autoSpaceDN w:val="0"/>
              <w:spacing w:before="40" w:after="0" w:line="190" w:lineRule="exact"/>
              <w:ind w:left="0" w:right="0" w:firstLine="0"/>
              <w:jc w:val="center"/>
            </w:pPr>
            <w:r>
              <w:rPr>
                <w:rFonts w:ascii="cNtkqcMC+SimSun" w:hAnsi="cNtkqcMC+SimSun" w:eastAsia="cNtkqcMC+SimSun"/>
                <w:color w:val="000000"/>
                <w:sz w:val="19"/>
              </w:rPr>
              <w:t>企业安全生产事故发生数，突发事</w:t>
            </w:r>
          </w:p>
          <w:p w14:paraId="1773C857">
            <w:pPr>
              <w:widowControl/>
              <w:autoSpaceDE w:val="0"/>
              <w:autoSpaceDN w:val="0"/>
              <w:spacing w:before="40" w:after="0" w:line="190" w:lineRule="exact"/>
              <w:ind w:left="24" w:right="0" w:firstLine="0"/>
              <w:jc w:val="left"/>
            </w:pPr>
            <w:r>
              <w:rPr>
                <w:rFonts w:ascii="cNtkqcMC+SimSun" w:hAnsi="cNtkqcMC+SimSun" w:eastAsia="cNtkqcMC+SimSun"/>
                <w:color w:val="000000"/>
                <w:sz w:val="19"/>
              </w:rPr>
              <w:t>件的发生数和危害情况</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4BE0ACBF">
            <w:pPr>
              <w:widowControl/>
              <w:autoSpaceDE w:val="0"/>
              <w:autoSpaceDN w:val="0"/>
              <w:spacing w:before="40" w:after="0" w:line="190" w:lineRule="exact"/>
              <w:ind w:left="26" w:right="0" w:firstLine="0"/>
              <w:jc w:val="left"/>
            </w:pPr>
            <w:r>
              <w:rPr>
                <w:rFonts w:ascii="cNtkqcMC+SimSun" w:hAnsi="cNtkqcMC+SimSun" w:eastAsia="cNtkqcMC+SimSun"/>
                <w:color w:val="000000"/>
                <w:sz w:val="19"/>
              </w:rPr>
              <w:t>按绩效指标完成</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6D35E4DE">
            <w:pPr>
              <w:widowControl/>
              <w:autoSpaceDE w:val="0"/>
              <w:autoSpaceDN w:val="0"/>
              <w:spacing w:before="40" w:after="0" w:line="190" w:lineRule="exact"/>
              <w:ind w:left="22" w:right="0" w:firstLine="0"/>
              <w:jc w:val="left"/>
            </w:pPr>
            <w:r>
              <w:rPr>
                <w:rFonts w:ascii="cNtkqcMC+SimSun" w:hAnsi="cNtkqcMC+SimSun" w:eastAsia="cNtkqcMC+SimSun"/>
                <w:color w:val="000000"/>
                <w:sz w:val="19"/>
              </w:rPr>
              <w:t>按年初预算工作计划完成</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2C38EA2A">
            <w:pPr>
              <w:widowControl/>
              <w:autoSpaceDE w:val="0"/>
              <w:autoSpaceDN w:val="0"/>
              <w:spacing w:before="40" w:after="0" w:line="190" w:lineRule="exact"/>
              <w:ind w:left="0" w:right="0" w:firstLine="0"/>
              <w:jc w:val="center"/>
            </w:pPr>
            <w:r>
              <w:rPr>
                <w:rFonts w:ascii="cNtkqcMC+SimSun" w:hAnsi="cNtkqcMC+SimSun" w:eastAsia="cNtkqcMC+SimSun"/>
                <w:color w:val="000000"/>
                <w:sz w:val="19"/>
              </w:rPr>
              <w:t>根据工作计划和实际情况开</w:t>
            </w:r>
          </w:p>
          <w:p w14:paraId="3F82A9EB">
            <w:pPr>
              <w:widowControl/>
              <w:autoSpaceDE w:val="0"/>
              <w:autoSpaceDN w:val="0"/>
              <w:spacing w:before="40" w:after="0" w:line="190" w:lineRule="exact"/>
              <w:ind w:left="24" w:right="0" w:firstLine="0"/>
              <w:jc w:val="left"/>
            </w:pPr>
            <w:r>
              <w:rPr>
                <w:rFonts w:ascii="cNtkqcMC+SimSun" w:hAnsi="cNtkqcMC+SimSun" w:eastAsia="cNtkqcMC+SimSun"/>
                <w:color w:val="000000"/>
                <w:sz w:val="19"/>
              </w:rPr>
              <w:t>展工作</w:t>
            </w:r>
          </w:p>
        </w:tc>
      </w:tr>
      <w:tr w14:paraId="0FABD8BB">
        <w:tblPrEx>
          <w:tblCellMar>
            <w:top w:w="0" w:type="dxa"/>
            <w:left w:w="108" w:type="dxa"/>
            <w:bottom w:w="0" w:type="dxa"/>
            <w:right w:w="108" w:type="dxa"/>
          </w:tblCellMar>
        </w:tblPrEx>
        <w:trPr>
          <w:trHeight w:val="1232" w:hRule="exact"/>
        </w:trPr>
        <w:tc>
          <w:tcPr>
            <w:tcW w:w="2425" w:type="dxa"/>
            <w:vMerge w:val="continue"/>
            <w:tcBorders>
              <w:top w:val="single" w:color="000000" w:sz="6" w:space="0"/>
              <w:left w:val="single" w:color="000000" w:sz="4" w:space="0"/>
              <w:bottom w:val="single" w:color="000000" w:sz="4" w:space="0"/>
              <w:right w:val="single" w:color="000000" w:sz="4" w:space="0"/>
            </w:tcBorders>
          </w:tcPr>
          <w:p w14:paraId="19FA68A3"/>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F9F3DE">
            <w:pPr>
              <w:widowControl/>
              <w:autoSpaceDE w:val="0"/>
              <w:autoSpaceDN w:val="0"/>
              <w:spacing w:before="526" w:after="0" w:line="192" w:lineRule="exact"/>
              <w:ind w:left="0" w:right="0" w:firstLine="0"/>
              <w:jc w:val="center"/>
            </w:pPr>
            <w:r>
              <w:rPr>
                <w:rFonts w:ascii="cNtkqcMC+SimSun" w:hAnsi="cNtkqcMC+SimSun" w:eastAsia="cNtkqcMC+SimSun"/>
                <w:color w:val="000000"/>
                <w:sz w:val="19"/>
              </w:rPr>
              <w:t>生态效益</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DFAF56">
            <w:pPr>
              <w:widowControl/>
              <w:autoSpaceDE w:val="0"/>
              <w:autoSpaceDN w:val="0"/>
              <w:spacing w:before="38" w:after="0" w:line="192" w:lineRule="exact"/>
              <w:ind w:left="24" w:right="0" w:firstLine="0"/>
              <w:jc w:val="left"/>
            </w:pPr>
            <w:r>
              <w:rPr>
                <w:rFonts w:ascii="cNtkqcMC+SimSun" w:hAnsi="cNtkqcMC+SimSun" w:eastAsia="cNtkqcMC+SimSun"/>
                <w:color w:val="000000"/>
                <w:sz w:val="19"/>
              </w:rPr>
              <w:t>森林草原防灭火效果</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06FFBD3C">
            <w:pPr>
              <w:widowControl/>
              <w:autoSpaceDE w:val="0"/>
              <w:autoSpaceDN w:val="0"/>
              <w:spacing w:before="38" w:after="0" w:line="192" w:lineRule="exact"/>
              <w:ind w:left="26" w:right="0" w:firstLine="0"/>
              <w:jc w:val="left"/>
            </w:pPr>
            <w:r>
              <w:rPr>
                <w:rFonts w:ascii="cNtkqcMC+SimSun" w:hAnsi="cNtkqcMC+SimSun" w:eastAsia="cNtkqcMC+SimSun"/>
                <w:color w:val="000000"/>
                <w:sz w:val="19"/>
              </w:rPr>
              <w:t>按绩效指标完成</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50962A6E">
            <w:pPr>
              <w:widowControl/>
              <w:autoSpaceDE w:val="0"/>
              <w:autoSpaceDN w:val="0"/>
              <w:spacing w:before="38" w:after="0" w:line="192" w:lineRule="exact"/>
              <w:ind w:left="22" w:right="0" w:firstLine="0"/>
              <w:jc w:val="left"/>
            </w:pPr>
            <w:r>
              <w:rPr>
                <w:rFonts w:ascii="cNtkqcMC+SimSun" w:hAnsi="cNtkqcMC+SimSun" w:eastAsia="cNtkqcMC+SimSun"/>
                <w:color w:val="000000"/>
                <w:sz w:val="19"/>
              </w:rPr>
              <w:t>按年初预算工作计划完成</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196E0504">
            <w:pPr>
              <w:widowControl/>
              <w:autoSpaceDE w:val="0"/>
              <w:autoSpaceDN w:val="0"/>
              <w:spacing w:before="38" w:after="0" w:line="192" w:lineRule="exact"/>
              <w:ind w:left="0" w:right="0" w:firstLine="0"/>
              <w:jc w:val="center"/>
            </w:pPr>
            <w:r>
              <w:rPr>
                <w:rFonts w:ascii="cNtkqcMC+SimSun" w:hAnsi="cNtkqcMC+SimSun" w:eastAsia="cNtkqcMC+SimSun"/>
                <w:color w:val="000000"/>
                <w:sz w:val="19"/>
              </w:rPr>
              <w:t>根据工作计划和实际情况开</w:t>
            </w:r>
          </w:p>
          <w:p w14:paraId="74C195E3">
            <w:pPr>
              <w:widowControl/>
              <w:autoSpaceDE w:val="0"/>
              <w:autoSpaceDN w:val="0"/>
              <w:spacing w:before="40" w:after="0" w:line="190" w:lineRule="exact"/>
              <w:ind w:left="24" w:right="0" w:firstLine="0"/>
              <w:jc w:val="left"/>
            </w:pPr>
            <w:r>
              <w:rPr>
                <w:rFonts w:ascii="cNtkqcMC+SimSun" w:hAnsi="cNtkqcMC+SimSun" w:eastAsia="cNtkqcMC+SimSun"/>
                <w:color w:val="000000"/>
                <w:sz w:val="19"/>
              </w:rPr>
              <w:t>展工作</w:t>
            </w:r>
          </w:p>
        </w:tc>
      </w:tr>
      <w:tr w14:paraId="6F1449CC">
        <w:tblPrEx>
          <w:tblCellMar>
            <w:top w:w="0" w:type="dxa"/>
            <w:left w:w="108" w:type="dxa"/>
            <w:bottom w:w="0" w:type="dxa"/>
            <w:right w:w="108" w:type="dxa"/>
          </w:tblCellMar>
        </w:tblPrEx>
        <w:trPr>
          <w:trHeight w:val="1620" w:hRule="exact"/>
        </w:trPr>
        <w:tc>
          <w:tcPr>
            <w:tcW w:w="2425" w:type="dxa"/>
            <w:vMerge w:val="continue"/>
            <w:tcBorders>
              <w:top w:val="single" w:color="000000" w:sz="6" w:space="0"/>
              <w:left w:val="single" w:color="000000" w:sz="4" w:space="0"/>
              <w:bottom w:val="single" w:color="000000" w:sz="4" w:space="0"/>
              <w:right w:val="single" w:color="000000" w:sz="4" w:space="0"/>
            </w:tcBorders>
          </w:tcPr>
          <w:p w14:paraId="730962EB"/>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F160BA">
            <w:pPr>
              <w:widowControl/>
              <w:autoSpaceDE w:val="0"/>
              <w:autoSpaceDN w:val="0"/>
              <w:spacing w:before="448" w:after="0" w:line="232" w:lineRule="exact"/>
              <w:ind w:left="0" w:right="0" w:firstLine="0"/>
              <w:jc w:val="center"/>
            </w:pPr>
            <w:r>
              <w:rPr>
                <w:rFonts w:ascii="cNtkqcMC+SimSun" w:hAnsi="cNtkqcMC+SimSun" w:eastAsia="cNtkqcMC+SimSun"/>
                <w:color w:val="000000"/>
                <w:sz w:val="19"/>
              </w:rPr>
              <w:t>社会公众或服务对象满意度</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1F80E18">
            <w:pPr>
              <w:widowControl/>
              <w:autoSpaceDE w:val="0"/>
              <w:autoSpaceDN w:val="0"/>
              <w:spacing w:before="40" w:after="0" w:line="192" w:lineRule="exact"/>
              <w:ind w:left="0" w:right="0" w:firstLine="0"/>
              <w:jc w:val="center"/>
            </w:pPr>
            <w:r>
              <w:rPr>
                <w:rFonts w:ascii="cNtkqcMC+SimSun" w:hAnsi="cNtkqcMC+SimSun" w:eastAsia="cNtkqcMC+SimSun"/>
                <w:color w:val="000000"/>
                <w:sz w:val="19"/>
              </w:rPr>
              <w:t>部门职工满意度、辖区人民群众满</w:t>
            </w:r>
          </w:p>
          <w:p w14:paraId="63DDF9E9">
            <w:pPr>
              <w:widowControl/>
              <w:autoSpaceDE w:val="0"/>
              <w:autoSpaceDN w:val="0"/>
              <w:spacing w:before="38" w:after="0" w:line="192" w:lineRule="exact"/>
              <w:ind w:left="24" w:right="0" w:firstLine="0"/>
              <w:jc w:val="left"/>
            </w:pPr>
            <w:r>
              <w:rPr>
                <w:rFonts w:ascii="cNtkqcMC+SimSun" w:hAnsi="cNtkqcMC+SimSun" w:eastAsia="cNtkqcMC+SimSun"/>
                <w:color w:val="000000"/>
                <w:sz w:val="19"/>
              </w:rPr>
              <w:t>意度</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786D2BB2">
            <w:pPr>
              <w:widowControl/>
              <w:autoSpaceDE w:val="0"/>
              <w:autoSpaceDN w:val="0"/>
              <w:spacing w:before="40" w:after="0" w:line="192" w:lineRule="exact"/>
              <w:ind w:left="26" w:right="0" w:firstLine="0"/>
              <w:jc w:val="left"/>
            </w:pPr>
            <w:r>
              <w:rPr>
                <w:rFonts w:ascii="cNtkqcMC+SimSun" w:hAnsi="cNtkqcMC+SimSun" w:eastAsia="cNtkqcMC+SimSun"/>
                <w:color w:val="000000"/>
                <w:sz w:val="19"/>
              </w:rPr>
              <w:t>按绩效指标完成</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73F2DB9E">
            <w:pPr>
              <w:widowControl/>
              <w:autoSpaceDE w:val="0"/>
              <w:autoSpaceDN w:val="0"/>
              <w:spacing w:before="40" w:after="0" w:line="192" w:lineRule="exact"/>
              <w:ind w:left="22" w:right="0" w:firstLine="0"/>
              <w:jc w:val="left"/>
            </w:pPr>
            <w:r>
              <w:rPr>
                <w:rFonts w:ascii="cNtkqcMC+SimSun" w:hAnsi="cNtkqcMC+SimSun" w:eastAsia="cNtkqcMC+SimSun"/>
                <w:color w:val="000000"/>
                <w:sz w:val="19"/>
              </w:rPr>
              <w:t>按年初预算工作计划完成</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64472188">
            <w:pPr>
              <w:widowControl/>
              <w:autoSpaceDE w:val="0"/>
              <w:autoSpaceDN w:val="0"/>
              <w:spacing w:before="40" w:after="0" w:line="192" w:lineRule="exact"/>
              <w:ind w:left="0" w:right="0" w:firstLine="0"/>
              <w:jc w:val="center"/>
            </w:pPr>
            <w:r>
              <w:rPr>
                <w:rFonts w:ascii="cNtkqcMC+SimSun" w:hAnsi="cNtkqcMC+SimSun" w:eastAsia="cNtkqcMC+SimSun"/>
                <w:color w:val="000000"/>
                <w:sz w:val="19"/>
              </w:rPr>
              <w:t>根据工作计划和实际情况开</w:t>
            </w:r>
          </w:p>
          <w:p w14:paraId="4D51E020">
            <w:pPr>
              <w:widowControl/>
              <w:autoSpaceDE w:val="0"/>
              <w:autoSpaceDN w:val="0"/>
              <w:spacing w:before="38" w:after="0" w:line="192" w:lineRule="exact"/>
              <w:ind w:left="24" w:right="0" w:firstLine="0"/>
              <w:jc w:val="left"/>
            </w:pPr>
            <w:r>
              <w:rPr>
                <w:rFonts w:ascii="cNtkqcMC+SimSun" w:hAnsi="cNtkqcMC+SimSun" w:eastAsia="cNtkqcMC+SimSun"/>
                <w:color w:val="000000"/>
                <w:sz w:val="19"/>
              </w:rPr>
              <w:t>展工作</w:t>
            </w:r>
          </w:p>
        </w:tc>
      </w:tr>
      <w:tr w14:paraId="090610A9">
        <w:tblPrEx>
          <w:tblCellMar>
            <w:top w:w="0" w:type="dxa"/>
            <w:left w:w="108" w:type="dxa"/>
            <w:bottom w:w="0" w:type="dxa"/>
            <w:right w:w="108" w:type="dxa"/>
          </w:tblCellMar>
        </w:tblPrEx>
        <w:trPr>
          <w:trHeight w:val="1236" w:hRule="exact"/>
        </w:trPr>
        <w:tc>
          <w:tcPr>
            <w:tcW w:w="854" w:type="dxa"/>
            <w:tcBorders>
              <w:top w:val="single" w:color="000000" w:sz="4" w:space="0"/>
              <w:left w:val="single" w:color="000000" w:sz="4" w:space="0"/>
              <w:right w:val="single" w:color="000000" w:sz="4" w:space="0"/>
            </w:tcBorders>
            <w:tcMar>
              <w:left w:w="0" w:type="dxa"/>
              <w:right w:w="0" w:type="dxa"/>
            </w:tcMar>
          </w:tcPr>
          <w:p w14:paraId="2EA52DD2"/>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893B77">
            <w:pPr>
              <w:widowControl/>
              <w:autoSpaceDE w:val="0"/>
              <w:autoSpaceDN w:val="0"/>
              <w:spacing w:before="412" w:after="0" w:line="192" w:lineRule="exact"/>
              <w:ind w:left="0" w:right="0" w:firstLine="0"/>
              <w:jc w:val="center"/>
            </w:pPr>
            <w:r>
              <w:rPr>
                <w:rFonts w:ascii="cNtkqcMC+SimSun" w:hAnsi="cNtkqcMC+SimSun" w:eastAsia="cNtkqcMC+SimSun"/>
                <w:color w:val="000000"/>
                <w:sz w:val="19"/>
              </w:rPr>
              <w:t>预算编制科</w:t>
            </w:r>
          </w:p>
          <w:p w14:paraId="50633D54">
            <w:pPr>
              <w:widowControl/>
              <w:autoSpaceDE w:val="0"/>
              <w:autoSpaceDN w:val="0"/>
              <w:spacing w:before="38" w:after="0" w:line="192" w:lineRule="exact"/>
              <w:ind w:left="0" w:right="0" w:firstLine="0"/>
              <w:jc w:val="center"/>
            </w:pPr>
            <w:r>
              <w:rPr>
                <w:rFonts w:ascii="cNtkqcMC+SimSun" w:hAnsi="cNtkqcMC+SimSun" w:eastAsia="cNtkqcMC+SimSun"/>
                <w:color w:val="000000"/>
                <w:sz w:val="19"/>
              </w:rPr>
              <w:t>学</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A6DF6F">
            <w:pPr>
              <w:widowControl/>
              <w:autoSpaceDE w:val="0"/>
              <w:autoSpaceDN w:val="0"/>
              <w:spacing w:before="40" w:after="0" w:line="192" w:lineRule="exact"/>
              <w:ind w:left="0" w:right="0" w:firstLine="0"/>
              <w:jc w:val="center"/>
            </w:pPr>
            <w:r>
              <w:rPr>
                <w:rFonts w:ascii="cNtkqcMC+SimSun" w:hAnsi="cNtkqcMC+SimSun" w:eastAsia="cNtkqcMC+SimSun"/>
                <w:color w:val="000000"/>
                <w:sz w:val="19"/>
              </w:rPr>
              <w:t>预算编制合理合规，满足日常工作</w:t>
            </w:r>
          </w:p>
          <w:p w14:paraId="6F8040BB">
            <w:pPr>
              <w:widowControl/>
              <w:autoSpaceDE w:val="0"/>
              <w:autoSpaceDN w:val="0"/>
              <w:spacing w:before="38" w:after="0" w:line="192" w:lineRule="exact"/>
              <w:ind w:left="24" w:right="0" w:firstLine="0"/>
              <w:jc w:val="left"/>
            </w:pPr>
            <w:r>
              <w:rPr>
                <w:rFonts w:ascii="cNtkqcMC+SimSun" w:hAnsi="cNtkqcMC+SimSun" w:eastAsia="cNtkqcMC+SimSun"/>
                <w:color w:val="000000"/>
                <w:sz w:val="19"/>
              </w:rPr>
              <w:t>及重点工作任务的需求。</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4A19C7D7">
            <w:pPr>
              <w:widowControl/>
              <w:autoSpaceDE w:val="0"/>
              <w:autoSpaceDN w:val="0"/>
              <w:spacing w:before="40" w:after="0" w:line="192" w:lineRule="exact"/>
              <w:ind w:left="0" w:right="0" w:firstLine="0"/>
              <w:jc w:val="center"/>
            </w:pPr>
            <w:r>
              <w:rPr>
                <w:rFonts w:ascii="cNtkqcMC+SimSun" w:hAnsi="cNtkqcMC+SimSun" w:eastAsia="cNtkqcMC+SimSun"/>
                <w:color w:val="000000"/>
                <w:sz w:val="19"/>
              </w:rPr>
              <w:t>2025年部门预算资金编制合理合规，满足日常工作及重</w:t>
            </w:r>
          </w:p>
          <w:p w14:paraId="3C28F955">
            <w:pPr>
              <w:widowControl/>
              <w:autoSpaceDE w:val="0"/>
              <w:autoSpaceDN w:val="0"/>
              <w:spacing w:before="38" w:after="0" w:line="192" w:lineRule="exact"/>
              <w:ind w:left="26" w:right="0" w:firstLine="0"/>
              <w:jc w:val="left"/>
            </w:pPr>
            <w:r>
              <w:rPr>
                <w:rFonts w:ascii="cNtkqcMC+SimSun" w:hAnsi="cNtkqcMC+SimSun" w:eastAsia="cNtkqcMC+SimSun"/>
                <w:color w:val="000000"/>
                <w:sz w:val="19"/>
              </w:rPr>
              <w:t>点工作任务的需求。</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6F47D2BC">
            <w:pPr>
              <w:widowControl/>
              <w:autoSpaceDE w:val="0"/>
              <w:autoSpaceDN w:val="0"/>
              <w:spacing w:before="2" w:after="0" w:line="230" w:lineRule="exact"/>
              <w:ind w:left="22" w:right="14" w:firstLine="0"/>
              <w:jc w:val="both"/>
            </w:pPr>
            <w:r>
              <w:rPr>
                <w:rFonts w:ascii="cNtkqcMC+SimSun" w:hAnsi="cNtkqcMC+SimSun" w:eastAsia="cNtkqcMC+SimSun"/>
                <w:color w:val="000000"/>
                <w:sz w:val="19"/>
              </w:rPr>
              <w:t>2025年部门预算资金编制合理合规，满足日常工作及重点工作任务的需求。</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0967498A">
            <w:pPr>
              <w:widowControl/>
              <w:autoSpaceDE w:val="0"/>
              <w:autoSpaceDN w:val="0"/>
              <w:spacing w:before="40" w:after="0" w:line="192" w:lineRule="exact"/>
              <w:ind w:left="24" w:right="0" w:firstLine="0"/>
              <w:jc w:val="left"/>
            </w:pPr>
            <w:r>
              <w:rPr>
                <w:rFonts w:ascii="cNtkqcMC+SimSun" w:hAnsi="cNtkqcMC+SimSun" w:eastAsia="cNtkqcMC+SimSun"/>
                <w:color w:val="000000"/>
                <w:sz w:val="19"/>
              </w:rPr>
              <w:t>无。</w:t>
            </w:r>
          </w:p>
        </w:tc>
      </w:tr>
    </w:tbl>
    <w:p w14:paraId="67D56340">
      <w:pPr>
        <w:widowControl/>
        <w:autoSpaceDE w:val="0"/>
        <w:autoSpaceDN w:val="0"/>
        <w:spacing w:before="1156" w:after="0" w:line="192" w:lineRule="exact"/>
        <w:ind w:left="60" w:right="0" w:firstLine="0"/>
        <w:jc w:val="left"/>
      </w:pPr>
      <w:r>
        <w:rPr>
          <w:rFonts w:ascii="cNtkqcMC+SimSun" w:hAnsi="cNtkqcMC+SimSun" w:eastAsia="cNtkqcMC+SimSun"/>
          <w:color w:val="000000"/>
          <w:sz w:val="19"/>
        </w:rPr>
        <w:t>预算配置</w:t>
      </w:r>
    </w:p>
    <w:p w14:paraId="2417F900">
      <w:pPr>
        <w:widowControl/>
        <w:autoSpaceDE w:val="0"/>
        <w:autoSpaceDN w:val="0"/>
        <w:spacing w:before="38" w:after="0" w:line="192" w:lineRule="exact"/>
        <w:ind w:left="248" w:right="0" w:firstLine="0"/>
        <w:jc w:val="left"/>
      </w:pPr>
      <w:r>
        <w:rPr>
          <w:rFonts w:ascii="cNtkqcMC+SimSun" w:hAnsi="cNtkqcMC+SimSun" w:eastAsia="cNtkqcMC+SimSun"/>
          <w:color w:val="000000"/>
          <w:sz w:val="19"/>
        </w:rPr>
        <w:t>科学</w:t>
      </w:r>
    </w:p>
    <w:p w14:paraId="431625CF">
      <w:pPr>
        <w:sectPr>
          <w:pgSz w:w="16837" w:h="12305"/>
          <w:pgMar w:top="718" w:right="1212" w:bottom="532" w:left="1076" w:header="720" w:footer="720" w:gutter="0"/>
          <w:cols w:equalWidth="0" w:num="1">
            <w:col w:w="14548"/>
          </w:cols>
          <w:docGrid w:linePitch="360" w:charSpace="0"/>
        </w:sectPr>
      </w:pPr>
    </w:p>
    <w:p w14:paraId="314744AD">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54"/>
        <w:gridCol w:w="1188"/>
        <w:gridCol w:w="2920"/>
        <w:gridCol w:w="4624"/>
        <w:gridCol w:w="2544"/>
        <w:gridCol w:w="2386"/>
      </w:tblGrid>
      <w:tr w14:paraId="0161088C">
        <w:tblPrEx>
          <w:tblCellMar>
            <w:top w:w="0" w:type="dxa"/>
            <w:left w:w="108" w:type="dxa"/>
            <w:bottom w:w="0" w:type="dxa"/>
            <w:right w:w="108" w:type="dxa"/>
          </w:tblCellMar>
        </w:tblPrEx>
        <w:trPr>
          <w:trHeight w:val="1232" w:hRule="exact"/>
        </w:trPr>
        <w:tc>
          <w:tcPr>
            <w:tcW w:w="854" w:type="dxa"/>
            <w:vMerge w:val="restart"/>
            <w:tcBorders>
              <w:left w:val="single" w:color="000000" w:sz="4" w:space="0"/>
              <w:bottom w:val="single" w:color="000000" w:sz="4" w:space="0"/>
              <w:right w:val="single" w:color="000000" w:sz="4" w:space="0"/>
            </w:tcBorders>
            <w:tcMar>
              <w:left w:w="0" w:type="dxa"/>
              <w:right w:w="0" w:type="dxa"/>
            </w:tcMar>
          </w:tcPr>
          <w:p w14:paraId="01A8B985">
            <w:pPr>
              <w:widowControl/>
              <w:autoSpaceDE w:val="0"/>
              <w:autoSpaceDN w:val="0"/>
              <w:spacing w:before="1162" w:after="0" w:line="192" w:lineRule="exact"/>
              <w:ind w:left="0" w:right="0" w:firstLine="0"/>
              <w:jc w:val="center"/>
            </w:pPr>
            <w:r>
              <w:rPr>
                <w:rFonts w:ascii="cNtkqcMC+SimSun" w:hAnsi="cNtkqcMC+SimSun" w:eastAsia="cNtkqcMC+SimSun"/>
                <w:color w:val="000000"/>
                <w:sz w:val="19"/>
              </w:rPr>
              <w:t>预算配置</w:t>
            </w:r>
          </w:p>
          <w:p w14:paraId="345266AC">
            <w:pPr>
              <w:widowControl/>
              <w:autoSpaceDE w:val="0"/>
              <w:autoSpaceDN w:val="0"/>
              <w:spacing w:before="42" w:after="0" w:line="190" w:lineRule="exact"/>
              <w:ind w:left="0" w:right="0" w:firstLine="0"/>
              <w:jc w:val="center"/>
            </w:pPr>
            <w:r>
              <w:rPr>
                <w:rFonts w:ascii="cNtkqcMC+SimSun" w:hAnsi="cNtkqcMC+SimSun" w:eastAsia="cNtkqcMC+SimSun"/>
                <w:color w:val="000000"/>
                <w:sz w:val="19"/>
              </w:rPr>
              <w:t>科学</w:t>
            </w:r>
          </w:p>
        </w:tc>
        <w:tc>
          <w:tcPr>
            <w:tcW w:w="1188" w:type="dxa"/>
            <w:tcBorders>
              <w:top w:val="single" w:color="000000" w:sz="4" w:space="0"/>
              <w:left w:val="single" w:color="000000" w:sz="4" w:space="0"/>
              <w:bottom w:val="single" w:color="000000" w:sz="6" w:space="0"/>
              <w:right w:val="single" w:color="000000" w:sz="4" w:space="0"/>
            </w:tcBorders>
            <w:tcMar>
              <w:left w:w="0" w:type="dxa"/>
              <w:right w:w="0" w:type="dxa"/>
            </w:tcMar>
          </w:tcPr>
          <w:p w14:paraId="52B416F3">
            <w:pPr>
              <w:widowControl/>
              <w:autoSpaceDE w:val="0"/>
              <w:autoSpaceDN w:val="0"/>
              <w:spacing w:before="410" w:after="0" w:line="190" w:lineRule="exact"/>
              <w:ind w:left="0" w:right="0" w:firstLine="0"/>
              <w:jc w:val="center"/>
            </w:pPr>
            <w:r>
              <w:rPr>
                <w:rFonts w:ascii="cNtkqcMC+SimSun" w:hAnsi="cNtkqcMC+SimSun" w:eastAsia="cNtkqcMC+SimSun"/>
                <w:color w:val="000000"/>
                <w:sz w:val="19"/>
              </w:rPr>
              <w:t>基本支出足</w:t>
            </w:r>
          </w:p>
          <w:p w14:paraId="7B628D4B">
            <w:pPr>
              <w:widowControl/>
              <w:autoSpaceDE w:val="0"/>
              <w:autoSpaceDN w:val="0"/>
              <w:spacing w:before="40" w:after="0" w:line="192" w:lineRule="exact"/>
              <w:ind w:left="0" w:right="0" w:firstLine="0"/>
              <w:jc w:val="center"/>
            </w:pPr>
            <w:r>
              <w:rPr>
                <w:rFonts w:ascii="cNtkqcMC+SimSun" w:hAnsi="cNtkqcMC+SimSun" w:eastAsia="cNtkqcMC+SimSun"/>
                <w:color w:val="000000"/>
                <w:sz w:val="19"/>
              </w:rPr>
              <w:t>额保障</w:t>
            </w:r>
          </w:p>
        </w:tc>
        <w:tc>
          <w:tcPr>
            <w:tcW w:w="2920" w:type="dxa"/>
            <w:tcBorders>
              <w:top w:val="single" w:color="000000" w:sz="4" w:space="0"/>
              <w:left w:val="single" w:color="000000" w:sz="4" w:space="0"/>
              <w:bottom w:val="single" w:color="000000" w:sz="6" w:space="0"/>
              <w:right w:val="single" w:color="000000" w:sz="4" w:space="0"/>
            </w:tcBorders>
            <w:tcMar>
              <w:left w:w="0" w:type="dxa"/>
              <w:right w:w="0" w:type="dxa"/>
            </w:tcMar>
          </w:tcPr>
          <w:p w14:paraId="00062B6A">
            <w:pPr>
              <w:widowControl/>
              <w:autoSpaceDE w:val="0"/>
              <w:autoSpaceDN w:val="0"/>
              <w:spacing w:before="38" w:after="0" w:line="190" w:lineRule="exact"/>
              <w:ind w:left="0" w:right="0" w:firstLine="0"/>
              <w:jc w:val="center"/>
            </w:pPr>
            <w:r>
              <w:rPr>
                <w:rFonts w:ascii="cNtkqcMC+SimSun" w:hAnsi="cNtkqcMC+SimSun" w:eastAsia="cNtkqcMC+SimSun"/>
                <w:color w:val="000000"/>
                <w:sz w:val="19"/>
              </w:rPr>
              <w:t>2025年基本支出预算数足额保障基</w:t>
            </w:r>
          </w:p>
          <w:p w14:paraId="21FA0518">
            <w:pPr>
              <w:widowControl/>
              <w:autoSpaceDE w:val="0"/>
              <w:autoSpaceDN w:val="0"/>
              <w:spacing w:before="40" w:after="0" w:line="192" w:lineRule="exact"/>
              <w:ind w:left="24" w:right="0" w:firstLine="0"/>
              <w:jc w:val="left"/>
            </w:pPr>
            <w:r>
              <w:rPr>
                <w:rFonts w:ascii="cNtkqcMC+SimSun" w:hAnsi="cNtkqcMC+SimSun" w:eastAsia="cNtkqcMC+SimSun"/>
                <w:color w:val="000000"/>
                <w:sz w:val="19"/>
              </w:rPr>
              <w:t>本运行需要。</w:t>
            </w:r>
          </w:p>
        </w:tc>
        <w:tc>
          <w:tcPr>
            <w:tcW w:w="4624" w:type="dxa"/>
            <w:tcBorders>
              <w:top w:val="single" w:color="000000" w:sz="4" w:space="0"/>
              <w:left w:val="single" w:color="000000" w:sz="4" w:space="0"/>
              <w:bottom w:val="single" w:color="000000" w:sz="6" w:space="0"/>
              <w:right w:val="single" w:color="000000" w:sz="6" w:space="0"/>
            </w:tcBorders>
            <w:tcMar>
              <w:left w:w="0" w:type="dxa"/>
              <w:right w:w="0" w:type="dxa"/>
            </w:tcMar>
          </w:tcPr>
          <w:p w14:paraId="4ADE3787">
            <w:pPr>
              <w:widowControl/>
              <w:autoSpaceDE w:val="0"/>
              <w:autoSpaceDN w:val="0"/>
              <w:spacing w:before="38" w:after="0" w:line="190" w:lineRule="exact"/>
              <w:ind w:left="26" w:right="0" w:firstLine="0"/>
              <w:jc w:val="left"/>
            </w:pPr>
            <w:r>
              <w:rPr>
                <w:rFonts w:ascii="cNtkqcMC+SimSun" w:hAnsi="cNtkqcMC+SimSun" w:eastAsia="cNtkqcMC+SimSun"/>
                <w:color w:val="000000"/>
                <w:sz w:val="19"/>
              </w:rPr>
              <w:t>2025年基本支出预算执行数1576.26万元，足额保障了</w:t>
            </w:r>
          </w:p>
          <w:p w14:paraId="10C84614">
            <w:pPr>
              <w:widowControl/>
              <w:autoSpaceDE w:val="0"/>
              <w:autoSpaceDN w:val="0"/>
              <w:spacing w:before="40" w:after="0" w:line="192" w:lineRule="exact"/>
              <w:ind w:left="26" w:right="0" w:firstLine="0"/>
              <w:jc w:val="left"/>
            </w:pPr>
            <w:r>
              <w:rPr>
                <w:rFonts w:ascii="cNtkqcMC+SimSun" w:hAnsi="cNtkqcMC+SimSun" w:eastAsia="cNtkqcMC+SimSun"/>
                <w:color w:val="000000"/>
                <w:sz w:val="19"/>
              </w:rPr>
              <w:t>基本运行需要。</w:t>
            </w:r>
          </w:p>
        </w:tc>
        <w:tc>
          <w:tcPr>
            <w:tcW w:w="2544" w:type="dxa"/>
            <w:tcBorders>
              <w:top w:val="single" w:color="000000" w:sz="4" w:space="0"/>
              <w:left w:val="single" w:color="000000" w:sz="6" w:space="0"/>
              <w:bottom w:val="single" w:color="000000" w:sz="6" w:space="0"/>
              <w:right w:val="single" w:color="000000" w:sz="6" w:space="0"/>
            </w:tcBorders>
            <w:tcMar>
              <w:left w:w="0" w:type="dxa"/>
              <w:right w:w="0" w:type="dxa"/>
            </w:tcMar>
          </w:tcPr>
          <w:p w14:paraId="7B4A7426">
            <w:pPr>
              <w:widowControl/>
              <w:autoSpaceDE w:val="0"/>
              <w:autoSpaceDN w:val="0"/>
              <w:spacing w:before="0" w:after="0" w:line="230" w:lineRule="exact"/>
              <w:ind w:left="22" w:right="0" w:firstLine="0"/>
              <w:jc w:val="left"/>
            </w:pPr>
            <w:r>
              <w:rPr>
                <w:rFonts w:ascii="cNtkqcMC+SimSun" w:hAnsi="cNtkqcMC+SimSun" w:eastAsia="cNtkqcMC+SimSun"/>
                <w:color w:val="000000"/>
                <w:sz w:val="19"/>
              </w:rPr>
              <w:t>2025年基本支出预算执行数1576.26万元，足额保障了基本运行需要。</w:t>
            </w:r>
          </w:p>
        </w:tc>
        <w:tc>
          <w:tcPr>
            <w:tcW w:w="2386" w:type="dxa"/>
            <w:tcBorders>
              <w:top w:val="single" w:color="000000" w:sz="4" w:space="0"/>
              <w:left w:val="single" w:color="000000" w:sz="6" w:space="0"/>
              <w:bottom w:val="single" w:color="000000" w:sz="6" w:space="0"/>
              <w:right w:val="single" w:color="000000" w:sz="4" w:space="0"/>
            </w:tcBorders>
            <w:tcMar>
              <w:left w:w="0" w:type="dxa"/>
              <w:right w:w="0" w:type="dxa"/>
            </w:tcMar>
          </w:tcPr>
          <w:p w14:paraId="4E87B9BD">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r>
      <w:tr w14:paraId="79BC1E14">
        <w:tblPrEx>
          <w:tblCellMar>
            <w:top w:w="0" w:type="dxa"/>
            <w:left w:w="108" w:type="dxa"/>
            <w:bottom w:w="0" w:type="dxa"/>
            <w:right w:w="108" w:type="dxa"/>
          </w:tblCellMar>
        </w:tblPrEx>
        <w:trPr>
          <w:trHeight w:val="1232" w:hRule="exact"/>
        </w:trPr>
        <w:tc>
          <w:tcPr>
            <w:tcW w:w="2425" w:type="dxa"/>
            <w:vMerge w:val="continue"/>
            <w:tcBorders>
              <w:left w:val="single" w:color="000000" w:sz="4" w:space="0"/>
              <w:bottom w:val="single" w:color="000000" w:sz="4" w:space="0"/>
              <w:right w:val="single" w:color="000000" w:sz="4" w:space="0"/>
            </w:tcBorders>
          </w:tcPr>
          <w:p w14:paraId="3B4C6B58"/>
        </w:tc>
        <w:tc>
          <w:tcPr>
            <w:tcW w:w="1188" w:type="dxa"/>
            <w:tcBorders>
              <w:top w:val="single" w:color="000000" w:sz="6" w:space="0"/>
              <w:left w:val="single" w:color="000000" w:sz="4" w:space="0"/>
              <w:bottom w:val="single" w:color="000000" w:sz="4" w:space="0"/>
              <w:right w:val="single" w:color="000000" w:sz="4" w:space="0"/>
            </w:tcBorders>
            <w:tcMar>
              <w:left w:w="0" w:type="dxa"/>
              <w:right w:w="0" w:type="dxa"/>
            </w:tcMar>
          </w:tcPr>
          <w:p w14:paraId="57A5C0C1">
            <w:pPr>
              <w:widowControl/>
              <w:autoSpaceDE w:val="0"/>
              <w:autoSpaceDN w:val="0"/>
              <w:spacing w:before="410" w:after="0" w:line="190" w:lineRule="exact"/>
              <w:ind w:left="0" w:right="0" w:firstLine="0"/>
              <w:jc w:val="center"/>
            </w:pPr>
            <w:r>
              <w:rPr>
                <w:rFonts w:ascii="cNtkqcMC+SimSun" w:hAnsi="cNtkqcMC+SimSun" w:eastAsia="cNtkqcMC+SimSun"/>
                <w:color w:val="000000"/>
                <w:sz w:val="19"/>
              </w:rPr>
              <w:t>确保重点支</w:t>
            </w:r>
          </w:p>
          <w:p w14:paraId="1E4E4CAC">
            <w:pPr>
              <w:widowControl/>
              <w:autoSpaceDE w:val="0"/>
              <w:autoSpaceDN w:val="0"/>
              <w:spacing w:before="40" w:after="0" w:line="190" w:lineRule="exact"/>
              <w:ind w:left="0" w:right="0" w:firstLine="0"/>
              <w:jc w:val="center"/>
            </w:pPr>
            <w:r>
              <w:rPr>
                <w:rFonts w:ascii="cNtkqcMC+SimSun" w:hAnsi="cNtkqcMC+SimSun" w:eastAsia="cNtkqcMC+SimSun"/>
                <w:color w:val="000000"/>
                <w:sz w:val="19"/>
              </w:rPr>
              <w:t>出安排</w:t>
            </w:r>
          </w:p>
        </w:tc>
        <w:tc>
          <w:tcPr>
            <w:tcW w:w="2920" w:type="dxa"/>
            <w:tcBorders>
              <w:top w:val="single" w:color="000000" w:sz="6" w:space="0"/>
              <w:left w:val="single" w:color="000000" w:sz="4" w:space="0"/>
              <w:bottom w:val="single" w:color="000000" w:sz="4" w:space="0"/>
              <w:right w:val="single" w:color="000000" w:sz="4" w:space="0"/>
            </w:tcBorders>
            <w:tcMar>
              <w:left w:w="0" w:type="dxa"/>
              <w:right w:w="0" w:type="dxa"/>
            </w:tcMar>
          </w:tcPr>
          <w:p w14:paraId="0963D64B">
            <w:pPr>
              <w:widowControl/>
              <w:autoSpaceDE w:val="0"/>
              <w:autoSpaceDN w:val="0"/>
              <w:spacing w:before="38" w:after="0" w:line="190" w:lineRule="exact"/>
              <w:ind w:left="0" w:right="0" w:firstLine="0"/>
              <w:jc w:val="center"/>
            </w:pPr>
            <w:r>
              <w:rPr>
                <w:rFonts w:ascii="cNtkqcMC+SimSun" w:hAnsi="cNtkqcMC+SimSun" w:eastAsia="cNtkqcMC+SimSun"/>
                <w:color w:val="000000"/>
                <w:sz w:val="19"/>
              </w:rPr>
              <w:t>单位根据工作计划和实际情况，确</w:t>
            </w:r>
          </w:p>
          <w:p w14:paraId="09F259B9">
            <w:pPr>
              <w:widowControl/>
              <w:autoSpaceDE w:val="0"/>
              <w:autoSpaceDN w:val="0"/>
              <w:spacing w:before="40" w:after="0" w:line="190" w:lineRule="exact"/>
              <w:ind w:left="24" w:right="0" w:firstLine="0"/>
              <w:jc w:val="left"/>
            </w:pPr>
            <w:r>
              <w:rPr>
                <w:rFonts w:ascii="cNtkqcMC+SimSun" w:hAnsi="cNtkqcMC+SimSun" w:eastAsia="cNtkqcMC+SimSun"/>
                <w:color w:val="000000"/>
                <w:sz w:val="19"/>
              </w:rPr>
              <w:t>保重点支出安排</w:t>
            </w:r>
          </w:p>
        </w:tc>
        <w:tc>
          <w:tcPr>
            <w:tcW w:w="4624" w:type="dxa"/>
            <w:tcBorders>
              <w:top w:val="single" w:color="000000" w:sz="6" w:space="0"/>
              <w:left w:val="single" w:color="000000" w:sz="4" w:space="0"/>
              <w:bottom w:val="single" w:color="000000" w:sz="4" w:space="0"/>
              <w:right w:val="single" w:color="000000" w:sz="6" w:space="0"/>
            </w:tcBorders>
            <w:tcMar>
              <w:left w:w="0" w:type="dxa"/>
              <w:right w:w="0" w:type="dxa"/>
            </w:tcMar>
          </w:tcPr>
          <w:p w14:paraId="3C181C9F">
            <w:pPr>
              <w:widowControl/>
              <w:autoSpaceDE w:val="0"/>
              <w:autoSpaceDN w:val="0"/>
              <w:spacing w:before="38" w:after="0" w:line="190" w:lineRule="exact"/>
              <w:ind w:left="26" w:right="0" w:firstLine="0"/>
              <w:jc w:val="left"/>
            </w:pPr>
            <w:r>
              <w:rPr>
                <w:rFonts w:ascii="cNtkqcMC+SimSun" w:hAnsi="cNtkqcMC+SimSun" w:eastAsia="cNtkqcMC+SimSun"/>
                <w:color w:val="000000"/>
                <w:sz w:val="19"/>
              </w:rPr>
              <w:t>按绩效指标完成</w:t>
            </w:r>
          </w:p>
        </w:tc>
        <w:tc>
          <w:tcPr>
            <w:tcW w:w="2544" w:type="dxa"/>
            <w:tcBorders>
              <w:top w:val="single" w:color="000000" w:sz="6" w:space="0"/>
              <w:left w:val="single" w:color="000000" w:sz="6" w:space="0"/>
              <w:bottom w:val="single" w:color="000000" w:sz="4" w:space="0"/>
              <w:right w:val="single" w:color="000000" w:sz="6" w:space="0"/>
            </w:tcBorders>
            <w:tcMar>
              <w:left w:w="0" w:type="dxa"/>
              <w:right w:w="0" w:type="dxa"/>
            </w:tcMar>
          </w:tcPr>
          <w:p w14:paraId="67D31D33">
            <w:pPr>
              <w:widowControl/>
              <w:autoSpaceDE w:val="0"/>
              <w:autoSpaceDN w:val="0"/>
              <w:spacing w:before="38" w:after="0" w:line="190" w:lineRule="exact"/>
              <w:ind w:left="22" w:right="0" w:firstLine="0"/>
              <w:jc w:val="left"/>
            </w:pPr>
            <w:r>
              <w:rPr>
                <w:rFonts w:ascii="cNtkqcMC+SimSun" w:hAnsi="cNtkqcMC+SimSun" w:eastAsia="cNtkqcMC+SimSun"/>
                <w:color w:val="000000"/>
                <w:sz w:val="19"/>
              </w:rPr>
              <w:t>按年初预算工作计划完成</w:t>
            </w:r>
          </w:p>
        </w:tc>
        <w:tc>
          <w:tcPr>
            <w:tcW w:w="2386" w:type="dxa"/>
            <w:tcBorders>
              <w:top w:val="single" w:color="000000" w:sz="6" w:space="0"/>
              <w:left w:val="single" w:color="000000" w:sz="6" w:space="0"/>
              <w:bottom w:val="single" w:color="000000" w:sz="4" w:space="0"/>
              <w:right w:val="single" w:color="000000" w:sz="4" w:space="0"/>
            </w:tcBorders>
            <w:tcMar>
              <w:left w:w="0" w:type="dxa"/>
              <w:right w:w="0" w:type="dxa"/>
            </w:tcMar>
          </w:tcPr>
          <w:p w14:paraId="439359A4">
            <w:pPr>
              <w:widowControl/>
              <w:autoSpaceDE w:val="0"/>
              <w:autoSpaceDN w:val="0"/>
              <w:spacing w:before="38" w:after="0" w:line="190" w:lineRule="exact"/>
              <w:ind w:left="0" w:right="0" w:firstLine="0"/>
              <w:jc w:val="center"/>
            </w:pPr>
            <w:r>
              <w:rPr>
                <w:rFonts w:ascii="cNtkqcMC+SimSun" w:hAnsi="cNtkqcMC+SimSun" w:eastAsia="cNtkqcMC+SimSun"/>
                <w:color w:val="000000"/>
                <w:sz w:val="19"/>
              </w:rPr>
              <w:t>根据工作计划和实际情况开</w:t>
            </w:r>
          </w:p>
          <w:p w14:paraId="1BB8481B">
            <w:pPr>
              <w:widowControl/>
              <w:autoSpaceDE w:val="0"/>
              <w:autoSpaceDN w:val="0"/>
              <w:spacing w:before="40" w:after="0" w:line="190" w:lineRule="exact"/>
              <w:ind w:left="24" w:right="0" w:firstLine="0"/>
              <w:jc w:val="left"/>
            </w:pPr>
            <w:r>
              <w:rPr>
                <w:rFonts w:ascii="cNtkqcMC+SimSun" w:hAnsi="cNtkqcMC+SimSun" w:eastAsia="cNtkqcMC+SimSun"/>
                <w:color w:val="000000"/>
                <w:sz w:val="19"/>
              </w:rPr>
              <w:t>展工作</w:t>
            </w:r>
          </w:p>
        </w:tc>
      </w:tr>
      <w:tr w14:paraId="250DE1B6">
        <w:tblPrEx>
          <w:tblCellMar>
            <w:top w:w="0" w:type="dxa"/>
            <w:left w:w="108" w:type="dxa"/>
            <w:bottom w:w="0" w:type="dxa"/>
            <w:right w:w="108" w:type="dxa"/>
          </w:tblCellMar>
        </w:tblPrEx>
        <w:trPr>
          <w:trHeight w:val="1496" w:hRule="exact"/>
        </w:trPr>
        <w:tc>
          <w:tcPr>
            <w:tcW w:w="2425" w:type="dxa"/>
            <w:vMerge w:val="continue"/>
            <w:tcBorders>
              <w:left w:val="single" w:color="000000" w:sz="4" w:space="0"/>
              <w:bottom w:val="single" w:color="000000" w:sz="4" w:space="0"/>
              <w:right w:val="single" w:color="000000" w:sz="4" w:space="0"/>
            </w:tcBorders>
          </w:tcPr>
          <w:p w14:paraId="19B2D1F1"/>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705447">
            <w:pPr>
              <w:widowControl/>
              <w:autoSpaceDE w:val="0"/>
              <w:autoSpaceDN w:val="0"/>
              <w:spacing w:before="544" w:after="0" w:line="192" w:lineRule="exact"/>
              <w:ind w:left="0" w:right="0" w:firstLine="0"/>
              <w:jc w:val="center"/>
            </w:pPr>
            <w:r>
              <w:rPr>
                <w:rFonts w:ascii="cNtkqcMC+SimSun" w:hAnsi="cNtkqcMC+SimSun" w:eastAsia="cNtkqcMC+SimSun"/>
                <w:color w:val="000000"/>
                <w:sz w:val="19"/>
              </w:rPr>
              <w:t>严控“三公</w:t>
            </w:r>
          </w:p>
          <w:p w14:paraId="70871E63">
            <w:pPr>
              <w:widowControl/>
              <w:autoSpaceDE w:val="0"/>
              <w:autoSpaceDN w:val="0"/>
              <w:spacing w:before="40" w:after="0" w:line="190" w:lineRule="exact"/>
              <w:ind w:left="0" w:right="0" w:firstLine="0"/>
              <w:jc w:val="center"/>
            </w:pPr>
            <w:r>
              <w:rPr>
                <w:rFonts w:ascii="cNtkqcMC+SimSun" w:hAnsi="cNtkqcMC+SimSun" w:eastAsia="cNtkqcMC+SimSun"/>
                <w:color w:val="000000"/>
                <w:sz w:val="19"/>
              </w:rPr>
              <w:t>经费”支出</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B5468">
            <w:pPr>
              <w:widowControl/>
              <w:autoSpaceDE w:val="0"/>
              <w:autoSpaceDN w:val="0"/>
              <w:spacing w:before="40" w:after="0" w:line="192" w:lineRule="exact"/>
              <w:ind w:left="24" w:right="0" w:firstLine="0"/>
              <w:jc w:val="left"/>
            </w:pPr>
            <w:r>
              <w:rPr>
                <w:rFonts w:ascii="cNtkqcMC+SimSun" w:hAnsi="cNtkqcMC+SimSun" w:eastAsia="cNtkqcMC+SimSun"/>
                <w:color w:val="000000"/>
                <w:sz w:val="19"/>
              </w:rPr>
              <w:t>严控三公经费支出。</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0D9764F5">
            <w:pPr>
              <w:widowControl/>
              <w:autoSpaceDE w:val="0"/>
              <w:autoSpaceDN w:val="0"/>
              <w:spacing w:before="2" w:after="0" w:line="230" w:lineRule="exact"/>
              <w:ind w:left="26" w:right="0" w:firstLine="0"/>
              <w:jc w:val="left"/>
            </w:pPr>
            <w:r>
              <w:rPr>
                <w:rFonts w:ascii="cNtkqcMC+SimSun" w:hAnsi="cNtkqcMC+SimSun" w:eastAsia="cNtkqcMC+SimSun"/>
                <w:color w:val="000000"/>
                <w:sz w:val="19"/>
              </w:rPr>
              <w:t>2025年部门“三公”经费支出54.30万元，比上年支出数减少96.87万元，其中：1.因公出国（境）费支出0万元，比上年支出增加0万元，主要原因是我单位未安排因公出国（境）费；2.公务接待费0万元，比上年支出增加0万元；3.公务用车购置及运行维护费支出54.30万元，比上年支出数减少96.87万元。</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4E480706">
            <w:pPr>
              <w:widowControl/>
              <w:autoSpaceDE w:val="0"/>
              <w:autoSpaceDN w:val="0"/>
              <w:spacing w:before="40" w:after="0" w:line="192" w:lineRule="exact"/>
              <w:ind w:left="0" w:right="0" w:firstLine="0"/>
              <w:jc w:val="center"/>
            </w:pPr>
            <w:r>
              <w:rPr>
                <w:rFonts w:ascii="cNtkqcMC+SimSun" w:hAnsi="cNtkqcMC+SimSun" w:eastAsia="cNtkqcMC+SimSun"/>
                <w:color w:val="000000"/>
                <w:sz w:val="19"/>
              </w:rPr>
              <w:t>已完成严控三公经费支出的任</w:t>
            </w:r>
          </w:p>
          <w:p w14:paraId="128ADA4B">
            <w:pPr>
              <w:widowControl/>
              <w:autoSpaceDE w:val="0"/>
              <w:autoSpaceDN w:val="0"/>
              <w:spacing w:before="40" w:after="0" w:line="190" w:lineRule="exact"/>
              <w:ind w:left="22" w:right="0" w:firstLine="0"/>
              <w:jc w:val="left"/>
            </w:pPr>
            <w:r>
              <w:rPr>
                <w:rFonts w:ascii="cNtkqcMC+SimSun" w:hAnsi="cNtkqcMC+SimSun" w:eastAsia="cNtkqcMC+SimSun"/>
                <w:color w:val="000000"/>
                <w:sz w:val="19"/>
              </w:rPr>
              <w:t>务。</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721A3933">
            <w:pPr>
              <w:widowControl/>
              <w:autoSpaceDE w:val="0"/>
              <w:autoSpaceDN w:val="0"/>
              <w:spacing w:before="40" w:after="0" w:line="192" w:lineRule="exact"/>
              <w:ind w:left="24" w:right="0" w:firstLine="0"/>
              <w:jc w:val="left"/>
            </w:pPr>
            <w:r>
              <w:rPr>
                <w:rFonts w:ascii="cNtkqcMC+SimSun" w:hAnsi="cNtkqcMC+SimSun" w:eastAsia="cNtkqcMC+SimSun"/>
                <w:color w:val="000000"/>
                <w:sz w:val="19"/>
              </w:rPr>
              <w:t>无。</w:t>
            </w:r>
          </w:p>
        </w:tc>
      </w:tr>
      <w:tr w14:paraId="3F9FA93A">
        <w:tblPrEx>
          <w:tblCellMar>
            <w:top w:w="0" w:type="dxa"/>
            <w:left w:w="108" w:type="dxa"/>
            <w:bottom w:w="0" w:type="dxa"/>
            <w:right w:w="108" w:type="dxa"/>
          </w:tblCellMar>
        </w:tblPrEx>
        <w:trPr>
          <w:trHeight w:val="1236" w:hRule="exact"/>
        </w:trPr>
        <w:tc>
          <w:tcPr>
            <w:tcW w:w="854" w:type="dxa"/>
            <w:vMerge w:val="restart"/>
            <w:tcBorders>
              <w:top w:val="single" w:color="000000" w:sz="4" w:space="0"/>
              <w:left w:val="single" w:color="000000" w:sz="4" w:space="0"/>
              <w:right w:val="single" w:color="000000" w:sz="4" w:space="0"/>
            </w:tcBorders>
            <w:tcMar>
              <w:left w:w="0" w:type="dxa"/>
              <w:right w:w="0" w:type="dxa"/>
            </w:tcMar>
          </w:tcPr>
          <w:p w14:paraId="1CFF0A68">
            <w:pPr>
              <w:widowControl/>
              <w:autoSpaceDE w:val="0"/>
              <w:autoSpaceDN w:val="0"/>
              <w:spacing w:before="2402" w:after="0" w:line="190" w:lineRule="exact"/>
              <w:ind w:left="0" w:right="0" w:firstLine="0"/>
              <w:jc w:val="center"/>
            </w:pPr>
            <w:r>
              <w:rPr>
                <w:rFonts w:ascii="cNtkqcMC+SimSun" w:hAnsi="cNtkqcMC+SimSun" w:eastAsia="cNtkqcMC+SimSun"/>
                <w:color w:val="000000"/>
                <w:sz w:val="19"/>
              </w:rPr>
              <w:t>预算执行</w:t>
            </w:r>
          </w:p>
          <w:p w14:paraId="6712E4FB">
            <w:pPr>
              <w:widowControl/>
              <w:autoSpaceDE w:val="0"/>
              <w:autoSpaceDN w:val="0"/>
              <w:spacing w:before="40" w:after="0" w:line="192" w:lineRule="exact"/>
              <w:ind w:left="0" w:right="0" w:firstLine="0"/>
              <w:jc w:val="center"/>
            </w:pPr>
            <w:r>
              <w:rPr>
                <w:rFonts w:ascii="cNtkqcMC+SimSun" w:hAnsi="cNtkqcMC+SimSun" w:eastAsia="cNtkqcMC+SimSun"/>
                <w:color w:val="000000"/>
                <w:sz w:val="19"/>
              </w:rPr>
              <w:t>有效</w:t>
            </w:r>
          </w:p>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3CFBB1">
            <w:pPr>
              <w:widowControl/>
              <w:autoSpaceDE w:val="0"/>
              <w:autoSpaceDN w:val="0"/>
              <w:spacing w:before="412" w:after="0" w:line="192" w:lineRule="exact"/>
              <w:ind w:left="0" w:right="0" w:firstLine="0"/>
              <w:jc w:val="center"/>
            </w:pPr>
            <w:r>
              <w:rPr>
                <w:rFonts w:ascii="cNtkqcMC+SimSun" w:hAnsi="cNtkqcMC+SimSun" w:eastAsia="cNtkqcMC+SimSun"/>
                <w:color w:val="000000"/>
                <w:sz w:val="19"/>
              </w:rPr>
              <w:t>严格预算执</w:t>
            </w:r>
          </w:p>
          <w:p w14:paraId="30767D00">
            <w:pPr>
              <w:widowControl/>
              <w:autoSpaceDE w:val="0"/>
              <w:autoSpaceDN w:val="0"/>
              <w:spacing w:before="38" w:after="0" w:line="192" w:lineRule="exact"/>
              <w:ind w:left="0" w:right="0" w:firstLine="0"/>
              <w:jc w:val="center"/>
            </w:pPr>
            <w:r>
              <w:rPr>
                <w:rFonts w:ascii="cNtkqcMC+SimSun" w:hAnsi="cNtkqcMC+SimSun" w:eastAsia="cNtkqcMC+SimSun"/>
                <w:color w:val="000000"/>
                <w:sz w:val="19"/>
              </w:rPr>
              <w:t>行</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9263E7">
            <w:pPr>
              <w:widowControl/>
              <w:autoSpaceDE w:val="0"/>
              <w:autoSpaceDN w:val="0"/>
              <w:spacing w:before="40" w:after="0" w:line="192" w:lineRule="exact"/>
              <w:ind w:left="0" w:right="0" w:firstLine="0"/>
              <w:jc w:val="center"/>
            </w:pPr>
            <w:r>
              <w:rPr>
                <w:rFonts w:ascii="cNtkqcMC+SimSun" w:hAnsi="cNtkqcMC+SimSun" w:eastAsia="cNtkqcMC+SimSun"/>
                <w:color w:val="000000"/>
                <w:sz w:val="19"/>
              </w:rPr>
              <w:t>项目及时开展，及时合规支付，并</w:t>
            </w:r>
          </w:p>
          <w:p w14:paraId="6DD7F7C0">
            <w:pPr>
              <w:widowControl/>
              <w:autoSpaceDE w:val="0"/>
              <w:autoSpaceDN w:val="0"/>
              <w:spacing w:before="38" w:after="0" w:line="192" w:lineRule="exact"/>
              <w:ind w:left="24" w:right="0" w:firstLine="0"/>
              <w:jc w:val="left"/>
            </w:pPr>
            <w:r>
              <w:rPr>
                <w:rFonts w:ascii="cNtkqcMC+SimSun" w:hAnsi="cNtkqcMC+SimSun" w:eastAsia="cNtkqcMC+SimSun"/>
                <w:color w:val="000000"/>
                <w:sz w:val="19"/>
              </w:rPr>
              <w:t>定期通报支出执行进度</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436634E4">
            <w:pPr>
              <w:widowControl/>
              <w:autoSpaceDE w:val="0"/>
              <w:autoSpaceDN w:val="0"/>
              <w:spacing w:before="40" w:after="0" w:line="192" w:lineRule="exact"/>
              <w:ind w:left="0" w:right="0" w:firstLine="0"/>
              <w:jc w:val="center"/>
            </w:pPr>
            <w:r>
              <w:rPr>
                <w:rFonts w:ascii="cNtkqcMC+SimSun" w:hAnsi="cNtkqcMC+SimSun" w:eastAsia="cNtkqcMC+SimSun"/>
                <w:color w:val="000000"/>
                <w:sz w:val="19"/>
              </w:rPr>
              <w:t>2025年内各项目及时开展，及时合规支付，并按季度定</w:t>
            </w:r>
          </w:p>
          <w:p w14:paraId="612A8C66">
            <w:pPr>
              <w:widowControl/>
              <w:autoSpaceDE w:val="0"/>
              <w:autoSpaceDN w:val="0"/>
              <w:spacing w:before="38" w:after="0" w:line="192" w:lineRule="exact"/>
              <w:ind w:left="26" w:right="0" w:firstLine="0"/>
              <w:jc w:val="left"/>
            </w:pPr>
            <w:r>
              <w:rPr>
                <w:rFonts w:ascii="cNtkqcMC+SimSun" w:hAnsi="cNtkqcMC+SimSun" w:eastAsia="cNtkqcMC+SimSun"/>
                <w:color w:val="000000"/>
                <w:sz w:val="19"/>
              </w:rPr>
              <w:t>期通报了支出执行进度。</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3ADD4C32">
            <w:pPr>
              <w:widowControl/>
              <w:autoSpaceDE w:val="0"/>
              <w:autoSpaceDN w:val="0"/>
              <w:spacing w:before="40" w:after="0" w:line="192" w:lineRule="exact"/>
              <w:ind w:left="22" w:right="0" w:firstLine="0"/>
              <w:jc w:val="left"/>
            </w:pPr>
            <w:r>
              <w:rPr>
                <w:rFonts w:ascii="cNtkqcMC+SimSun" w:hAnsi="cNtkqcMC+SimSun" w:eastAsia="cNtkqcMC+SimSun"/>
                <w:color w:val="000000"/>
                <w:sz w:val="19"/>
              </w:rPr>
              <w:t>已完成年初制定的任务。</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5D7B0870">
            <w:pPr>
              <w:widowControl/>
              <w:autoSpaceDE w:val="0"/>
              <w:autoSpaceDN w:val="0"/>
              <w:spacing w:before="40" w:after="0" w:line="192" w:lineRule="exact"/>
              <w:ind w:left="24" w:right="0" w:firstLine="0"/>
              <w:jc w:val="left"/>
            </w:pPr>
            <w:r>
              <w:rPr>
                <w:rFonts w:ascii="cNtkqcMC+SimSun" w:hAnsi="cNtkqcMC+SimSun" w:eastAsia="cNtkqcMC+SimSun"/>
                <w:color w:val="000000"/>
                <w:sz w:val="19"/>
              </w:rPr>
              <w:t>无。</w:t>
            </w:r>
          </w:p>
        </w:tc>
      </w:tr>
      <w:tr w14:paraId="492741B7">
        <w:tblPrEx>
          <w:tblCellMar>
            <w:top w:w="0" w:type="dxa"/>
            <w:left w:w="108" w:type="dxa"/>
            <w:bottom w:w="0" w:type="dxa"/>
            <w:right w:w="108" w:type="dxa"/>
          </w:tblCellMar>
        </w:tblPrEx>
        <w:trPr>
          <w:trHeight w:val="1232" w:hRule="exact"/>
        </w:trPr>
        <w:tc>
          <w:tcPr>
            <w:tcW w:w="2425" w:type="dxa"/>
            <w:vMerge w:val="continue"/>
            <w:tcBorders>
              <w:top w:val="single" w:color="000000" w:sz="4" w:space="0"/>
              <w:left w:val="single" w:color="000000" w:sz="4" w:space="0"/>
              <w:right w:val="single" w:color="000000" w:sz="4" w:space="0"/>
            </w:tcBorders>
          </w:tcPr>
          <w:p w14:paraId="120F93A9"/>
        </w:tc>
        <w:tc>
          <w:tcPr>
            <w:tcW w:w="1188" w:type="dxa"/>
            <w:tcBorders>
              <w:top w:val="single" w:color="000000" w:sz="4" w:space="0"/>
              <w:left w:val="single" w:color="000000" w:sz="4" w:space="0"/>
              <w:bottom w:val="single" w:color="000000" w:sz="6" w:space="0"/>
              <w:right w:val="single" w:color="000000" w:sz="4" w:space="0"/>
            </w:tcBorders>
            <w:tcMar>
              <w:left w:w="0" w:type="dxa"/>
              <w:right w:w="0" w:type="dxa"/>
            </w:tcMar>
          </w:tcPr>
          <w:p w14:paraId="068E016C">
            <w:pPr>
              <w:widowControl/>
              <w:autoSpaceDE w:val="0"/>
              <w:autoSpaceDN w:val="0"/>
              <w:spacing w:before="410" w:after="0" w:line="190" w:lineRule="exact"/>
              <w:ind w:left="0" w:right="0" w:firstLine="0"/>
              <w:jc w:val="center"/>
            </w:pPr>
            <w:r>
              <w:rPr>
                <w:rFonts w:ascii="cNtkqcMC+SimSun" w:hAnsi="cNtkqcMC+SimSun" w:eastAsia="cNtkqcMC+SimSun"/>
                <w:color w:val="000000"/>
                <w:sz w:val="19"/>
              </w:rPr>
              <w:t>严格结转结</w:t>
            </w:r>
          </w:p>
          <w:p w14:paraId="6A9D716B">
            <w:pPr>
              <w:widowControl/>
              <w:autoSpaceDE w:val="0"/>
              <w:autoSpaceDN w:val="0"/>
              <w:spacing w:before="40" w:after="0" w:line="192" w:lineRule="exact"/>
              <w:ind w:left="0" w:right="0" w:firstLine="0"/>
              <w:jc w:val="center"/>
            </w:pPr>
            <w:r>
              <w:rPr>
                <w:rFonts w:ascii="cNtkqcMC+SimSun" w:hAnsi="cNtkqcMC+SimSun" w:eastAsia="cNtkqcMC+SimSun"/>
                <w:color w:val="000000"/>
                <w:sz w:val="19"/>
              </w:rPr>
              <w:t>余</w:t>
            </w:r>
          </w:p>
        </w:tc>
        <w:tc>
          <w:tcPr>
            <w:tcW w:w="2920" w:type="dxa"/>
            <w:tcBorders>
              <w:top w:val="single" w:color="000000" w:sz="4" w:space="0"/>
              <w:left w:val="single" w:color="000000" w:sz="4" w:space="0"/>
              <w:bottom w:val="single" w:color="000000" w:sz="6" w:space="0"/>
              <w:right w:val="single" w:color="000000" w:sz="4" w:space="0"/>
            </w:tcBorders>
            <w:tcMar>
              <w:left w:w="0" w:type="dxa"/>
              <w:right w:w="0" w:type="dxa"/>
            </w:tcMar>
          </w:tcPr>
          <w:p w14:paraId="4B0DFFFE">
            <w:pPr>
              <w:widowControl/>
              <w:autoSpaceDE w:val="0"/>
              <w:autoSpaceDN w:val="0"/>
              <w:spacing w:before="38" w:after="0" w:line="190" w:lineRule="exact"/>
              <w:ind w:left="24" w:right="0" w:firstLine="0"/>
              <w:jc w:val="left"/>
            </w:pPr>
            <w:r>
              <w:rPr>
                <w:rFonts w:ascii="cNtkqcMC+SimSun" w:hAnsi="cNtkqcMC+SimSun" w:eastAsia="cNtkqcMC+SimSun"/>
                <w:color w:val="000000"/>
                <w:sz w:val="19"/>
              </w:rPr>
              <w:t>严格执行结转结余相关规定。</w:t>
            </w:r>
          </w:p>
        </w:tc>
        <w:tc>
          <w:tcPr>
            <w:tcW w:w="4624" w:type="dxa"/>
            <w:tcBorders>
              <w:top w:val="single" w:color="000000" w:sz="4" w:space="0"/>
              <w:left w:val="single" w:color="000000" w:sz="4" w:space="0"/>
              <w:bottom w:val="single" w:color="000000" w:sz="6" w:space="0"/>
              <w:right w:val="single" w:color="000000" w:sz="6" w:space="0"/>
            </w:tcBorders>
            <w:tcMar>
              <w:left w:w="0" w:type="dxa"/>
              <w:right w:w="0" w:type="dxa"/>
            </w:tcMar>
          </w:tcPr>
          <w:p w14:paraId="72A7E468">
            <w:pPr>
              <w:widowControl/>
              <w:autoSpaceDE w:val="0"/>
              <w:autoSpaceDN w:val="0"/>
              <w:spacing w:before="38" w:after="0" w:line="190" w:lineRule="exact"/>
              <w:ind w:left="26" w:right="0" w:firstLine="0"/>
              <w:jc w:val="left"/>
            </w:pPr>
            <w:r>
              <w:rPr>
                <w:rFonts w:ascii="cNtkqcMC+SimSun" w:hAnsi="cNtkqcMC+SimSun" w:eastAsia="cNtkqcMC+SimSun"/>
                <w:color w:val="000000"/>
                <w:sz w:val="19"/>
              </w:rPr>
              <w:t>2025年结转35.41万元，为非财政拨款项目结转结余，</w:t>
            </w:r>
          </w:p>
          <w:p w14:paraId="4A4E413E">
            <w:pPr>
              <w:widowControl/>
              <w:autoSpaceDE w:val="0"/>
              <w:autoSpaceDN w:val="0"/>
              <w:spacing w:before="40" w:after="0" w:line="192" w:lineRule="exact"/>
              <w:ind w:left="26" w:right="0" w:firstLine="0"/>
              <w:jc w:val="left"/>
            </w:pPr>
            <w:r>
              <w:rPr>
                <w:rFonts w:ascii="cNtkqcMC+SimSun" w:hAnsi="cNtkqcMC+SimSun" w:eastAsia="cNtkqcMC+SimSun"/>
                <w:color w:val="000000"/>
                <w:sz w:val="19"/>
              </w:rPr>
              <w:t>已按规定办理结转结余相关手续。</w:t>
            </w:r>
          </w:p>
        </w:tc>
        <w:tc>
          <w:tcPr>
            <w:tcW w:w="2544" w:type="dxa"/>
            <w:tcBorders>
              <w:top w:val="single" w:color="000000" w:sz="4" w:space="0"/>
              <w:left w:val="single" w:color="000000" w:sz="6" w:space="0"/>
              <w:bottom w:val="single" w:color="000000" w:sz="6" w:space="0"/>
              <w:right w:val="single" w:color="000000" w:sz="6" w:space="0"/>
            </w:tcBorders>
            <w:tcMar>
              <w:left w:w="0" w:type="dxa"/>
              <w:right w:w="0" w:type="dxa"/>
            </w:tcMar>
          </w:tcPr>
          <w:p w14:paraId="3769392A">
            <w:pPr>
              <w:widowControl/>
              <w:autoSpaceDE w:val="0"/>
              <w:autoSpaceDN w:val="0"/>
              <w:spacing w:before="38" w:after="0" w:line="190" w:lineRule="exact"/>
              <w:ind w:left="0" w:right="0" w:firstLine="0"/>
              <w:jc w:val="center"/>
            </w:pPr>
            <w:r>
              <w:rPr>
                <w:rFonts w:ascii="cNtkqcMC+SimSun" w:hAnsi="cNtkqcMC+SimSun" w:eastAsia="cNtkqcMC+SimSun"/>
                <w:color w:val="000000"/>
                <w:sz w:val="19"/>
              </w:rPr>
              <w:t>已完成严格执行结转结余相关</w:t>
            </w:r>
          </w:p>
          <w:p w14:paraId="48F43938">
            <w:pPr>
              <w:widowControl/>
              <w:autoSpaceDE w:val="0"/>
              <w:autoSpaceDN w:val="0"/>
              <w:spacing w:before="40" w:after="0" w:line="192" w:lineRule="exact"/>
              <w:ind w:left="22" w:right="0" w:firstLine="0"/>
              <w:jc w:val="left"/>
            </w:pPr>
            <w:r>
              <w:rPr>
                <w:rFonts w:ascii="cNtkqcMC+SimSun" w:hAnsi="cNtkqcMC+SimSun" w:eastAsia="cNtkqcMC+SimSun"/>
                <w:color w:val="000000"/>
                <w:sz w:val="19"/>
              </w:rPr>
              <w:t>规定的任务。</w:t>
            </w:r>
          </w:p>
        </w:tc>
        <w:tc>
          <w:tcPr>
            <w:tcW w:w="2386" w:type="dxa"/>
            <w:tcBorders>
              <w:top w:val="single" w:color="000000" w:sz="4" w:space="0"/>
              <w:left w:val="single" w:color="000000" w:sz="6" w:space="0"/>
              <w:bottom w:val="single" w:color="000000" w:sz="6" w:space="0"/>
              <w:right w:val="single" w:color="000000" w:sz="4" w:space="0"/>
            </w:tcBorders>
            <w:tcMar>
              <w:left w:w="0" w:type="dxa"/>
              <w:right w:w="0" w:type="dxa"/>
            </w:tcMar>
          </w:tcPr>
          <w:p w14:paraId="4EBA80F6">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r>
      <w:tr w14:paraId="6B314DBB">
        <w:tblPrEx>
          <w:tblCellMar>
            <w:top w:w="0" w:type="dxa"/>
            <w:left w:w="108" w:type="dxa"/>
            <w:bottom w:w="0" w:type="dxa"/>
            <w:right w:w="108" w:type="dxa"/>
          </w:tblCellMar>
        </w:tblPrEx>
        <w:trPr>
          <w:trHeight w:val="1212" w:hRule="exact"/>
        </w:trPr>
        <w:tc>
          <w:tcPr>
            <w:tcW w:w="2425" w:type="dxa"/>
            <w:vMerge w:val="continue"/>
            <w:tcBorders>
              <w:top w:val="single" w:color="000000" w:sz="4" w:space="0"/>
              <w:left w:val="single" w:color="000000" w:sz="4" w:space="0"/>
              <w:right w:val="single" w:color="000000" w:sz="4" w:space="0"/>
            </w:tcBorders>
          </w:tcPr>
          <w:p w14:paraId="7C6670ED"/>
        </w:tc>
        <w:tc>
          <w:tcPr>
            <w:tcW w:w="1188" w:type="dxa"/>
            <w:tcBorders>
              <w:top w:val="single" w:color="000000" w:sz="6" w:space="0"/>
              <w:left w:val="single" w:color="000000" w:sz="4" w:space="0"/>
              <w:bottom w:val="single" w:color="000000" w:sz="4" w:space="0"/>
              <w:right w:val="single" w:color="000000" w:sz="4" w:space="0"/>
            </w:tcBorders>
            <w:tcMar>
              <w:left w:w="0" w:type="dxa"/>
              <w:right w:w="0" w:type="dxa"/>
            </w:tcMar>
          </w:tcPr>
          <w:p w14:paraId="0F32B587">
            <w:pPr>
              <w:widowControl/>
              <w:autoSpaceDE w:val="0"/>
              <w:autoSpaceDN w:val="0"/>
              <w:spacing w:before="410" w:after="0" w:line="190" w:lineRule="exact"/>
              <w:ind w:left="0" w:right="0" w:firstLine="0"/>
              <w:jc w:val="center"/>
            </w:pPr>
            <w:r>
              <w:rPr>
                <w:rFonts w:ascii="cNtkqcMC+SimSun" w:hAnsi="cNtkqcMC+SimSun" w:eastAsia="cNtkqcMC+SimSun"/>
                <w:color w:val="000000"/>
                <w:sz w:val="19"/>
              </w:rPr>
              <w:t>项目组织良</w:t>
            </w:r>
          </w:p>
          <w:p w14:paraId="5AF334DB">
            <w:pPr>
              <w:widowControl/>
              <w:autoSpaceDE w:val="0"/>
              <w:autoSpaceDN w:val="0"/>
              <w:spacing w:before="40" w:after="0" w:line="190" w:lineRule="exact"/>
              <w:ind w:left="0" w:right="0" w:firstLine="0"/>
              <w:jc w:val="center"/>
            </w:pPr>
            <w:r>
              <w:rPr>
                <w:rFonts w:ascii="cNtkqcMC+SimSun" w:hAnsi="cNtkqcMC+SimSun" w:eastAsia="cNtkqcMC+SimSun"/>
                <w:color w:val="000000"/>
                <w:sz w:val="19"/>
              </w:rPr>
              <w:t>好</w:t>
            </w:r>
          </w:p>
        </w:tc>
        <w:tc>
          <w:tcPr>
            <w:tcW w:w="2920" w:type="dxa"/>
            <w:tcBorders>
              <w:top w:val="single" w:color="000000" w:sz="6" w:space="0"/>
              <w:left w:val="single" w:color="000000" w:sz="4" w:space="0"/>
              <w:bottom w:val="single" w:color="000000" w:sz="4" w:space="0"/>
              <w:right w:val="single" w:color="000000" w:sz="4" w:space="0"/>
            </w:tcBorders>
            <w:tcMar>
              <w:left w:w="0" w:type="dxa"/>
              <w:right w:w="0" w:type="dxa"/>
            </w:tcMar>
          </w:tcPr>
          <w:p w14:paraId="7FF30A6C">
            <w:pPr>
              <w:widowControl/>
              <w:autoSpaceDE w:val="0"/>
              <w:autoSpaceDN w:val="0"/>
              <w:spacing w:before="0" w:after="0" w:line="230" w:lineRule="exact"/>
              <w:ind w:left="24" w:right="22" w:firstLine="0"/>
              <w:jc w:val="both"/>
            </w:pPr>
            <w:r>
              <w:rPr>
                <w:rFonts w:ascii="cNtkqcMC+SimSun" w:hAnsi="cNtkqcMC+SimSun" w:eastAsia="cNtkqcMC+SimSun"/>
                <w:color w:val="000000"/>
                <w:sz w:val="19"/>
              </w:rPr>
              <w:t>项目及时开展，按照相关规定和程序开展。强化财政管理。完善全过程预算绩效管理流程。</w:t>
            </w:r>
          </w:p>
        </w:tc>
        <w:tc>
          <w:tcPr>
            <w:tcW w:w="4624" w:type="dxa"/>
            <w:tcBorders>
              <w:top w:val="single" w:color="000000" w:sz="6" w:space="0"/>
              <w:left w:val="single" w:color="000000" w:sz="4" w:space="0"/>
              <w:bottom w:val="single" w:color="000000" w:sz="4" w:space="0"/>
              <w:right w:val="single" w:color="000000" w:sz="6" w:space="0"/>
            </w:tcBorders>
            <w:tcMar>
              <w:left w:w="0" w:type="dxa"/>
              <w:right w:w="0" w:type="dxa"/>
            </w:tcMar>
          </w:tcPr>
          <w:p w14:paraId="54C3F3AC">
            <w:pPr>
              <w:widowControl/>
              <w:autoSpaceDE w:val="0"/>
              <w:autoSpaceDN w:val="0"/>
              <w:spacing w:before="38" w:after="0" w:line="190" w:lineRule="exact"/>
              <w:ind w:left="0" w:right="0" w:firstLine="0"/>
              <w:jc w:val="center"/>
            </w:pPr>
            <w:r>
              <w:rPr>
                <w:rFonts w:ascii="cNtkqcMC+SimSun" w:hAnsi="cNtkqcMC+SimSun" w:eastAsia="cNtkqcMC+SimSun"/>
                <w:color w:val="000000"/>
                <w:sz w:val="19"/>
              </w:rPr>
              <w:t>项目及时开展，按照相关规定和程序开展。强化财政管</w:t>
            </w:r>
          </w:p>
          <w:p w14:paraId="591414BA">
            <w:pPr>
              <w:widowControl/>
              <w:autoSpaceDE w:val="0"/>
              <w:autoSpaceDN w:val="0"/>
              <w:spacing w:before="40" w:after="0" w:line="192" w:lineRule="exact"/>
              <w:ind w:left="26" w:right="0" w:firstLine="0"/>
              <w:jc w:val="left"/>
            </w:pPr>
            <w:r>
              <w:rPr>
                <w:rFonts w:ascii="cNtkqcMC+SimSun" w:hAnsi="cNtkqcMC+SimSun" w:eastAsia="cNtkqcMC+SimSun"/>
                <w:color w:val="000000"/>
                <w:sz w:val="19"/>
              </w:rPr>
              <w:t>理。完善全过程预算绩效管理流程。</w:t>
            </w:r>
          </w:p>
        </w:tc>
        <w:tc>
          <w:tcPr>
            <w:tcW w:w="2544" w:type="dxa"/>
            <w:tcBorders>
              <w:top w:val="single" w:color="000000" w:sz="6" w:space="0"/>
              <w:left w:val="single" w:color="000000" w:sz="6" w:space="0"/>
              <w:bottom w:val="single" w:color="000000" w:sz="4" w:space="0"/>
              <w:right w:val="single" w:color="000000" w:sz="6" w:space="0"/>
            </w:tcBorders>
            <w:tcMar>
              <w:left w:w="0" w:type="dxa"/>
              <w:right w:w="0" w:type="dxa"/>
            </w:tcMar>
          </w:tcPr>
          <w:p w14:paraId="798CE350">
            <w:pPr>
              <w:widowControl/>
              <w:autoSpaceDE w:val="0"/>
              <w:autoSpaceDN w:val="0"/>
              <w:spacing w:before="0" w:after="0" w:line="230" w:lineRule="exact"/>
              <w:ind w:left="22" w:right="0" w:firstLine="0"/>
              <w:jc w:val="left"/>
            </w:pPr>
            <w:r>
              <w:rPr>
                <w:rFonts w:ascii="cNtkqcMC+SimSun" w:hAnsi="cNtkqcMC+SimSun" w:eastAsia="cNtkqcMC+SimSun"/>
                <w:color w:val="000000"/>
                <w:sz w:val="19"/>
              </w:rPr>
              <w:t>项目及时开展，按照相关规定和程序开展。强化财政管理。完善全过程预算绩效管理流程。</w:t>
            </w:r>
          </w:p>
        </w:tc>
        <w:tc>
          <w:tcPr>
            <w:tcW w:w="2386" w:type="dxa"/>
            <w:tcBorders>
              <w:top w:val="single" w:color="000000" w:sz="6" w:space="0"/>
              <w:left w:val="single" w:color="000000" w:sz="6" w:space="0"/>
              <w:bottom w:val="single" w:color="000000" w:sz="4" w:space="0"/>
              <w:right w:val="single" w:color="000000" w:sz="4" w:space="0"/>
            </w:tcBorders>
            <w:tcMar>
              <w:left w:w="0" w:type="dxa"/>
              <w:right w:w="0" w:type="dxa"/>
            </w:tcMar>
          </w:tcPr>
          <w:p w14:paraId="459466C3">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r>
    </w:tbl>
    <w:p w14:paraId="4BFFD177">
      <w:pPr>
        <w:widowControl/>
        <w:autoSpaceDE w:val="0"/>
        <w:autoSpaceDN w:val="0"/>
        <w:spacing w:before="0" w:after="0" w:line="14" w:lineRule="exact"/>
        <w:ind w:left="0" w:right="0"/>
      </w:pPr>
    </w:p>
    <w:p w14:paraId="52A27AC3">
      <w:pPr>
        <w:sectPr>
          <w:pgSz w:w="16837" w:h="11905"/>
          <w:pgMar w:top="718" w:right="1212" w:bottom="1396" w:left="1076" w:header="720" w:footer="720" w:gutter="0"/>
          <w:cols w:equalWidth="0" w:num="1">
            <w:col w:w="14548"/>
          </w:cols>
          <w:docGrid w:linePitch="360" w:charSpace="0"/>
        </w:sectPr>
      </w:pPr>
    </w:p>
    <w:p w14:paraId="455B1678">
      <w:pPr>
        <w:widowControl/>
        <w:autoSpaceDE w:val="0"/>
        <w:autoSpaceDN w:val="0"/>
        <w:spacing w:before="0" w:after="0" w:line="74" w:lineRule="exact"/>
        <w:ind w:left="0" w:right="0"/>
      </w:pPr>
    </w:p>
    <w:p w14:paraId="6BF75512">
      <w:pPr>
        <w:widowControl/>
        <w:autoSpaceDE w:val="0"/>
        <w:autoSpaceDN w:val="0"/>
        <w:spacing w:before="0" w:after="0" w:line="192" w:lineRule="exact"/>
        <w:ind w:left="60" w:right="0" w:firstLine="0"/>
        <w:jc w:val="left"/>
      </w:pPr>
      <w:r>
        <w:rPr>
          <w:rFonts w:ascii="cNtkqcMC+SimSun" w:hAnsi="cNtkqcMC+SimSun" w:eastAsia="cNtkqcMC+SimSun"/>
          <w:color w:val="000000"/>
          <w:sz w:val="19"/>
        </w:rPr>
        <w:t>预算执行</w:t>
      </w:r>
    </w:p>
    <w:p w14:paraId="320077CF">
      <w:pPr>
        <w:widowControl/>
        <w:autoSpaceDE w:val="0"/>
        <w:autoSpaceDN w:val="0"/>
        <w:spacing w:before="40" w:after="874" w:line="190" w:lineRule="exact"/>
        <w:ind w:left="248" w:right="0" w:firstLine="0"/>
        <w:jc w:val="left"/>
      </w:pPr>
      <w:r>
        <w:rPr>
          <w:rFonts w:ascii="cNtkqcMC+SimSun" w:hAnsi="cNtkqcMC+SimSun" w:eastAsia="cNtkqcMC+SimSun"/>
          <w:color w:val="000000"/>
          <w:sz w:val="19"/>
        </w:rPr>
        <w:t>有效</w:t>
      </w:r>
    </w:p>
    <w:tbl>
      <w:tblPr>
        <w:tblStyle w:val="2"/>
        <w:tblW w:w="0" w:type="auto"/>
        <w:tblInd w:w="6" w:type="dxa"/>
        <w:tblLayout w:type="fixed"/>
        <w:tblCellMar>
          <w:top w:w="0" w:type="dxa"/>
          <w:left w:w="108" w:type="dxa"/>
          <w:bottom w:w="0" w:type="dxa"/>
          <w:right w:w="108" w:type="dxa"/>
        </w:tblCellMar>
      </w:tblPr>
      <w:tblGrid>
        <w:gridCol w:w="854"/>
        <w:gridCol w:w="1188"/>
        <w:gridCol w:w="2920"/>
        <w:gridCol w:w="4624"/>
        <w:gridCol w:w="2544"/>
        <w:gridCol w:w="2386"/>
      </w:tblGrid>
      <w:tr w14:paraId="03A69DA3">
        <w:tblPrEx>
          <w:tblCellMar>
            <w:top w:w="0" w:type="dxa"/>
            <w:left w:w="108" w:type="dxa"/>
            <w:bottom w:w="0" w:type="dxa"/>
            <w:right w:w="108" w:type="dxa"/>
          </w:tblCellMar>
        </w:tblPrEx>
        <w:trPr>
          <w:trHeight w:val="1512" w:hRule="exact"/>
        </w:trPr>
        <w:tc>
          <w:tcPr>
            <w:tcW w:w="854" w:type="dxa"/>
            <w:tcBorders>
              <w:left w:val="single" w:color="000000" w:sz="4" w:space="0"/>
              <w:bottom w:val="single" w:color="000000" w:sz="4" w:space="0"/>
              <w:right w:val="single" w:color="000000" w:sz="4" w:space="0"/>
            </w:tcBorders>
            <w:tcMar>
              <w:left w:w="0" w:type="dxa"/>
              <w:right w:w="0" w:type="dxa"/>
            </w:tcMar>
          </w:tcPr>
          <w:p w14:paraId="769E09E0"/>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DE767F">
            <w:pPr>
              <w:widowControl/>
              <w:autoSpaceDE w:val="0"/>
              <w:autoSpaceDN w:val="0"/>
              <w:spacing w:before="548" w:after="0" w:line="192" w:lineRule="exact"/>
              <w:ind w:left="0" w:right="0" w:firstLine="0"/>
              <w:jc w:val="center"/>
            </w:pPr>
            <w:r>
              <w:rPr>
                <w:rFonts w:ascii="cNtkqcMC+SimSun" w:hAnsi="cNtkqcMC+SimSun" w:eastAsia="cNtkqcMC+SimSun"/>
                <w:color w:val="000000"/>
                <w:sz w:val="19"/>
              </w:rPr>
              <w:t>“三公经费</w:t>
            </w:r>
          </w:p>
          <w:p w14:paraId="04997173">
            <w:pPr>
              <w:widowControl/>
              <w:autoSpaceDE w:val="0"/>
              <w:autoSpaceDN w:val="0"/>
              <w:spacing w:before="40" w:after="0" w:line="190" w:lineRule="exact"/>
              <w:ind w:left="0" w:right="0" w:firstLine="0"/>
              <w:jc w:val="center"/>
            </w:pPr>
            <w:r>
              <w:rPr>
                <w:rFonts w:ascii="cNtkqcMC+SimSun" w:hAnsi="cNtkqcMC+SimSun" w:eastAsia="cNtkqcMC+SimSun"/>
                <w:color w:val="000000"/>
                <w:sz w:val="19"/>
              </w:rPr>
              <w:t>”节支增效</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8CBE2D7">
            <w:pPr>
              <w:widowControl/>
              <w:autoSpaceDE w:val="0"/>
              <w:autoSpaceDN w:val="0"/>
              <w:spacing w:before="38" w:after="0" w:line="190" w:lineRule="exact"/>
              <w:ind w:left="0" w:right="0" w:firstLine="0"/>
              <w:jc w:val="center"/>
            </w:pPr>
            <w:r>
              <w:rPr>
                <w:rFonts w:ascii="cNtkqcMC+SimSun" w:hAnsi="cNtkqcMC+SimSun" w:eastAsia="cNtkqcMC+SimSun"/>
                <w:color w:val="000000"/>
                <w:sz w:val="19"/>
              </w:rPr>
              <w:t>三公经费执行过程中严格执行相关</w:t>
            </w:r>
          </w:p>
          <w:p w14:paraId="5AB1129F">
            <w:pPr>
              <w:widowControl/>
              <w:autoSpaceDE w:val="0"/>
              <w:autoSpaceDN w:val="0"/>
              <w:spacing w:before="40" w:after="0" w:line="192" w:lineRule="exact"/>
              <w:ind w:left="24" w:right="0" w:firstLine="0"/>
              <w:jc w:val="left"/>
            </w:pPr>
            <w:r>
              <w:rPr>
                <w:rFonts w:ascii="cNtkqcMC+SimSun" w:hAnsi="cNtkqcMC+SimSun" w:eastAsia="cNtkqcMC+SimSun"/>
                <w:color w:val="000000"/>
                <w:sz w:val="19"/>
              </w:rPr>
              <w:t>规定。</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7D304757">
            <w:pPr>
              <w:widowControl/>
              <w:autoSpaceDE w:val="0"/>
              <w:autoSpaceDN w:val="0"/>
              <w:spacing w:before="0" w:after="0" w:line="230" w:lineRule="exact"/>
              <w:ind w:left="26" w:right="0" w:firstLine="0"/>
              <w:jc w:val="left"/>
            </w:pPr>
            <w:r>
              <w:rPr>
                <w:rFonts w:ascii="cNtkqcMC+SimSun" w:hAnsi="cNtkqcMC+SimSun" w:eastAsia="cNtkqcMC+SimSun"/>
                <w:color w:val="000000"/>
                <w:sz w:val="19"/>
              </w:rPr>
              <w:t>2025年部门“三公”经费支出54.30万元，比上年支出数减少96.87万元，其中：1.因公出国（境）费支出0万元，比上年支出增加0万元，主要原因是我单位未安排因公出国（境）费；2.公务接待费0万元，比上年支出增加0万元；3.公务用车购置及运行维护费支出54.30万元，比上年支出数减少96.87万元。</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3CB6CBE3">
            <w:pPr>
              <w:widowControl/>
              <w:autoSpaceDE w:val="0"/>
              <w:autoSpaceDN w:val="0"/>
              <w:spacing w:before="38" w:after="0" w:line="190" w:lineRule="exact"/>
              <w:ind w:left="0" w:right="0" w:firstLine="0"/>
              <w:jc w:val="center"/>
            </w:pPr>
            <w:r>
              <w:rPr>
                <w:rFonts w:ascii="cNtkqcMC+SimSun" w:hAnsi="cNtkqcMC+SimSun" w:eastAsia="cNtkqcMC+SimSun"/>
                <w:color w:val="000000"/>
                <w:sz w:val="19"/>
              </w:rPr>
              <w:t>三公经费执行过程中已严格执</w:t>
            </w:r>
          </w:p>
          <w:p w14:paraId="25BB9AEA">
            <w:pPr>
              <w:widowControl/>
              <w:autoSpaceDE w:val="0"/>
              <w:autoSpaceDN w:val="0"/>
              <w:spacing w:before="40" w:after="0" w:line="192" w:lineRule="exact"/>
              <w:ind w:left="22" w:right="0" w:firstLine="0"/>
              <w:jc w:val="left"/>
            </w:pPr>
            <w:r>
              <w:rPr>
                <w:rFonts w:ascii="cNtkqcMC+SimSun" w:hAnsi="cNtkqcMC+SimSun" w:eastAsia="cNtkqcMC+SimSun"/>
                <w:color w:val="000000"/>
                <w:sz w:val="19"/>
              </w:rPr>
              <w:t>行相关规定。</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1B4CA342">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r>
      <w:tr w14:paraId="3BF8BB4A">
        <w:tblPrEx>
          <w:tblCellMar>
            <w:top w:w="0" w:type="dxa"/>
            <w:left w:w="108" w:type="dxa"/>
            <w:bottom w:w="0" w:type="dxa"/>
            <w:right w:w="108" w:type="dxa"/>
          </w:tblCellMar>
        </w:tblPrEx>
        <w:trPr>
          <w:trHeight w:val="1232" w:hRule="exact"/>
        </w:trPr>
        <w:tc>
          <w:tcPr>
            <w:tcW w:w="85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3AAA975">
            <w:pPr>
              <w:widowControl/>
              <w:autoSpaceDE w:val="0"/>
              <w:autoSpaceDN w:val="0"/>
              <w:spacing w:before="1642" w:after="0" w:line="192" w:lineRule="exact"/>
              <w:ind w:left="0" w:right="0" w:firstLine="0"/>
              <w:jc w:val="center"/>
            </w:pPr>
            <w:r>
              <w:rPr>
                <w:rFonts w:ascii="cNtkqcMC+SimSun" w:hAnsi="cNtkqcMC+SimSun" w:eastAsia="cNtkqcMC+SimSun"/>
                <w:color w:val="000000"/>
                <w:sz w:val="19"/>
              </w:rPr>
              <w:t>预算管理</w:t>
            </w:r>
          </w:p>
          <w:p w14:paraId="623B6DF8">
            <w:pPr>
              <w:widowControl/>
              <w:autoSpaceDE w:val="0"/>
              <w:autoSpaceDN w:val="0"/>
              <w:spacing w:before="40" w:after="0" w:line="190" w:lineRule="exact"/>
              <w:ind w:left="0" w:right="0" w:firstLine="0"/>
              <w:jc w:val="center"/>
            </w:pPr>
            <w:r>
              <w:rPr>
                <w:rFonts w:ascii="cNtkqcMC+SimSun" w:hAnsi="cNtkqcMC+SimSun" w:eastAsia="cNtkqcMC+SimSun"/>
                <w:color w:val="000000"/>
                <w:sz w:val="19"/>
              </w:rPr>
              <w:t>规范</w:t>
            </w:r>
          </w:p>
        </w:tc>
        <w:tc>
          <w:tcPr>
            <w:tcW w:w="1188" w:type="dxa"/>
            <w:tcBorders>
              <w:top w:val="single" w:color="000000" w:sz="4" w:space="0"/>
              <w:left w:val="single" w:color="000000" w:sz="4" w:space="0"/>
              <w:bottom w:val="single" w:color="000000" w:sz="6" w:space="0"/>
              <w:right w:val="single" w:color="000000" w:sz="4" w:space="0"/>
            </w:tcBorders>
            <w:tcMar>
              <w:left w:w="0" w:type="dxa"/>
              <w:right w:w="0" w:type="dxa"/>
            </w:tcMar>
          </w:tcPr>
          <w:p w14:paraId="287BEB23">
            <w:pPr>
              <w:widowControl/>
              <w:autoSpaceDE w:val="0"/>
              <w:autoSpaceDN w:val="0"/>
              <w:spacing w:before="410" w:after="0" w:line="190" w:lineRule="exact"/>
              <w:ind w:left="0" w:right="0" w:firstLine="0"/>
              <w:jc w:val="center"/>
            </w:pPr>
            <w:r>
              <w:rPr>
                <w:rFonts w:ascii="cNtkqcMC+SimSun" w:hAnsi="cNtkqcMC+SimSun" w:eastAsia="cNtkqcMC+SimSun"/>
                <w:color w:val="000000"/>
                <w:sz w:val="19"/>
              </w:rPr>
              <w:t>管理制度健</w:t>
            </w:r>
          </w:p>
          <w:p w14:paraId="41957C5A">
            <w:pPr>
              <w:widowControl/>
              <w:autoSpaceDE w:val="0"/>
              <w:autoSpaceDN w:val="0"/>
              <w:spacing w:before="40" w:after="0" w:line="192" w:lineRule="exact"/>
              <w:ind w:left="0" w:right="0" w:firstLine="0"/>
              <w:jc w:val="center"/>
            </w:pPr>
            <w:r>
              <w:rPr>
                <w:rFonts w:ascii="cNtkqcMC+SimSun" w:hAnsi="cNtkqcMC+SimSun" w:eastAsia="cNtkqcMC+SimSun"/>
                <w:color w:val="000000"/>
                <w:sz w:val="19"/>
              </w:rPr>
              <w:t>全</w:t>
            </w:r>
          </w:p>
        </w:tc>
        <w:tc>
          <w:tcPr>
            <w:tcW w:w="2920" w:type="dxa"/>
            <w:tcBorders>
              <w:top w:val="single" w:color="000000" w:sz="4" w:space="0"/>
              <w:left w:val="single" w:color="000000" w:sz="4" w:space="0"/>
              <w:bottom w:val="single" w:color="000000" w:sz="6" w:space="0"/>
              <w:right w:val="single" w:color="000000" w:sz="4" w:space="0"/>
            </w:tcBorders>
            <w:tcMar>
              <w:left w:w="0" w:type="dxa"/>
              <w:right w:w="0" w:type="dxa"/>
            </w:tcMar>
          </w:tcPr>
          <w:p w14:paraId="21BA8D36">
            <w:pPr>
              <w:widowControl/>
              <w:autoSpaceDE w:val="0"/>
              <w:autoSpaceDN w:val="0"/>
              <w:spacing w:before="0" w:after="0" w:line="230" w:lineRule="exact"/>
              <w:ind w:left="24" w:right="32" w:firstLine="0"/>
              <w:jc w:val="both"/>
            </w:pPr>
            <w:r>
              <w:rPr>
                <w:rFonts w:ascii="cNtkqcMC+SimSun" w:hAnsi="cNtkqcMC+SimSun" w:eastAsia="cNtkqcMC+SimSun"/>
                <w:color w:val="000000"/>
                <w:sz w:val="19"/>
              </w:rPr>
              <w:t>建立部门内部控制制度，财务管理制度、资产管理制度和“三重一大”事项集体决策制度</w:t>
            </w:r>
          </w:p>
        </w:tc>
        <w:tc>
          <w:tcPr>
            <w:tcW w:w="4624" w:type="dxa"/>
            <w:tcBorders>
              <w:top w:val="single" w:color="000000" w:sz="4" w:space="0"/>
              <w:left w:val="single" w:color="000000" w:sz="4" w:space="0"/>
              <w:bottom w:val="single" w:color="000000" w:sz="6" w:space="0"/>
              <w:right w:val="single" w:color="000000" w:sz="6" w:space="0"/>
            </w:tcBorders>
            <w:tcMar>
              <w:left w:w="0" w:type="dxa"/>
              <w:right w:w="0" w:type="dxa"/>
            </w:tcMar>
          </w:tcPr>
          <w:p w14:paraId="5D981D3D">
            <w:pPr>
              <w:widowControl/>
              <w:autoSpaceDE w:val="0"/>
              <w:autoSpaceDN w:val="0"/>
              <w:spacing w:before="38" w:after="0" w:line="190" w:lineRule="exact"/>
              <w:ind w:left="0" w:right="0" w:firstLine="0"/>
              <w:jc w:val="center"/>
            </w:pPr>
            <w:r>
              <w:rPr>
                <w:rFonts w:ascii="cNtkqcMC+SimSun" w:hAnsi="cNtkqcMC+SimSun" w:eastAsia="cNtkqcMC+SimSun"/>
                <w:color w:val="000000"/>
                <w:sz w:val="19"/>
              </w:rPr>
              <w:t>建立部门内部控制制度，财务管理制度、资产管理制度</w:t>
            </w:r>
          </w:p>
          <w:p w14:paraId="408986B2">
            <w:pPr>
              <w:widowControl/>
              <w:autoSpaceDE w:val="0"/>
              <w:autoSpaceDN w:val="0"/>
              <w:spacing w:before="40" w:after="0" w:line="192" w:lineRule="exact"/>
              <w:ind w:left="26" w:right="0" w:firstLine="0"/>
              <w:jc w:val="left"/>
            </w:pPr>
            <w:r>
              <w:rPr>
                <w:rFonts w:ascii="cNtkqcMC+SimSun" w:hAnsi="cNtkqcMC+SimSun" w:eastAsia="cNtkqcMC+SimSun"/>
                <w:color w:val="000000"/>
                <w:sz w:val="19"/>
              </w:rPr>
              <w:t>和“三重一大”事项集体决策制度</w:t>
            </w:r>
          </w:p>
        </w:tc>
        <w:tc>
          <w:tcPr>
            <w:tcW w:w="2544" w:type="dxa"/>
            <w:tcBorders>
              <w:top w:val="single" w:color="000000" w:sz="4" w:space="0"/>
              <w:left w:val="single" w:color="000000" w:sz="6" w:space="0"/>
              <w:bottom w:val="single" w:color="000000" w:sz="6" w:space="0"/>
              <w:right w:val="single" w:color="000000" w:sz="6" w:space="0"/>
            </w:tcBorders>
            <w:tcMar>
              <w:left w:w="0" w:type="dxa"/>
              <w:right w:w="0" w:type="dxa"/>
            </w:tcMar>
          </w:tcPr>
          <w:p w14:paraId="2FDF7072">
            <w:pPr>
              <w:widowControl/>
              <w:autoSpaceDE w:val="0"/>
              <w:autoSpaceDN w:val="0"/>
              <w:spacing w:before="0" w:after="0" w:line="230" w:lineRule="exact"/>
              <w:ind w:left="22" w:right="22" w:firstLine="0"/>
              <w:jc w:val="both"/>
            </w:pPr>
            <w:r>
              <w:rPr>
                <w:rFonts w:ascii="cNtkqcMC+SimSun" w:hAnsi="cNtkqcMC+SimSun" w:eastAsia="cNtkqcMC+SimSun"/>
                <w:color w:val="000000"/>
                <w:sz w:val="19"/>
              </w:rPr>
              <w:t>建立部门内部控制制度，财务管理制度、资产管理制度和“三重一大”事项集体决策制度</w:t>
            </w:r>
          </w:p>
        </w:tc>
        <w:tc>
          <w:tcPr>
            <w:tcW w:w="2386" w:type="dxa"/>
            <w:tcBorders>
              <w:top w:val="single" w:color="000000" w:sz="4" w:space="0"/>
              <w:left w:val="single" w:color="000000" w:sz="6" w:space="0"/>
              <w:bottom w:val="single" w:color="000000" w:sz="6" w:space="0"/>
              <w:right w:val="single" w:color="000000" w:sz="4" w:space="0"/>
            </w:tcBorders>
            <w:tcMar>
              <w:left w:w="0" w:type="dxa"/>
              <w:right w:w="0" w:type="dxa"/>
            </w:tcMar>
          </w:tcPr>
          <w:p w14:paraId="4E55EF04">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r>
      <w:tr w14:paraId="18B70FAC">
        <w:tblPrEx>
          <w:tblCellMar>
            <w:top w:w="0" w:type="dxa"/>
            <w:left w:w="108" w:type="dxa"/>
            <w:bottom w:w="0" w:type="dxa"/>
            <w:right w:w="108" w:type="dxa"/>
          </w:tblCellMar>
        </w:tblPrEx>
        <w:trPr>
          <w:trHeight w:val="1232" w:hRule="exact"/>
        </w:trPr>
        <w:tc>
          <w:tcPr>
            <w:tcW w:w="2425" w:type="dxa"/>
            <w:vMerge w:val="continue"/>
            <w:tcBorders>
              <w:top w:val="single" w:color="000000" w:sz="4" w:space="0"/>
              <w:left w:val="single" w:color="000000" w:sz="4" w:space="0"/>
              <w:bottom w:val="single" w:color="000000" w:sz="4" w:space="0"/>
              <w:right w:val="single" w:color="000000" w:sz="4" w:space="0"/>
            </w:tcBorders>
          </w:tcPr>
          <w:p w14:paraId="3FF0CB54"/>
        </w:tc>
        <w:tc>
          <w:tcPr>
            <w:tcW w:w="1188" w:type="dxa"/>
            <w:tcBorders>
              <w:top w:val="single" w:color="000000" w:sz="6" w:space="0"/>
              <w:left w:val="single" w:color="000000" w:sz="4" w:space="0"/>
              <w:bottom w:val="single" w:color="000000" w:sz="4" w:space="0"/>
              <w:right w:val="single" w:color="000000" w:sz="4" w:space="0"/>
            </w:tcBorders>
            <w:tcMar>
              <w:left w:w="0" w:type="dxa"/>
              <w:right w:w="0" w:type="dxa"/>
            </w:tcMar>
          </w:tcPr>
          <w:p w14:paraId="424B2485">
            <w:pPr>
              <w:widowControl/>
              <w:autoSpaceDE w:val="0"/>
              <w:autoSpaceDN w:val="0"/>
              <w:spacing w:before="408" w:after="0" w:line="192" w:lineRule="exact"/>
              <w:ind w:left="0" w:right="0" w:firstLine="0"/>
              <w:jc w:val="center"/>
            </w:pPr>
            <w:r>
              <w:rPr>
                <w:rFonts w:ascii="cNtkqcMC+SimSun" w:hAnsi="cNtkqcMC+SimSun" w:eastAsia="cNtkqcMC+SimSun"/>
                <w:color w:val="000000"/>
                <w:sz w:val="19"/>
              </w:rPr>
              <w:t>信息公开及</w:t>
            </w:r>
          </w:p>
          <w:p w14:paraId="5020A32C">
            <w:pPr>
              <w:widowControl/>
              <w:autoSpaceDE w:val="0"/>
              <w:autoSpaceDN w:val="0"/>
              <w:spacing w:before="40" w:after="0" w:line="190" w:lineRule="exact"/>
              <w:ind w:left="0" w:right="0" w:firstLine="0"/>
              <w:jc w:val="center"/>
            </w:pPr>
            <w:r>
              <w:rPr>
                <w:rFonts w:ascii="cNtkqcMC+SimSun" w:hAnsi="cNtkqcMC+SimSun" w:eastAsia="cNtkqcMC+SimSun"/>
                <w:color w:val="000000"/>
                <w:sz w:val="19"/>
              </w:rPr>
              <w:t>时完整</w:t>
            </w:r>
          </w:p>
        </w:tc>
        <w:tc>
          <w:tcPr>
            <w:tcW w:w="2920" w:type="dxa"/>
            <w:tcBorders>
              <w:top w:val="single" w:color="000000" w:sz="6" w:space="0"/>
              <w:left w:val="single" w:color="000000" w:sz="4" w:space="0"/>
              <w:bottom w:val="single" w:color="000000" w:sz="4" w:space="0"/>
              <w:right w:val="single" w:color="000000" w:sz="4" w:space="0"/>
            </w:tcBorders>
            <w:tcMar>
              <w:left w:w="0" w:type="dxa"/>
              <w:right w:w="0" w:type="dxa"/>
            </w:tcMar>
          </w:tcPr>
          <w:p w14:paraId="73BDA40D">
            <w:pPr>
              <w:widowControl/>
              <w:autoSpaceDE w:val="0"/>
              <w:autoSpaceDN w:val="0"/>
              <w:spacing w:before="38" w:after="0" w:line="190" w:lineRule="exact"/>
              <w:ind w:left="24" w:right="0" w:firstLine="0"/>
              <w:jc w:val="left"/>
            </w:pPr>
            <w:r>
              <w:rPr>
                <w:rFonts w:ascii="cNtkqcMC+SimSun" w:hAnsi="cNtkqcMC+SimSun" w:eastAsia="cNtkqcMC+SimSun"/>
                <w:color w:val="000000"/>
                <w:sz w:val="19"/>
              </w:rPr>
              <w:t>预决算按时公开。</w:t>
            </w:r>
          </w:p>
        </w:tc>
        <w:tc>
          <w:tcPr>
            <w:tcW w:w="4624" w:type="dxa"/>
            <w:tcBorders>
              <w:top w:val="single" w:color="000000" w:sz="6" w:space="0"/>
              <w:left w:val="single" w:color="000000" w:sz="4" w:space="0"/>
              <w:bottom w:val="single" w:color="000000" w:sz="4" w:space="0"/>
              <w:right w:val="single" w:color="000000" w:sz="6" w:space="0"/>
            </w:tcBorders>
            <w:tcMar>
              <w:left w:w="0" w:type="dxa"/>
              <w:right w:w="0" w:type="dxa"/>
            </w:tcMar>
          </w:tcPr>
          <w:p w14:paraId="229D2877">
            <w:pPr>
              <w:widowControl/>
              <w:autoSpaceDE w:val="0"/>
              <w:autoSpaceDN w:val="0"/>
              <w:spacing w:before="38" w:after="0" w:line="190" w:lineRule="exact"/>
              <w:ind w:left="26" w:right="0" w:firstLine="0"/>
              <w:jc w:val="left"/>
            </w:pPr>
            <w:r>
              <w:rPr>
                <w:rFonts w:ascii="cNtkqcMC+SimSun" w:hAnsi="cNtkqcMC+SimSun" w:eastAsia="cNtkqcMC+SimSun"/>
                <w:color w:val="000000"/>
                <w:sz w:val="19"/>
              </w:rPr>
              <w:t>财政预决算已按相关要求按时公开。</w:t>
            </w:r>
          </w:p>
        </w:tc>
        <w:tc>
          <w:tcPr>
            <w:tcW w:w="2544" w:type="dxa"/>
            <w:tcBorders>
              <w:top w:val="single" w:color="000000" w:sz="6" w:space="0"/>
              <w:left w:val="single" w:color="000000" w:sz="6" w:space="0"/>
              <w:bottom w:val="single" w:color="000000" w:sz="4" w:space="0"/>
              <w:right w:val="single" w:color="000000" w:sz="6" w:space="0"/>
            </w:tcBorders>
            <w:tcMar>
              <w:left w:w="0" w:type="dxa"/>
              <w:right w:w="0" w:type="dxa"/>
            </w:tcMar>
          </w:tcPr>
          <w:p w14:paraId="4C07DE8F">
            <w:pPr>
              <w:widowControl/>
              <w:autoSpaceDE w:val="0"/>
              <w:autoSpaceDN w:val="0"/>
              <w:spacing w:before="38" w:after="0" w:line="190" w:lineRule="exact"/>
              <w:ind w:left="0" w:right="0" w:firstLine="0"/>
              <w:jc w:val="center"/>
            </w:pPr>
            <w:r>
              <w:rPr>
                <w:rFonts w:ascii="cNtkqcMC+SimSun" w:hAnsi="cNtkqcMC+SimSun" w:eastAsia="cNtkqcMC+SimSun"/>
                <w:color w:val="000000"/>
                <w:sz w:val="19"/>
              </w:rPr>
              <w:t>预决算已按预算编制时的要求</w:t>
            </w:r>
          </w:p>
          <w:p w14:paraId="0EB6E715">
            <w:pPr>
              <w:widowControl/>
              <w:autoSpaceDE w:val="0"/>
              <w:autoSpaceDN w:val="0"/>
              <w:spacing w:before="40" w:after="0" w:line="190" w:lineRule="exact"/>
              <w:ind w:left="22" w:right="0" w:firstLine="0"/>
              <w:jc w:val="left"/>
            </w:pPr>
            <w:r>
              <w:rPr>
                <w:rFonts w:ascii="cNtkqcMC+SimSun" w:hAnsi="cNtkqcMC+SimSun" w:eastAsia="cNtkqcMC+SimSun"/>
                <w:color w:val="000000"/>
                <w:sz w:val="19"/>
              </w:rPr>
              <w:t>按时公开。</w:t>
            </w:r>
          </w:p>
        </w:tc>
        <w:tc>
          <w:tcPr>
            <w:tcW w:w="2386" w:type="dxa"/>
            <w:tcBorders>
              <w:top w:val="single" w:color="000000" w:sz="6" w:space="0"/>
              <w:left w:val="single" w:color="000000" w:sz="6" w:space="0"/>
              <w:bottom w:val="single" w:color="000000" w:sz="4" w:space="0"/>
              <w:right w:val="single" w:color="000000" w:sz="4" w:space="0"/>
            </w:tcBorders>
            <w:tcMar>
              <w:left w:w="0" w:type="dxa"/>
              <w:right w:w="0" w:type="dxa"/>
            </w:tcMar>
          </w:tcPr>
          <w:p w14:paraId="58F61785">
            <w:pPr>
              <w:widowControl/>
              <w:autoSpaceDE w:val="0"/>
              <w:autoSpaceDN w:val="0"/>
              <w:spacing w:before="38" w:after="0" w:line="190" w:lineRule="exact"/>
              <w:ind w:left="24" w:right="0" w:firstLine="0"/>
              <w:jc w:val="left"/>
            </w:pPr>
            <w:r>
              <w:rPr>
                <w:rFonts w:ascii="cNtkqcMC+SimSun" w:hAnsi="cNtkqcMC+SimSun" w:eastAsia="cNtkqcMC+SimSun"/>
                <w:color w:val="000000"/>
                <w:sz w:val="19"/>
              </w:rPr>
              <w:t>无。</w:t>
            </w:r>
          </w:p>
        </w:tc>
      </w:tr>
      <w:tr w14:paraId="358D3572">
        <w:tblPrEx>
          <w:tblCellMar>
            <w:top w:w="0" w:type="dxa"/>
            <w:left w:w="108" w:type="dxa"/>
            <w:bottom w:w="0" w:type="dxa"/>
            <w:right w:w="108" w:type="dxa"/>
          </w:tblCellMar>
        </w:tblPrEx>
        <w:trPr>
          <w:trHeight w:val="1216" w:hRule="exact"/>
        </w:trPr>
        <w:tc>
          <w:tcPr>
            <w:tcW w:w="2425" w:type="dxa"/>
            <w:vMerge w:val="continue"/>
            <w:tcBorders>
              <w:top w:val="single" w:color="000000" w:sz="4" w:space="0"/>
              <w:left w:val="single" w:color="000000" w:sz="4" w:space="0"/>
              <w:bottom w:val="single" w:color="000000" w:sz="4" w:space="0"/>
              <w:right w:val="single" w:color="000000" w:sz="4" w:space="0"/>
            </w:tcBorders>
          </w:tcPr>
          <w:p w14:paraId="1917EBFF"/>
        </w:tc>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894571">
            <w:pPr>
              <w:widowControl/>
              <w:autoSpaceDE w:val="0"/>
              <w:autoSpaceDN w:val="0"/>
              <w:spacing w:before="412" w:after="0" w:line="192" w:lineRule="exact"/>
              <w:ind w:left="0" w:right="0" w:firstLine="0"/>
              <w:jc w:val="center"/>
            </w:pPr>
            <w:r>
              <w:rPr>
                <w:rFonts w:ascii="cNtkqcMC+SimSun" w:hAnsi="cNtkqcMC+SimSun" w:eastAsia="cNtkqcMC+SimSun"/>
                <w:color w:val="000000"/>
                <w:sz w:val="19"/>
              </w:rPr>
              <w:t>资产管理使</w:t>
            </w:r>
          </w:p>
          <w:p w14:paraId="56985F40">
            <w:pPr>
              <w:widowControl/>
              <w:autoSpaceDE w:val="0"/>
              <w:autoSpaceDN w:val="0"/>
              <w:spacing w:before="40" w:after="0" w:line="190" w:lineRule="exact"/>
              <w:ind w:left="0" w:right="0" w:firstLine="0"/>
              <w:jc w:val="center"/>
            </w:pPr>
            <w:r>
              <w:rPr>
                <w:rFonts w:ascii="cNtkqcMC+SimSun" w:hAnsi="cNtkqcMC+SimSun" w:eastAsia="cNtkqcMC+SimSun"/>
                <w:color w:val="000000"/>
                <w:sz w:val="19"/>
              </w:rPr>
              <w:t>用规范有效</w:t>
            </w:r>
          </w:p>
        </w:tc>
        <w:tc>
          <w:tcPr>
            <w:tcW w:w="2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94816F">
            <w:pPr>
              <w:widowControl/>
              <w:autoSpaceDE w:val="0"/>
              <w:autoSpaceDN w:val="0"/>
              <w:spacing w:before="2" w:after="0" w:line="230" w:lineRule="exact"/>
              <w:ind w:left="24" w:right="0" w:firstLine="0"/>
              <w:jc w:val="left"/>
            </w:pPr>
            <w:r>
              <w:rPr>
                <w:rFonts w:ascii="cNtkqcMC+SimSun" w:hAnsi="cNtkqcMC+SimSun" w:eastAsia="cNtkqcMC+SimSun"/>
                <w:color w:val="000000"/>
                <w:sz w:val="19"/>
              </w:rPr>
              <w:t>资产新增、处置按规定和程序报批，日常使用按内部制度进行登记领用管理。</w:t>
            </w:r>
          </w:p>
        </w:tc>
        <w:tc>
          <w:tcPr>
            <w:tcW w:w="4624" w:type="dxa"/>
            <w:tcBorders>
              <w:top w:val="single" w:color="000000" w:sz="4" w:space="0"/>
              <w:left w:val="single" w:color="000000" w:sz="4" w:space="0"/>
              <w:bottom w:val="single" w:color="000000" w:sz="4" w:space="0"/>
              <w:right w:val="single" w:color="000000" w:sz="6" w:space="0"/>
            </w:tcBorders>
            <w:tcMar>
              <w:left w:w="0" w:type="dxa"/>
              <w:right w:w="0" w:type="dxa"/>
            </w:tcMar>
          </w:tcPr>
          <w:p w14:paraId="3296BBF2">
            <w:pPr>
              <w:widowControl/>
              <w:autoSpaceDE w:val="0"/>
              <w:autoSpaceDN w:val="0"/>
              <w:spacing w:before="40" w:after="0" w:line="192" w:lineRule="exact"/>
              <w:ind w:left="0" w:right="0" w:firstLine="0"/>
              <w:jc w:val="center"/>
            </w:pPr>
            <w:r>
              <w:rPr>
                <w:rFonts w:ascii="cNtkqcMC+SimSun" w:hAnsi="cNtkqcMC+SimSun" w:eastAsia="cNtkqcMC+SimSun"/>
                <w:color w:val="000000"/>
                <w:sz w:val="19"/>
              </w:rPr>
              <w:t>资产新增、处置按规定和程序报批，日常使用按内部制</w:t>
            </w:r>
          </w:p>
          <w:p w14:paraId="5FB66482">
            <w:pPr>
              <w:widowControl/>
              <w:autoSpaceDE w:val="0"/>
              <w:autoSpaceDN w:val="0"/>
              <w:spacing w:before="40" w:after="0" w:line="190" w:lineRule="exact"/>
              <w:ind w:left="26" w:right="0" w:firstLine="0"/>
              <w:jc w:val="left"/>
            </w:pPr>
            <w:r>
              <w:rPr>
                <w:rFonts w:ascii="cNtkqcMC+SimSun" w:hAnsi="cNtkqcMC+SimSun" w:eastAsia="cNtkqcMC+SimSun"/>
                <w:color w:val="000000"/>
                <w:sz w:val="19"/>
              </w:rPr>
              <w:t>度进行登记领用管理。</w:t>
            </w:r>
          </w:p>
        </w:tc>
        <w:tc>
          <w:tcPr>
            <w:tcW w:w="2544" w:type="dxa"/>
            <w:tcBorders>
              <w:top w:val="single" w:color="000000" w:sz="4" w:space="0"/>
              <w:left w:val="single" w:color="000000" w:sz="6" w:space="0"/>
              <w:bottom w:val="single" w:color="000000" w:sz="4" w:space="0"/>
              <w:right w:val="single" w:color="000000" w:sz="6" w:space="0"/>
            </w:tcBorders>
            <w:tcMar>
              <w:left w:w="0" w:type="dxa"/>
              <w:right w:w="0" w:type="dxa"/>
            </w:tcMar>
          </w:tcPr>
          <w:p w14:paraId="19586640">
            <w:pPr>
              <w:widowControl/>
              <w:autoSpaceDE w:val="0"/>
              <w:autoSpaceDN w:val="0"/>
              <w:spacing w:before="2" w:after="0" w:line="230" w:lineRule="exact"/>
              <w:ind w:left="22" w:right="18" w:firstLine="0"/>
              <w:jc w:val="both"/>
            </w:pPr>
            <w:r>
              <w:rPr>
                <w:rFonts w:ascii="cNtkqcMC+SimSun" w:hAnsi="cNtkqcMC+SimSun" w:eastAsia="cNtkqcMC+SimSun"/>
                <w:color w:val="000000"/>
                <w:sz w:val="19"/>
              </w:rPr>
              <w:t>资产新增、处置按规定和程序报批，日常使用按内部制度进行登记领用管理。</w:t>
            </w:r>
          </w:p>
        </w:tc>
        <w:tc>
          <w:tcPr>
            <w:tcW w:w="2386" w:type="dxa"/>
            <w:tcBorders>
              <w:top w:val="single" w:color="000000" w:sz="4" w:space="0"/>
              <w:left w:val="single" w:color="000000" w:sz="6" w:space="0"/>
              <w:bottom w:val="single" w:color="000000" w:sz="4" w:space="0"/>
              <w:right w:val="single" w:color="000000" w:sz="4" w:space="0"/>
            </w:tcBorders>
            <w:tcMar>
              <w:left w:w="0" w:type="dxa"/>
              <w:right w:w="0" w:type="dxa"/>
            </w:tcMar>
          </w:tcPr>
          <w:p w14:paraId="47894985">
            <w:pPr>
              <w:widowControl/>
              <w:autoSpaceDE w:val="0"/>
              <w:autoSpaceDN w:val="0"/>
              <w:spacing w:before="40" w:after="0" w:line="192" w:lineRule="exact"/>
              <w:ind w:left="24" w:right="0" w:firstLine="0"/>
              <w:jc w:val="left"/>
            </w:pPr>
            <w:r>
              <w:rPr>
                <w:rFonts w:ascii="cNtkqcMC+SimSun" w:hAnsi="cNtkqcMC+SimSun" w:eastAsia="cNtkqcMC+SimSun"/>
                <w:color w:val="000000"/>
                <w:sz w:val="19"/>
              </w:rPr>
              <w:t>无。</w:t>
            </w:r>
          </w:p>
        </w:tc>
      </w:tr>
    </w:tbl>
    <w:p w14:paraId="2AFF4221">
      <w:pPr>
        <w:widowControl/>
        <w:autoSpaceDE w:val="0"/>
        <w:autoSpaceDN w:val="0"/>
        <w:spacing w:before="0" w:after="0" w:line="14" w:lineRule="exact"/>
        <w:ind w:left="0" w:right="0"/>
      </w:pPr>
    </w:p>
    <w:p w14:paraId="206A3EA7">
      <w:pPr>
        <w:sectPr>
          <w:pgSz w:w="16837" w:h="11905"/>
          <w:pgMar w:top="74" w:right="1212" w:bottom="1440" w:left="1076" w:header="720" w:footer="720" w:gutter="0"/>
          <w:cols w:equalWidth="0" w:num="1">
            <w:col w:w="14548"/>
          </w:cols>
          <w:docGrid w:linePitch="360" w:charSpace="0"/>
        </w:sectPr>
      </w:pPr>
    </w:p>
    <w:p w14:paraId="47DDD155">
      <w:pPr>
        <w:widowControl/>
        <w:autoSpaceDE w:val="0"/>
        <w:autoSpaceDN w:val="0"/>
        <w:spacing w:before="0" w:after="0" w:line="30" w:lineRule="exact"/>
        <w:ind w:left="0" w:right="0"/>
      </w:pPr>
    </w:p>
    <w:p w14:paraId="6B920A63">
      <w:pPr>
        <w:widowControl/>
        <w:autoSpaceDE w:val="0"/>
        <w:autoSpaceDN w:val="0"/>
        <w:spacing w:before="0" w:after="0" w:line="240" w:lineRule="auto"/>
        <w:ind w:left="0" w:right="0" w:firstLine="0"/>
        <w:jc w:val="center"/>
      </w:pPr>
      <w:r>
        <w:drawing>
          <wp:inline distT="0" distB="0" distL="114300" distR="114300">
            <wp:extent cx="11233150" cy="316547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11233150" cy="31654750"/>
                    </a:xfrm>
                    <a:prstGeom prst="rect">
                      <a:avLst/>
                    </a:prstGeom>
                  </pic:spPr>
                </pic:pic>
              </a:graphicData>
            </a:graphic>
          </wp:inline>
        </w:drawing>
      </w:r>
    </w:p>
    <w:p w14:paraId="08615440">
      <w:pPr>
        <w:sectPr>
          <w:pgSz w:w="17690" w:h="49990"/>
          <w:pgMar w:top="30" w:right="0" w:bottom="40" w:left="0" w:header="720" w:footer="720" w:gutter="0"/>
          <w:cols w:equalWidth="0" w:num="1">
            <w:col w:w="17690"/>
          </w:cols>
          <w:docGrid w:linePitch="360" w:charSpace="0"/>
        </w:sectPr>
      </w:pPr>
    </w:p>
    <w:p w14:paraId="01E5E0C4">
      <w:pPr>
        <w:widowControl/>
        <w:autoSpaceDE w:val="0"/>
        <w:autoSpaceDN w:val="0"/>
        <w:spacing w:before="534" w:after="0" w:line="220" w:lineRule="exact"/>
        <w:ind w:left="0" w:right="0"/>
      </w:pPr>
    </w:p>
    <w:p w14:paraId="0CE84652">
      <w:pPr>
        <w:widowControl/>
        <w:autoSpaceDE w:val="0"/>
        <w:autoSpaceDN w:val="0"/>
        <w:spacing w:before="0" w:after="0" w:line="506" w:lineRule="exact"/>
        <w:ind w:left="0" w:right="0" w:firstLine="0"/>
        <w:jc w:val="center"/>
      </w:pPr>
      <w:r>
        <w:rPr>
          <w:rFonts w:ascii="dZKensuH+DengXian" w:hAnsi="dZKensuH+DengXian" w:eastAsia="dZKensuH+DengXian"/>
          <w:color w:val="1F2229"/>
          <w:sz w:val="44"/>
        </w:rPr>
        <w:t>昆明市五华区</w:t>
      </w:r>
      <w:r>
        <w:rPr>
          <w:rFonts w:ascii="dZKensuH+DengXian" w:hAnsi="dZKensuH+DengXian" w:eastAsia="dZKensuH+DengXian"/>
          <w:color w:val="000000"/>
          <w:sz w:val="44"/>
        </w:rPr>
        <w:t>应急管理局</w:t>
      </w:r>
      <w:r>
        <w:rPr>
          <w:rFonts w:ascii="x21OYpwr+KSOF439AD144" w:hAnsi="x21OYpwr+KSOF439AD144" w:eastAsia="x21OYpwr+KSOF439AD144"/>
          <w:color w:val="1F2229"/>
          <w:sz w:val="44"/>
        </w:rPr>
        <w:t>2025</w:t>
      </w:r>
      <w:r>
        <w:rPr>
          <w:rFonts w:ascii="dZKensuH+DengXian" w:hAnsi="dZKensuH+DengXian" w:eastAsia="dZKensuH+DengXian"/>
          <w:color w:val="1F2229"/>
          <w:sz w:val="44"/>
        </w:rPr>
        <w:t>年度绩效自评</w:t>
      </w:r>
    </w:p>
    <w:p w14:paraId="13F638B6">
      <w:pPr>
        <w:widowControl/>
        <w:autoSpaceDE w:val="0"/>
        <w:autoSpaceDN w:val="0"/>
        <w:spacing w:before="78" w:after="0" w:line="456" w:lineRule="exact"/>
        <w:ind w:left="0" w:right="4322" w:firstLine="0"/>
        <w:jc w:val="right"/>
      </w:pPr>
      <w:r>
        <w:rPr>
          <w:rFonts w:ascii="dZKensuH+DengXian" w:hAnsi="dZKensuH+DengXian" w:eastAsia="dZKensuH+DengXian"/>
          <w:color w:val="1F2229"/>
          <w:sz w:val="44"/>
        </w:rPr>
        <w:t>报告</w:t>
      </w:r>
    </w:p>
    <w:p w14:paraId="7D0C407F">
      <w:pPr>
        <w:widowControl/>
        <w:autoSpaceDE w:val="0"/>
        <w:autoSpaceDN w:val="0"/>
        <w:spacing w:before="508" w:after="0" w:line="560" w:lineRule="exact"/>
        <w:ind w:left="146" w:right="0" w:firstLine="642"/>
        <w:jc w:val="left"/>
      </w:pPr>
      <w:r>
        <w:rPr>
          <w:rFonts w:ascii="WTRFWDrc+FangSong" w:hAnsi="WTRFWDrc+FangSong" w:eastAsia="WTRFWDrc+FangSong"/>
          <w:color w:val="1F2229"/>
          <w:sz w:val="32"/>
        </w:rPr>
        <w:t>为认真贯彻落实党中央</w:t>
      </w:r>
      <w:r>
        <w:rPr>
          <w:rFonts w:hint="eastAsia" w:ascii="WTRFWDrc+FangSong" w:hAnsi="WTRFWDrc+FangSong" w:eastAsia="宋体"/>
          <w:color w:val="1F2229"/>
          <w:sz w:val="32"/>
          <w:lang w:val="en-US" w:eastAsia="zh-CN"/>
        </w:rPr>
        <w:t xml:space="preserve"> </w:t>
      </w:r>
      <w:bookmarkStart w:id="0" w:name="_GoBack"/>
      <w:bookmarkEnd w:id="0"/>
      <w:r>
        <w:rPr>
          <w:rFonts w:ascii="WTRFWDrc+FangSong" w:hAnsi="WTRFWDrc+FangSong" w:eastAsia="WTRFWDrc+FangSong"/>
          <w:color w:val="1F2229"/>
          <w:sz w:val="32"/>
        </w:rPr>
        <w:t>国务院、省市区党委政府关于全面实施预算绩效管理的决策部署，健全绩效管理常态化机制，切实增强支出绩效意识，提高财政资金使用效益，根据《云南省财政厅关于印发〈云南省项目支出绩效评价管理办法〉的通知》（云财绩〔</w:t>
      </w:r>
      <w:r>
        <w:rPr>
          <w:rFonts w:ascii="vbvkBtaN+KSOFE44F9426" w:hAnsi="vbvkBtaN+KSOFE44F9426" w:eastAsia="vbvkBtaN+KSOFE44F9426"/>
          <w:color w:val="1F2229"/>
          <w:sz w:val="32"/>
        </w:rPr>
        <w:t>2020</w:t>
      </w:r>
      <w:r>
        <w:rPr>
          <w:rFonts w:ascii="WTRFWDrc+FangSong" w:hAnsi="WTRFWDrc+FangSong" w:eastAsia="WTRFWDrc+FangSong"/>
          <w:color w:val="1F2229"/>
          <w:sz w:val="32"/>
        </w:rPr>
        <w:t>〕</w:t>
      </w:r>
      <w:r>
        <w:rPr>
          <w:rFonts w:ascii="vbvkBtaN+KSOFE44F9426" w:hAnsi="vbvkBtaN+KSOFE44F9426" w:eastAsia="vbvkBtaN+KSOFE44F9426"/>
          <w:color w:val="1F2229"/>
          <w:sz w:val="32"/>
        </w:rPr>
        <w:t>11</w:t>
      </w:r>
      <w:r>
        <w:rPr>
          <w:rFonts w:ascii="WTRFWDrc+FangSong" w:hAnsi="WTRFWDrc+FangSong" w:eastAsia="WTRFWDrc+FangSong"/>
          <w:color w:val="1F2229"/>
          <w:sz w:val="32"/>
        </w:rPr>
        <w:t>号）、《五华区预算绩效自评管理暂行办法》（五财〔</w:t>
      </w:r>
      <w:r>
        <w:rPr>
          <w:rFonts w:ascii="vbvkBtaN+KSOFE44F9426" w:hAnsi="vbvkBtaN+KSOFE44F9426" w:eastAsia="vbvkBtaN+KSOFE44F9426"/>
          <w:color w:val="1F2229"/>
          <w:sz w:val="32"/>
        </w:rPr>
        <w:t>2019</w:t>
      </w:r>
      <w:r>
        <w:rPr>
          <w:rFonts w:ascii="WTRFWDrc+FangSong" w:hAnsi="WTRFWDrc+FangSong" w:eastAsia="WTRFWDrc+FangSong"/>
          <w:color w:val="1F2229"/>
          <w:sz w:val="32"/>
        </w:rPr>
        <w:t>〕</w:t>
      </w:r>
      <w:r>
        <w:rPr>
          <w:rFonts w:ascii="vbvkBtaN+KSOFE44F9426" w:hAnsi="vbvkBtaN+KSOFE44F9426" w:eastAsia="vbvkBtaN+KSOFE44F9426"/>
          <w:color w:val="1F2229"/>
          <w:sz w:val="32"/>
        </w:rPr>
        <w:t>51</w:t>
      </w:r>
      <w:r>
        <w:rPr>
          <w:rFonts w:ascii="WTRFWDrc+FangSong" w:hAnsi="WTRFWDrc+FangSong" w:eastAsia="WTRFWDrc+FangSong"/>
          <w:color w:val="1F2229"/>
          <w:sz w:val="32"/>
        </w:rPr>
        <w:t>号）等文件精神以及《五华区财政局关于开展</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年度预算支出绩效自评工作的通知》（五财〔</w:t>
      </w:r>
      <w:r>
        <w:rPr>
          <w:rFonts w:ascii="vbvkBtaN+KSOFE44F9426" w:hAnsi="vbvkBtaN+KSOFE44F9426" w:eastAsia="vbvkBtaN+KSOFE44F9426"/>
          <w:color w:val="1F2229"/>
          <w:sz w:val="32"/>
        </w:rPr>
        <w:t>2026</w:t>
      </w:r>
      <w:r>
        <w:rPr>
          <w:rFonts w:ascii="WTRFWDrc+FangSong" w:hAnsi="WTRFWDrc+FangSong" w:eastAsia="WTRFWDrc+FangSong"/>
          <w:color w:val="1F2229"/>
          <w:sz w:val="32"/>
        </w:rPr>
        <w:t>〕号）要求，我单位高度重视，精心部署，积极组织，认真对</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年度整体支出和所有项目支出开展了绩效自评工作，现将有关情况报告如下：</w:t>
      </w:r>
    </w:p>
    <w:p w14:paraId="7D147DFD">
      <w:pPr>
        <w:widowControl/>
        <w:autoSpaceDE w:val="0"/>
        <w:autoSpaceDN w:val="0"/>
        <w:spacing w:before="240" w:after="0" w:line="320" w:lineRule="exact"/>
        <w:ind w:left="788" w:right="0" w:firstLine="0"/>
        <w:jc w:val="left"/>
      </w:pPr>
      <w:r>
        <w:rPr>
          <w:rFonts w:ascii="ga2ghx6c+SimHei" w:hAnsi="ga2ghx6c+SimHei" w:eastAsia="ga2ghx6c+SimHei"/>
          <w:color w:val="1F2229"/>
          <w:sz w:val="32"/>
        </w:rPr>
        <w:t>一、工作情况</w:t>
      </w:r>
    </w:p>
    <w:p w14:paraId="7CBC1966">
      <w:pPr>
        <w:widowControl/>
        <w:tabs>
          <w:tab w:val="left" w:pos="788"/>
        </w:tabs>
        <w:autoSpaceDE w:val="0"/>
        <w:autoSpaceDN w:val="0"/>
        <w:spacing w:before="0" w:after="0" w:line="560" w:lineRule="exact"/>
        <w:ind w:left="146" w:right="144" w:firstLine="0"/>
        <w:jc w:val="left"/>
      </w:pPr>
      <w:r>
        <w:tab/>
      </w:r>
      <w:r>
        <w:rPr>
          <w:rFonts w:ascii="vSLHZXqE+KaiTi" w:hAnsi="vSLHZXqE+KaiTi" w:eastAsia="vSLHZXqE+KaiTi"/>
          <w:color w:val="1F2229"/>
          <w:sz w:val="32"/>
        </w:rPr>
        <w:t>（一）绩效自评工作开展情况</w:t>
      </w:r>
      <w:r>
        <w:br w:type="textWrapping"/>
      </w:r>
      <w:r>
        <w:tab/>
      </w:r>
      <w:r>
        <w:rPr>
          <w:rFonts w:ascii="WTRFWDrc+FangSong" w:hAnsi="WTRFWDrc+FangSong" w:eastAsia="WTRFWDrc+FangSong"/>
          <w:color w:val="1F2229"/>
          <w:sz w:val="32"/>
        </w:rPr>
        <w:t>为确保绩效自评工作有序推进、取得实效，我单位切实提高政治站位，将绩效自评作为强化预算管理、提升资金效能的重要举措，扎实开展各项工作。</w:t>
      </w:r>
    </w:p>
    <w:p w14:paraId="5F6E44C4">
      <w:pPr>
        <w:widowControl/>
        <w:autoSpaceDE w:val="0"/>
        <w:autoSpaceDN w:val="0"/>
        <w:spacing w:before="0" w:after="0" w:line="560" w:lineRule="exact"/>
        <w:ind w:left="146" w:right="180" w:firstLine="642"/>
        <w:jc w:val="both"/>
      </w:pPr>
      <w:r>
        <w:rPr>
          <w:rFonts w:ascii="WTRFWDrc+FangSong" w:hAnsi="WTRFWDrc+FangSong" w:eastAsia="WTRFWDrc+FangSong"/>
          <w:color w:val="1F2229"/>
          <w:sz w:val="32"/>
        </w:rPr>
        <w:t>一是成立自评工作组。由单位主要负责人任组长，分管负责人任副组长，各业务科室、财务科室负责人为成员，明确领导小组统筹协调、财务人员具体落实的工作机制，层层压实责任、细化任务分工，确保自评工作有人抓、有人管、有成效。</w:t>
      </w:r>
    </w:p>
    <w:p w14:paraId="791FBC87">
      <w:pPr>
        <w:widowControl/>
        <w:autoSpaceDE w:val="0"/>
        <w:autoSpaceDN w:val="0"/>
        <w:spacing w:before="0" w:after="0" w:line="560" w:lineRule="exact"/>
        <w:ind w:left="146" w:right="144" w:firstLine="642"/>
        <w:jc w:val="left"/>
      </w:pPr>
      <w:r>
        <w:rPr>
          <w:rFonts w:ascii="WTRFWDrc+FangSong" w:hAnsi="WTRFWDrc+FangSong" w:eastAsia="WTRFWDrc+FangSong"/>
          <w:color w:val="1F2229"/>
          <w:sz w:val="32"/>
        </w:rPr>
        <w:t>二是细化工作部署。结合单位实际，制定《</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年度预算支出绩效自评工作实施方案》，明确自评范围、评价标准、方法</w:t>
      </w:r>
    </w:p>
    <w:p w14:paraId="17EAE14E">
      <w:pPr>
        <w:widowControl/>
        <w:autoSpaceDE w:val="0"/>
        <w:autoSpaceDN w:val="0"/>
        <w:spacing w:before="858" w:after="0" w:line="286" w:lineRule="exact"/>
        <w:ind w:left="0" w:right="182" w:firstLine="0"/>
        <w:jc w:val="right"/>
      </w:pPr>
      <w:r>
        <w:rPr>
          <w:rFonts w:ascii="mj6kmDCF+Calibri" w:hAnsi="mj6kmDCF+Calibri" w:eastAsia="mj6kmDCF+Calibri"/>
          <w:color w:val="000000"/>
          <w:sz w:val="18"/>
        </w:rPr>
        <w:t>—</w:t>
      </w:r>
      <w:r>
        <w:rPr>
          <w:rFonts w:ascii="Ly7aSRLg+SimSun" w:hAnsi="Ly7aSRLg+SimSun" w:eastAsia="Ly7aSRLg+SimSun"/>
          <w:color w:val="000000"/>
          <w:sz w:val="28"/>
        </w:rPr>
        <w:t>1</w:t>
      </w:r>
      <w:r>
        <w:rPr>
          <w:rFonts w:ascii="mj6kmDCF+Calibri" w:hAnsi="mj6kmDCF+Calibri" w:eastAsia="mj6kmDCF+Calibri"/>
          <w:color w:val="000000"/>
          <w:sz w:val="18"/>
        </w:rPr>
        <w:t>—</w:t>
      </w:r>
    </w:p>
    <w:p w14:paraId="51DC4D26">
      <w:pPr>
        <w:sectPr>
          <w:pgSz w:w="11906" w:h="17238"/>
          <w:pgMar w:top="752" w:right="1296" w:bottom="440" w:left="1440" w:header="720" w:footer="720" w:gutter="0"/>
          <w:cols w:equalWidth="0" w:num="1">
            <w:col w:w="9170"/>
          </w:cols>
          <w:docGrid w:linePitch="360" w:charSpace="0"/>
        </w:sectPr>
      </w:pPr>
    </w:p>
    <w:p w14:paraId="558340D6">
      <w:pPr>
        <w:widowControl/>
        <w:autoSpaceDE w:val="0"/>
        <w:autoSpaceDN w:val="0"/>
        <w:spacing w:before="588" w:after="0" w:line="220" w:lineRule="exact"/>
        <w:ind w:left="0" w:right="0"/>
      </w:pPr>
    </w:p>
    <w:p w14:paraId="0E685F94">
      <w:pPr>
        <w:widowControl/>
        <w:autoSpaceDE w:val="0"/>
        <w:autoSpaceDN w:val="0"/>
        <w:spacing w:before="0" w:after="0" w:line="440" w:lineRule="exact"/>
        <w:ind w:left="146" w:right="288" w:firstLine="0"/>
        <w:jc w:val="left"/>
      </w:pPr>
      <w:r>
        <w:rPr>
          <w:rFonts w:ascii="WTRFWDrc+FangSong" w:hAnsi="WTRFWDrc+FangSong" w:eastAsia="WTRFWDrc+FangSong"/>
          <w:color w:val="1F2229"/>
          <w:sz w:val="32"/>
        </w:rPr>
        <w:t>步骤、时间节点和责任分工，下发至各相关科室，确保自评工作有章可循、有据可依、规范有序。</w:t>
      </w:r>
    </w:p>
    <w:p w14:paraId="61E09FEF">
      <w:pPr>
        <w:widowControl/>
        <w:autoSpaceDE w:val="0"/>
        <w:autoSpaceDN w:val="0"/>
        <w:spacing w:before="0" w:after="0" w:line="560" w:lineRule="exact"/>
        <w:ind w:left="146" w:right="0" w:firstLine="642"/>
        <w:jc w:val="left"/>
      </w:pPr>
      <w:r>
        <w:rPr>
          <w:rFonts w:ascii="WTRFWDrc+FangSong" w:hAnsi="WTRFWDrc+FangSong" w:eastAsia="WTRFWDrc+FangSong"/>
          <w:color w:val="1F2229"/>
          <w:sz w:val="32"/>
        </w:rPr>
        <w:t>三是开展业务培训。组织各科室自评工作人员开展专题培训，重点讲解绩效自评指标体系、填报规范、评价方法以及预算管理一体化系统操作流程，解答自评过程中可能遇到的难点问题，提升工作人员业务能力，保障自评工作质量。</w:t>
      </w:r>
    </w:p>
    <w:p w14:paraId="6882711B">
      <w:pPr>
        <w:widowControl/>
        <w:autoSpaceDE w:val="0"/>
        <w:autoSpaceDN w:val="0"/>
        <w:spacing w:before="0" w:after="0" w:line="560" w:lineRule="exact"/>
        <w:ind w:left="146" w:right="182" w:firstLine="642"/>
        <w:jc w:val="both"/>
      </w:pPr>
      <w:r>
        <w:rPr>
          <w:rFonts w:ascii="WTRFWDrc+FangSong" w:hAnsi="WTRFWDrc+FangSong" w:eastAsia="WTRFWDrc+FangSong"/>
          <w:color w:val="1F2229"/>
          <w:sz w:val="32"/>
        </w:rPr>
        <w:t>四是有序组织自评。各科室严格按照实施方案要求，对照绩效目标，全面梳理</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资金收支、项目实施、目标完成等情况，认真填报自评表格、撰写自评报告，财务人员对各科室上报的自评材料进行逐一审核、复核，对发现的问题及时反馈并督促整改，确保自评数据真实准确、内容完整规范、评价客观公正。</w:t>
      </w:r>
    </w:p>
    <w:p w14:paraId="0976EEF1">
      <w:pPr>
        <w:widowControl/>
        <w:tabs>
          <w:tab w:val="left" w:pos="788"/>
        </w:tabs>
        <w:autoSpaceDE w:val="0"/>
        <w:autoSpaceDN w:val="0"/>
        <w:spacing w:before="0" w:after="0" w:line="560" w:lineRule="exact"/>
        <w:ind w:left="146" w:right="144" w:firstLine="0"/>
        <w:jc w:val="left"/>
      </w:pPr>
      <w:r>
        <w:tab/>
      </w:r>
      <w:r>
        <w:rPr>
          <w:rFonts w:ascii="vSLHZXqE+KaiTi" w:hAnsi="vSLHZXqE+KaiTi" w:eastAsia="vSLHZXqE+KaiTi"/>
          <w:color w:val="1F2229"/>
          <w:sz w:val="32"/>
        </w:rPr>
        <w:t>（二）绩效自评总体概况</w:t>
      </w:r>
      <w:r>
        <w:br w:type="textWrapping"/>
      </w:r>
      <w:r>
        <w:tab/>
      </w:r>
      <w:r>
        <w:rPr>
          <w:rFonts w:ascii="vbvkBtaN+KSOFE44F9426" w:hAnsi="vbvkBtaN+KSOFE44F9426" w:eastAsia="vbvkBtaN+KSOFE44F9426"/>
          <w:color w:val="1F2229"/>
          <w:sz w:val="32"/>
        </w:rPr>
        <w:t>1.</w:t>
      </w:r>
      <w:r>
        <w:rPr>
          <w:rFonts w:ascii="WTRFWDrc+FangSong" w:hAnsi="WTRFWDrc+FangSong" w:eastAsia="WTRFWDrc+FangSong"/>
          <w:color w:val="1F2229"/>
          <w:sz w:val="32"/>
        </w:rPr>
        <w:t>整体支出自评概况：</w:t>
      </w:r>
      <w:r>
        <w:rPr>
          <w:rFonts w:ascii="vbvkBtaN+KSOFE44F9426" w:hAnsi="vbvkBtaN+KSOFE44F9426" w:eastAsia="vbvkBtaN+KSOFE44F9426"/>
          <w:color w:val="000000"/>
          <w:sz w:val="32"/>
        </w:rPr>
        <w:t>2025</w:t>
      </w:r>
      <w:r>
        <w:rPr>
          <w:rFonts w:ascii="WTRFWDrc+FangSong" w:hAnsi="WTRFWDrc+FangSong" w:eastAsia="WTRFWDrc+FangSong"/>
          <w:color w:val="000000"/>
          <w:sz w:val="32"/>
        </w:rPr>
        <w:t>年度我单位整体支出预算</w:t>
      </w:r>
      <w:r>
        <w:rPr>
          <w:rFonts w:ascii="vbvkBtaN+KSOFE44F9426" w:hAnsi="vbvkBtaN+KSOFE44F9426" w:eastAsia="vbvkBtaN+KSOFE44F9426"/>
          <w:color w:val="000000"/>
          <w:sz w:val="32"/>
        </w:rPr>
        <w:t>2062.93</w:t>
      </w:r>
      <w:r>
        <w:rPr>
          <w:rFonts w:ascii="WTRFWDrc+FangSong" w:hAnsi="WTRFWDrc+FangSong" w:eastAsia="WTRFWDrc+FangSong"/>
          <w:color w:val="000000"/>
          <w:sz w:val="32"/>
        </w:rPr>
        <w:t>万元（其中：基本支出</w:t>
      </w:r>
      <w:r>
        <w:rPr>
          <w:rFonts w:ascii="vbvkBtaN+KSOFE44F9426" w:hAnsi="vbvkBtaN+KSOFE44F9426" w:eastAsia="vbvkBtaN+KSOFE44F9426"/>
          <w:color w:val="000000"/>
          <w:sz w:val="32"/>
        </w:rPr>
        <w:t>1684.10</w:t>
      </w:r>
      <w:r>
        <w:rPr>
          <w:rFonts w:ascii="WTRFWDrc+FangSong" w:hAnsi="WTRFWDrc+FangSong" w:eastAsia="WTRFWDrc+FangSong"/>
          <w:color w:val="000000"/>
          <w:sz w:val="32"/>
        </w:rPr>
        <w:t>万元，项目支出</w:t>
      </w:r>
      <w:r>
        <w:rPr>
          <w:rFonts w:ascii="vbvkBtaN+KSOFE44F9426" w:hAnsi="vbvkBtaN+KSOFE44F9426" w:eastAsia="vbvkBtaN+KSOFE44F9426"/>
          <w:color w:val="000000"/>
          <w:sz w:val="32"/>
        </w:rPr>
        <w:t>378.83</w:t>
      </w:r>
      <w:r>
        <w:rPr>
          <w:rFonts w:ascii="WTRFWDrc+FangSong" w:hAnsi="WTRFWDrc+FangSong" w:eastAsia="WTRFWDrc+FangSong"/>
          <w:color w:val="000000"/>
          <w:sz w:val="32"/>
        </w:rPr>
        <w:t>万元），</w:t>
      </w:r>
      <w:r>
        <w:rPr>
          <w:rFonts w:ascii="WTRFWDrc+FangSong" w:hAnsi="WTRFWDrc+FangSong" w:eastAsia="WTRFWDrc+FangSong"/>
          <w:color w:val="1F2229"/>
          <w:sz w:val="32"/>
        </w:rPr>
        <w:t>实际支出</w:t>
      </w:r>
      <w:r>
        <w:rPr>
          <w:rFonts w:ascii="vbvkBtaN+KSOFE44F9426" w:hAnsi="vbvkBtaN+KSOFE44F9426" w:eastAsia="vbvkBtaN+KSOFE44F9426"/>
          <w:color w:val="000000"/>
          <w:sz w:val="32"/>
        </w:rPr>
        <w:t>1939.78</w:t>
      </w:r>
      <w:r>
        <w:rPr>
          <w:rFonts w:ascii="WTRFWDrc+FangSong" w:hAnsi="WTRFWDrc+FangSong" w:eastAsia="WTRFWDrc+FangSong"/>
          <w:color w:val="1F2229"/>
          <w:sz w:val="32"/>
        </w:rPr>
        <w:t>万元（其中：基本支出</w:t>
      </w:r>
      <w:r>
        <w:rPr>
          <w:rFonts w:ascii="vbvkBtaN+KSOFE44F9426" w:hAnsi="vbvkBtaN+KSOFE44F9426" w:eastAsia="vbvkBtaN+KSOFE44F9426"/>
          <w:color w:val="1F2229"/>
          <w:sz w:val="32"/>
        </w:rPr>
        <w:t>1576.26</w:t>
      </w:r>
      <w:r>
        <w:rPr>
          <w:rFonts w:ascii="WTRFWDrc+FangSong" w:hAnsi="WTRFWDrc+FangSong" w:eastAsia="WTRFWDrc+FangSong"/>
          <w:color w:val="1F2229"/>
          <w:sz w:val="32"/>
        </w:rPr>
        <w:t>万元，项目支出</w:t>
      </w:r>
      <w:r>
        <w:rPr>
          <w:rFonts w:ascii="vbvkBtaN+KSOFE44F9426" w:hAnsi="vbvkBtaN+KSOFE44F9426" w:eastAsia="vbvkBtaN+KSOFE44F9426"/>
          <w:color w:val="1F2229"/>
          <w:sz w:val="32"/>
        </w:rPr>
        <w:t>363.52</w:t>
      </w:r>
      <w:r>
        <w:rPr>
          <w:rFonts w:ascii="WTRFWDrc+FangSong" w:hAnsi="WTRFWDrc+FangSong" w:eastAsia="WTRFWDrc+FangSong"/>
          <w:color w:val="1F2229"/>
          <w:sz w:val="32"/>
        </w:rPr>
        <w:t>万元），完成预算</w:t>
      </w:r>
      <w:r>
        <w:rPr>
          <w:rFonts w:ascii="vbvkBtaN+KSOFE44F9426" w:hAnsi="vbvkBtaN+KSOFE44F9426" w:eastAsia="vbvkBtaN+KSOFE44F9426"/>
          <w:color w:val="1F2229"/>
          <w:sz w:val="32"/>
        </w:rPr>
        <w:t>94.03%</w:t>
      </w:r>
      <w:r>
        <w:rPr>
          <w:rFonts w:ascii="WTRFWDrc+FangSong" w:hAnsi="WTRFWDrc+FangSong" w:eastAsia="WTRFWDrc+FangSong"/>
          <w:color w:val="1F2229"/>
          <w:sz w:val="32"/>
        </w:rPr>
        <w:t>。本次整体支出自评围绕预算执行、资金管理、履职效能、服务质量等核心指标开展评价，自评分</w:t>
      </w:r>
      <w:r>
        <w:rPr>
          <w:rFonts w:ascii="vbvkBtaN+KSOFE44F9426" w:hAnsi="vbvkBtaN+KSOFE44F9426" w:eastAsia="vbvkBtaN+KSOFE44F9426"/>
          <w:color w:val="1F2229"/>
          <w:sz w:val="32"/>
        </w:rPr>
        <w:t>84.13</w:t>
      </w:r>
      <w:r>
        <w:rPr>
          <w:rFonts w:ascii="WTRFWDrc+FangSong" w:hAnsi="WTRFWDrc+FangSong" w:eastAsia="WTRFWDrc+FangSong"/>
          <w:color w:val="1F2229"/>
          <w:sz w:val="32"/>
        </w:rPr>
        <w:t>分，自评等级为良。整体支出主要用于保障单位日常运转、履行核心职能以及各项重点工作推进，资金使用基本合规、管控有效，切实发挥了财政资金的保障支撑作用，有效推动单位各项工作顺利开展、年度目标圆满完成。</w:t>
      </w:r>
    </w:p>
    <w:p w14:paraId="071CEBC1">
      <w:pPr>
        <w:widowControl/>
        <w:autoSpaceDE w:val="0"/>
        <w:autoSpaceDN w:val="0"/>
        <w:spacing w:before="0" w:after="0" w:line="560" w:lineRule="exact"/>
        <w:ind w:left="146" w:right="144" w:firstLine="642"/>
        <w:jc w:val="left"/>
      </w:pPr>
      <w:r>
        <w:rPr>
          <w:rFonts w:ascii="vbvkBtaN+KSOFE44F9426" w:hAnsi="vbvkBtaN+KSOFE44F9426" w:eastAsia="vbvkBtaN+KSOFE44F9426"/>
          <w:color w:val="1F2229"/>
          <w:sz w:val="32"/>
        </w:rPr>
        <w:t>2.</w:t>
      </w:r>
      <w:r>
        <w:rPr>
          <w:rFonts w:ascii="WTRFWDrc+FangSong" w:hAnsi="WTRFWDrc+FangSong" w:eastAsia="WTRFWDrc+FangSong"/>
          <w:color w:val="1F2229"/>
          <w:sz w:val="32"/>
        </w:rPr>
        <w:t>项目支出自评概况：</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年度我单位共有</w:t>
      </w:r>
      <w:r>
        <w:rPr>
          <w:rFonts w:ascii="vbvkBtaN+KSOFE44F9426" w:hAnsi="vbvkBtaN+KSOFE44F9426" w:eastAsia="vbvkBtaN+KSOFE44F9426"/>
          <w:color w:val="1F2229"/>
          <w:sz w:val="32"/>
        </w:rPr>
        <w:t>18</w:t>
      </w:r>
      <w:r>
        <w:rPr>
          <w:rFonts w:ascii="WTRFWDrc+FangSong" w:hAnsi="WTRFWDrc+FangSong" w:eastAsia="WTRFWDrc+FangSong"/>
          <w:color w:val="1F2229"/>
          <w:sz w:val="32"/>
        </w:rPr>
        <w:t>个项目纳入绩效自评范围（其中：区级项目</w:t>
      </w:r>
      <w:r>
        <w:rPr>
          <w:rFonts w:ascii="vbvkBtaN+KSOFE44F9426" w:hAnsi="vbvkBtaN+KSOFE44F9426" w:eastAsia="vbvkBtaN+KSOFE44F9426"/>
          <w:color w:val="1F2229"/>
          <w:sz w:val="32"/>
        </w:rPr>
        <w:t>9</w:t>
      </w:r>
      <w:r>
        <w:rPr>
          <w:rFonts w:ascii="WTRFWDrc+FangSong" w:hAnsi="WTRFWDrc+FangSong" w:eastAsia="WTRFWDrc+FangSong"/>
          <w:color w:val="1F2229"/>
          <w:sz w:val="32"/>
        </w:rPr>
        <w:t>个、上级转移支付项目</w:t>
      </w:r>
      <w:r>
        <w:rPr>
          <w:rFonts w:ascii="vbvkBtaN+KSOFE44F9426" w:hAnsi="vbvkBtaN+KSOFE44F9426" w:eastAsia="vbvkBtaN+KSOFE44F9426"/>
          <w:color w:val="1F2229"/>
          <w:sz w:val="32"/>
        </w:rPr>
        <w:t>8</w:t>
      </w:r>
      <w:r>
        <w:rPr>
          <w:rFonts w:ascii="WTRFWDrc+FangSong" w:hAnsi="WTRFWDrc+FangSong" w:eastAsia="WTRFWDrc+FangSong"/>
          <w:color w:val="1F2229"/>
          <w:sz w:val="32"/>
        </w:rPr>
        <w:t>个、其他资金项目</w:t>
      </w:r>
      <w:r>
        <w:rPr>
          <w:rFonts w:ascii="vbvkBtaN+KSOFE44F9426" w:hAnsi="vbvkBtaN+KSOFE44F9426" w:eastAsia="vbvkBtaN+KSOFE44F9426"/>
          <w:color w:val="1F2229"/>
          <w:sz w:val="32"/>
        </w:rPr>
        <w:t>1</w:t>
      </w:r>
      <w:r>
        <w:rPr>
          <w:rFonts w:ascii="WTRFWDrc+FangSong" w:hAnsi="WTRFWDrc+FangSong" w:eastAsia="WTRFWDrc+FangSong"/>
          <w:color w:val="1F2229"/>
          <w:sz w:val="32"/>
        </w:rPr>
        <w:t>个），涉及自评金额</w:t>
      </w:r>
      <w:r>
        <w:rPr>
          <w:rFonts w:ascii="vbvkBtaN+KSOFE44F9426" w:hAnsi="vbvkBtaN+KSOFE44F9426" w:eastAsia="vbvkBtaN+KSOFE44F9426"/>
          <w:color w:val="1F2229"/>
          <w:sz w:val="32"/>
        </w:rPr>
        <w:t>363.52</w:t>
      </w:r>
      <w:r>
        <w:rPr>
          <w:rFonts w:ascii="WTRFWDrc+FangSong" w:hAnsi="WTRFWDrc+FangSong" w:eastAsia="WTRFWDrc+FangSong"/>
          <w:color w:val="1F2229"/>
          <w:sz w:val="32"/>
        </w:rPr>
        <w:t>万元（其中：区级</w:t>
      </w:r>
    </w:p>
    <w:p w14:paraId="2A49643A">
      <w:pPr>
        <w:widowControl/>
        <w:autoSpaceDE w:val="0"/>
        <w:autoSpaceDN w:val="0"/>
        <w:spacing w:before="858" w:after="0" w:line="286" w:lineRule="exact"/>
        <w:ind w:left="152" w:right="0" w:firstLine="0"/>
        <w:jc w:val="left"/>
      </w:pPr>
      <w:r>
        <w:rPr>
          <w:rFonts w:ascii="mj6kmDCF+Calibri" w:hAnsi="mj6kmDCF+Calibri" w:eastAsia="mj6kmDCF+Calibri"/>
          <w:color w:val="000000"/>
          <w:sz w:val="18"/>
        </w:rPr>
        <w:t>—</w:t>
      </w:r>
      <w:r>
        <w:rPr>
          <w:rFonts w:ascii="Ly7aSRLg+SimSun" w:hAnsi="Ly7aSRLg+SimSun" w:eastAsia="Ly7aSRLg+SimSun"/>
          <w:color w:val="000000"/>
          <w:sz w:val="28"/>
        </w:rPr>
        <w:t>2</w:t>
      </w:r>
      <w:r>
        <w:rPr>
          <w:rFonts w:ascii="mj6kmDCF+Calibri" w:hAnsi="mj6kmDCF+Calibri" w:eastAsia="mj6kmDCF+Calibri"/>
          <w:color w:val="000000"/>
          <w:sz w:val="18"/>
        </w:rPr>
        <w:t>—</w:t>
      </w:r>
    </w:p>
    <w:p w14:paraId="20D5AAF8">
      <w:pPr>
        <w:sectPr>
          <w:pgSz w:w="11906" w:h="17238"/>
          <w:pgMar w:top="808" w:right="1134" w:bottom="440" w:left="1440" w:header="720" w:footer="720" w:gutter="0"/>
          <w:cols w:equalWidth="0" w:num="1">
            <w:col w:w="9332"/>
          </w:cols>
          <w:docGrid w:linePitch="360" w:charSpace="0"/>
        </w:sectPr>
      </w:pPr>
    </w:p>
    <w:p w14:paraId="6B1A76F4">
      <w:pPr>
        <w:widowControl/>
        <w:autoSpaceDE w:val="0"/>
        <w:autoSpaceDN w:val="0"/>
        <w:spacing w:before="588" w:after="0" w:line="220" w:lineRule="exact"/>
        <w:ind w:left="0" w:right="0"/>
      </w:pPr>
    </w:p>
    <w:p w14:paraId="587DBD25">
      <w:pPr>
        <w:widowControl/>
        <w:autoSpaceDE w:val="0"/>
        <w:autoSpaceDN w:val="0"/>
        <w:spacing w:before="0" w:after="0" w:line="530" w:lineRule="exact"/>
        <w:ind w:left="146" w:right="178" w:firstLine="0"/>
        <w:jc w:val="both"/>
      </w:pPr>
      <w:r>
        <w:rPr>
          <w:rFonts w:ascii="WTRFWDrc+FangSong" w:hAnsi="WTRFWDrc+FangSong" w:eastAsia="WTRFWDrc+FangSong"/>
          <w:color w:val="1F2229"/>
          <w:sz w:val="32"/>
        </w:rPr>
        <w:t>资金</w:t>
      </w:r>
      <w:r>
        <w:rPr>
          <w:rFonts w:ascii="vbvkBtaN+KSOFE44F9426" w:hAnsi="vbvkBtaN+KSOFE44F9426" w:eastAsia="vbvkBtaN+KSOFE44F9426"/>
          <w:color w:val="1F2229"/>
          <w:sz w:val="32"/>
        </w:rPr>
        <w:t>345.02</w:t>
      </w:r>
      <w:r>
        <w:rPr>
          <w:rFonts w:ascii="WTRFWDrc+FangSong" w:hAnsi="WTRFWDrc+FangSong" w:eastAsia="WTRFWDrc+FangSong"/>
          <w:color w:val="1F2229"/>
          <w:sz w:val="32"/>
        </w:rPr>
        <w:t>万元、上级转移支付资金</w:t>
      </w:r>
      <w:r>
        <w:rPr>
          <w:rFonts w:ascii="vbvkBtaN+KSOFE44F9426" w:hAnsi="vbvkBtaN+KSOFE44F9426" w:eastAsia="vbvkBtaN+KSOFE44F9426"/>
          <w:color w:val="1F2229"/>
          <w:sz w:val="32"/>
        </w:rPr>
        <w:t>18.50</w:t>
      </w:r>
      <w:r>
        <w:rPr>
          <w:rFonts w:ascii="WTRFWDrc+FangSong" w:hAnsi="WTRFWDrc+FangSong" w:eastAsia="WTRFWDrc+FangSong"/>
          <w:color w:val="1F2229"/>
          <w:sz w:val="32"/>
        </w:rPr>
        <w:t>万元、其他资金</w:t>
      </w:r>
      <w:r>
        <w:rPr>
          <w:rFonts w:ascii="vbvkBtaN+KSOFE44F9426" w:hAnsi="vbvkBtaN+KSOFE44F9426" w:eastAsia="vbvkBtaN+KSOFE44F9426"/>
          <w:color w:val="1F2229"/>
          <w:sz w:val="32"/>
        </w:rPr>
        <w:t>0</w:t>
      </w:r>
      <w:r>
        <w:rPr>
          <w:rFonts w:ascii="WTRFWDrc+FangSong" w:hAnsi="WTRFWDrc+FangSong" w:eastAsia="WTRFWDrc+FangSong"/>
          <w:color w:val="1F2229"/>
          <w:sz w:val="32"/>
        </w:rPr>
        <w:t>万元）。经自评，自评分≥</w:t>
      </w:r>
      <w:r>
        <w:rPr>
          <w:rFonts w:ascii="vbvkBtaN+KSOFE44F9426" w:hAnsi="vbvkBtaN+KSOFE44F9426" w:eastAsia="vbvkBtaN+KSOFE44F9426"/>
          <w:color w:val="1F2229"/>
          <w:sz w:val="32"/>
        </w:rPr>
        <w:t>90</w:t>
      </w:r>
      <w:r>
        <w:rPr>
          <w:rFonts w:ascii="WTRFWDrc+FangSong" w:hAnsi="WTRFWDrc+FangSong" w:eastAsia="WTRFWDrc+FangSong"/>
          <w:color w:val="1F2229"/>
          <w:sz w:val="32"/>
        </w:rPr>
        <w:t>分（评价等级为“优”）的项目</w:t>
      </w:r>
      <w:r>
        <w:rPr>
          <w:rFonts w:ascii="vbvkBtaN+KSOFE44F9426" w:hAnsi="vbvkBtaN+KSOFE44F9426" w:eastAsia="vbvkBtaN+KSOFE44F9426"/>
          <w:color w:val="1F2229"/>
          <w:sz w:val="32"/>
        </w:rPr>
        <w:t>13</w:t>
      </w:r>
      <w:r>
        <w:rPr>
          <w:rFonts w:ascii="WTRFWDrc+FangSong" w:hAnsi="WTRFWDrc+FangSong" w:eastAsia="WTRFWDrc+FangSong"/>
          <w:color w:val="1F2229"/>
          <w:sz w:val="32"/>
        </w:rPr>
        <w:t>个、</w:t>
      </w:r>
      <w:r>
        <w:rPr>
          <w:rFonts w:ascii="vbvkBtaN+KSOFE44F9426" w:hAnsi="vbvkBtaN+KSOFE44F9426" w:eastAsia="vbvkBtaN+KSOFE44F9426"/>
          <w:color w:val="1F2229"/>
          <w:sz w:val="32"/>
        </w:rPr>
        <w:t>90&gt;</w:t>
      </w:r>
      <w:r>
        <w:rPr>
          <w:rFonts w:ascii="WTRFWDrc+FangSong" w:hAnsi="WTRFWDrc+FangSong" w:eastAsia="WTRFWDrc+FangSong"/>
          <w:color w:val="1F2229"/>
          <w:sz w:val="32"/>
        </w:rPr>
        <w:t>自评分≥</w:t>
      </w:r>
      <w:r>
        <w:rPr>
          <w:rFonts w:ascii="vbvkBtaN+KSOFE44F9426" w:hAnsi="vbvkBtaN+KSOFE44F9426" w:eastAsia="vbvkBtaN+KSOFE44F9426"/>
          <w:color w:val="1F2229"/>
          <w:sz w:val="32"/>
        </w:rPr>
        <w:t>80</w:t>
      </w:r>
      <w:r>
        <w:rPr>
          <w:rFonts w:ascii="WTRFWDrc+FangSong" w:hAnsi="WTRFWDrc+FangSong" w:eastAsia="WTRFWDrc+FangSong"/>
          <w:color w:val="1F2229"/>
          <w:sz w:val="32"/>
        </w:rPr>
        <w:t>分（评价等级为“良”）的项目</w:t>
      </w:r>
      <w:r>
        <w:rPr>
          <w:rFonts w:ascii="vbvkBtaN+KSOFE44F9426" w:hAnsi="vbvkBtaN+KSOFE44F9426" w:eastAsia="vbvkBtaN+KSOFE44F9426"/>
          <w:color w:val="1F2229"/>
          <w:sz w:val="32"/>
        </w:rPr>
        <w:t>1</w:t>
      </w:r>
      <w:r>
        <w:rPr>
          <w:rFonts w:ascii="WTRFWDrc+FangSong" w:hAnsi="WTRFWDrc+FangSong" w:eastAsia="WTRFWDrc+FangSong"/>
          <w:color w:val="1F2229"/>
          <w:sz w:val="32"/>
        </w:rPr>
        <w:t>个、</w:t>
      </w:r>
      <w:r>
        <w:rPr>
          <w:rFonts w:ascii="vbvkBtaN+KSOFE44F9426" w:hAnsi="vbvkBtaN+KSOFE44F9426" w:eastAsia="vbvkBtaN+KSOFE44F9426"/>
          <w:color w:val="1F2229"/>
          <w:sz w:val="32"/>
        </w:rPr>
        <w:t>80&gt;</w:t>
      </w:r>
      <w:r>
        <w:rPr>
          <w:rFonts w:ascii="WTRFWDrc+FangSong" w:hAnsi="WTRFWDrc+FangSong" w:eastAsia="WTRFWDrc+FangSong"/>
          <w:color w:val="1F2229"/>
          <w:sz w:val="32"/>
        </w:rPr>
        <w:t>自评分≥</w:t>
      </w:r>
      <w:r>
        <w:rPr>
          <w:rFonts w:ascii="vbvkBtaN+KSOFE44F9426" w:hAnsi="vbvkBtaN+KSOFE44F9426" w:eastAsia="vbvkBtaN+KSOFE44F9426"/>
          <w:color w:val="1F2229"/>
          <w:sz w:val="32"/>
        </w:rPr>
        <w:t>60</w:t>
      </w:r>
      <w:r>
        <w:rPr>
          <w:rFonts w:ascii="WTRFWDrc+FangSong" w:hAnsi="WTRFWDrc+FangSong" w:eastAsia="WTRFWDrc+FangSong"/>
          <w:color w:val="1F2229"/>
          <w:sz w:val="32"/>
        </w:rPr>
        <w:t>分（评价等级为“中”）的项目</w:t>
      </w:r>
      <w:r>
        <w:rPr>
          <w:rFonts w:ascii="vbvkBtaN+KSOFE44F9426" w:hAnsi="vbvkBtaN+KSOFE44F9426" w:eastAsia="vbvkBtaN+KSOFE44F9426"/>
          <w:color w:val="1F2229"/>
          <w:sz w:val="32"/>
        </w:rPr>
        <w:t>0</w:t>
      </w:r>
      <w:r>
        <w:rPr>
          <w:rFonts w:ascii="WTRFWDrc+FangSong" w:hAnsi="WTRFWDrc+FangSong" w:eastAsia="WTRFWDrc+FangSong"/>
          <w:color w:val="1F2229"/>
          <w:sz w:val="32"/>
        </w:rPr>
        <w:t>个，自评分</w:t>
      </w:r>
      <w:r>
        <w:rPr>
          <w:rFonts w:ascii="vbvkBtaN+KSOFE44F9426" w:hAnsi="vbvkBtaN+KSOFE44F9426" w:eastAsia="vbvkBtaN+KSOFE44F9426"/>
          <w:color w:val="1F2229"/>
          <w:sz w:val="32"/>
        </w:rPr>
        <w:t>&lt;60</w:t>
      </w:r>
      <w:r>
        <w:rPr>
          <w:rFonts w:ascii="WTRFWDrc+FangSong" w:hAnsi="WTRFWDrc+FangSong" w:eastAsia="WTRFWDrc+FangSong"/>
          <w:color w:val="1F2229"/>
          <w:sz w:val="32"/>
        </w:rPr>
        <w:t>分（评价等级为“差”）的项目</w:t>
      </w:r>
      <w:r>
        <w:rPr>
          <w:rFonts w:ascii="vbvkBtaN+KSOFE44F9426" w:hAnsi="vbvkBtaN+KSOFE44F9426" w:eastAsia="vbvkBtaN+KSOFE44F9426"/>
          <w:color w:val="1F2229"/>
          <w:sz w:val="32"/>
        </w:rPr>
        <w:t>4</w:t>
      </w:r>
      <w:r>
        <w:rPr>
          <w:rFonts w:ascii="WTRFWDrc+FangSong" w:hAnsi="WTRFWDrc+FangSong" w:eastAsia="WTRFWDrc+FangSong"/>
          <w:color w:val="1F2229"/>
          <w:sz w:val="32"/>
        </w:rPr>
        <w:t>个。其中，高分项目主要得益于目标设定科学、实施流程规范、资金使用高效、成效显著；低分项目主要因项目实施进度滞后、绩效指标完成质量不足等原因导致，已纳入整改范围，明确整改方向和时限。</w:t>
      </w:r>
    </w:p>
    <w:p w14:paraId="0093EA10">
      <w:pPr>
        <w:widowControl/>
        <w:autoSpaceDE w:val="0"/>
        <w:autoSpaceDN w:val="0"/>
        <w:spacing w:before="0" w:after="0" w:line="560" w:lineRule="exact"/>
        <w:ind w:left="146" w:right="178" w:firstLine="642"/>
        <w:jc w:val="both"/>
      </w:pPr>
      <w:r>
        <w:rPr>
          <w:rFonts w:ascii="vbvkBtaN+KSOFE44F9426" w:hAnsi="vbvkBtaN+KSOFE44F9426" w:eastAsia="vbvkBtaN+KSOFE44F9426"/>
          <w:color w:val="1F2229"/>
          <w:sz w:val="32"/>
        </w:rPr>
        <w:t>3.</w:t>
      </w:r>
      <w:r>
        <w:rPr>
          <w:rFonts w:ascii="WTRFWDrc+FangSong" w:hAnsi="WTRFWDrc+FangSong" w:eastAsia="WTRFWDrc+FangSong"/>
          <w:color w:val="1F2229"/>
          <w:sz w:val="32"/>
        </w:rPr>
        <w:t>绩效自评全覆盖情况：本次开展绩效自评项目</w:t>
      </w:r>
      <w:r>
        <w:rPr>
          <w:rFonts w:ascii="vbvkBtaN+KSOFE44F9426" w:hAnsi="vbvkBtaN+KSOFE44F9426" w:eastAsia="vbvkBtaN+KSOFE44F9426"/>
          <w:color w:val="1F2229"/>
          <w:sz w:val="32"/>
        </w:rPr>
        <w:t>18</w:t>
      </w:r>
      <w:r>
        <w:rPr>
          <w:rFonts w:ascii="WTRFWDrc+FangSong" w:hAnsi="WTRFWDrc+FangSong" w:eastAsia="WTRFWDrc+FangSong"/>
          <w:color w:val="1F2229"/>
          <w:sz w:val="32"/>
        </w:rPr>
        <w:t>个，自评金额为</w:t>
      </w:r>
      <w:r>
        <w:rPr>
          <w:rFonts w:ascii="vbvkBtaN+KSOFE44F9426" w:hAnsi="vbvkBtaN+KSOFE44F9426" w:eastAsia="vbvkBtaN+KSOFE44F9426"/>
          <w:color w:val="1F2229"/>
          <w:sz w:val="32"/>
        </w:rPr>
        <w:t>3635214.55</w:t>
      </w:r>
      <w:r>
        <w:rPr>
          <w:rFonts w:ascii="WTRFWDrc+FangSong" w:hAnsi="WTRFWDrc+FangSong" w:eastAsia="WTRFWDrc+FangSong"/>
          <w:color w:val="1F2229"/>
          <w:sz w:val="32"/>
        </w:rPr>
        <w:t>元，覆盖</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年度我单位所有财政拨款预算支出项目及其他资金支出项目，已实现绩效自评全覆盖。以上数据均根据预算管理一体化系统中填报情况据实填写，严格遵循真实、准确、完整的原则，确保自评工作经得起检验。</w:t>
      </w:r>
    </w:p>
    <w:p w14:paraId="31A9C4A5">
      <w:pPr>
        <w:widowControl/>
        <w:autoSpaceDE w:val="0"/>
        <w:autoSpaceDN w:val="0"/>
        <w:spacing w:before="240" w:after="0" w:line="320" w:lineRule="exact"/>
        <w:ind w:left="788" w:right="0" w:firstLine="0"/>
        <w:jc w:val="left"/>
      </w:pPr>
      <w:r>
        <w:rPr>
          <w:rFonts w:ascii="ga2ghx6c+SimHei" w:hAnsi="ga2ghx6c+SimHei" w:eastAsia="ga2ghx6c+SimHei"/>
          <w:color w:val="1F2229"/>
          <w:sz w:val="32"/>
        </w:rPr>
        <w:t>二、评价结果</w:t>
      </w:r>
    </w:p>
    <w:p w14:paraId="15FD549D">
      <w:pPr>
        <w:widowControl/>
        <w:tabs>
          <w:tab w:val="left" w:pos="788"/>
        </w:tabs>
        <w:autoSpaceDE w:val="0"/>
        <w:autoSpaceDN w:val="0"/>
        <w:spacing w:before="0" w:after="0" w:line="560" w:lineRule="exact"/>
        <w:ind w:left="146" w:right="0" w:firstLine="0"/>
        <w:jc w:val="left"/>
      </w:pPr>
      <w:r>
        <w:tab/>
      </w:r>
      <w:r>
        <w:rPr>
          <w:rFonts w:ascii="vSLHZXqE+KaiTi" w:hAnsi="vSLHZXqE+KaiTi" w:eastAsia="vSLHZXqE+KaiTi"/>
          <w:color w:val="1F2229"/>
          <w:sz w:val="32"/>
        </w:rPr>
        <w:t>（一）整体支出</w:t>
      </w:r>
      <w:r>
        <w:br w:type="textWrapping"/>
      </w:r>
      <w:r>
        <w:tab/>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整体支出绩效评价结果为良等级。从评价情况来看，我单位预算编制科学合理，预算执行基本规范，资金使用效益较好，能够严格按照预算安排使用资金，严控“三公”经费支出，无违规使用资金、截留挪用资金等情况；各项管理制度健全，内部管控到位，有效保障了单位日常运转和各项核心职能的顺利履行，圆满完成了</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年度各项工作目标任务，群众满意度较高。同时，自评也发现，我单位在预算执行管理、绩效目标设定等方面仍存在薄弱环节，需在后续工作中针对性加以改进提升。</w:t>
      </w:r>
    </w:p>
    <w:p w14:paraId="49E3C265">
      <w:pPr>
        <w:widowControl/>
        <w:autoSpaceDE w:val="0"/>
        <w:autoSpaceDN w:val="0"/>
        <w:spacing w:before="240" w:after="0" w:line="320" w:lineRule="exact"/>
        <w:ind w:left="788" w:right="0" w:firstLine="0"/>
        <w:jc w:val="left"/>
      </w:pPr>
      <w:r>
        <w:rPr>
          <w:rFonts w:ascii="vSLHZXqE+KaiTi" w:hAnsi="vSLHZXqE+KaiTi" w:eastAsia="vSLHZXqE+KaiTi"/>
          <w:color w:val="1F2229"/>
          <w:sz w:val="32"/>
        </w:rPr>
        <w:t>（二）项目支出</w:t>
      </w:r>
    </w:p>
    <w:p w14:paraId="027FFE1A">
      <w:pPr>
        <w:widowControl/>
        <w:autoSpaceDE w:val="0"/>
        <w:autoSpaceDN w:val="0"/>
        <w:spacing w:before="858" w:after="0" w:line="286" w:lineRule="exact"/>
        <w:ind w:left="0" w:right="182" w:firstLine="0"/>
        <w:jc w:val="right"/>
      </w:pPr>
      <w:r>
        <w:rPr>
          <w:rFonts w:ascii="mj6kmDCF+Calibri" w:hAnsi="mj6kmDCF+Calibri" w:eastAsia="mj6kmDCF+Calibri"/>
          <w:color w:val="000000"/>
          <w:sz w:val="18"/>
        </w:rPr>
        <w:t>—</w:t>
      </w:r>
      <w:r>
        <w:rPr>
          <w:rFonts w:ascii="Ly7aSRLg+SimSun" w:hAnsi="Ly7aSRLg+SimSun" w:eastAsia="Ly7aSRLg+SimSun"/>
          <w:color w:val="000000"/>
          <w:sz w:val="28"/>
        </w:rPr>
        <w:t>3</w:t>
      </w:r>
      <w:r>
        <w:rPr>
          <w:rFonts w:ascii="mj6kmDCF+Calibri" w:hAnsi="mj6kmDCF+Calibri" w:eastAsia="mj6kmDCF+Calibri"/>
          <w:color w:val="000000"/>
          <w:sz w:val="18"/>
        </w:rPr>
        <w:t>—</w:t>
      </w:r>
    </w:p>
    <w:p w14:paraId="6778FCD4">
      <w:pPr>
        <w:sectPr>
          <w:pgSz w:w="11906" w:h="17238"/>
          <w:pgMar w:top="808" w:right="1296" w:bottom="440" w:left="1440" w:header="720" w:footer="720" w:gutter="0"/>
          <w:cols w:equalWidth="0" w:num="1">
            <w:col w:w="9170"/>
          </w:cols>
          <w:docGrid w:linePitch="360" w:charSpace="0"/>
        </w:sectPr>
      </w:pPr>
    </w:p>
    <w:p w14:paraId="21608462">
      <w:pPr>
        <w:widowControl/>
        <w:autoSpaceDE w:val="0"/>
        <w:autoSpaceDN w:val="0"/>
        <w:spacing w:before="588" w:after="0" w:line="220" w:lineRule="exact"/>
        <w:ind w:left="0" w:right="0"/>
      </w:pPr>
    </w:p>
    <w:p w14:paraId="293B08FB">
      <w:pPr>
        <w:widowControl/>
        <w:autoSpaceDE w:val="0"/>
        <w:autoSpaceDN w:val="0"/>
        <w:spacing w:before="0" w:after="0" w:line="542" w:lineRule="exact"/>
        <w:ind w:left="146" w:right="144" w:firstLine="642"/>
        <w:jc w:val="left"/>
      </w:pPr>
      <w:r>
        <w:rPr>
          <w:rFonts w:ascii="WTRFWDrc+FangSong" w:hAnsi="WTRFWDrc+FangSong" w:eastAsia="WTRFWDrc+FangSong"/>
          <w:color w:val="1F2229"/>
          <w:sz w:val="32"/>
        </w:rPr>
        <w:t>本次自评的</w:t>
      </w:r>
      <w:r>
        <w:rPr>
          <w:rFonts w:ascii="vbvkBtaN+KSOFE44F9426" w:hAnsi="vbvkBtaN+KSOFE44F9426" w:eastAsia="vbvkBtaN+KSOFE44F9426"/>
          <w:color w:val="1F2229"/>
          <w:sz w:val="32"/>
        </w:rPr>
        <w:t>18</w:t>
      </w:r>
      <w:r>
        <w:rPr>
          <w:rFonts w:ascii="WTRFWDrc+FangSong" w:hAnsi="WTRFWDrc+FangSong" w:eastAsia="WTRFWDrc+FangSong"/>
          <w:color w:val="1F2229"/>
          <w:sz w:val="32"/>
        </w:rPr>
        <w:t>个项目中，评价等级为“优”的项目</w:t>
      </w:r>
      <w:r>
        <w:rPr>
          <w:rFonts w:ascii="vbvkBtaN+KSOFE44F9426" w:hAnsi="vbvkBtaN+KSOFE44F9426" w:eastAsia="vbvkBtaN+KSOFE44F9426"/>
          <w:color w:val="1F2229"/>
          <w:sz w:val="32"/>
        </w:rPr>
        <w:t>13</w:t>
      </w:r>
      <w:r>
        <w:rPr>
          <w:rFonts w:ascii="WTRFWDrc+FangSong" w:hAnsi="WTRFWDrc+FangSong" w:eastAsia="WTRFWDrc+FangSong"/>
          <w:color w:val="1F2229"/>
          <w:sz w:val="32"/>
        </w:rPr>
        <w:t>个，占比</w:t>
      </w:r>
      <w:r>
        <w:rPr>
          <w:rFonts w:ascii="vbvkBtaN+KSOFE44F9426" w:hAnsi="vbvkBtaN+KSOFE44F9426" w:eastAsia="vbvkBtaN+KSOFE44F9426"/>
          <w:color w:val="1F2229"/>
          <w:sz w:val="32"/>
        </w:rPr>
        <w:t>72.22%</w:t>
      </w:r>
      <w:r>
        <w:rPr>
          <w:rFonts w:ascii="WTRFWDrc+FangSong" w:hAnsi="WTRFWDrc+FangSong" w:eastAsia="WTRFWDrc+FangSong"/>
          <w:color w:val="1F2229"/>
          <w:sz w:val="32"/>
        </w:rPr>
        <w:t>，此类项目严格按照项目实施方案推进，绩效目标全部完成，资金使用规范高效，取得了显著的经济效益、社会效益或公共服务效益，达到了预期评价效果；评价等级为“良”的项目</w:t>
      </w:r>
      <w:r>
        <w:rPr>
          <w:rFonts w:ascii="vbvkBtaN+KSOFE44F9426" w:hAnsi="vbvkBtaN+KSOFE44F9426" w:eastAsia="vbvkBtaN+KSOFE44F9426"/>
          <w:color w:val="1F2229"/>
          <w:sz w:val="32"/>
        </w:rPr>
        <w:t>1</w:t>
      </w:r>
      <w:r>
        <w:rPr>
          <w:rFonts w:ascii="WTRFWDrc+FangSong" w:hAnsi="WTRFWDrc+FangSong" w:eastAsia="WTRFWDrc+FangSong"/>
          <w:color w:val="1F2229"/>
          <w:sz w:val="32"/>
        </w:rPr>
        <w:t>个，占比</w:t>
      </w:r>
      <w:r>
        <w:rPr>
          <w:rFonts w:ascii="vbvkBtaN+KSOFE44F9426" w:hAnsi="vbvkBtaN+KSOFE44F9426" w:eastAsia="vbvkBtaN+KSOFE44F9426"/>
          <w:color w:val="1F2229"/>
          <w:sz w:val="32"/>
        </w:rPr>
        <w:t>5.56%</w:t>
      </w:r>
      <w:r>
        <w:rPr>
          <w:rFonts w:ascii="WTRFWDrc+FangSong" w:hAnsi="WTRFWDrc+FangSong" w:eastAsia="WTRFWDrc+FangSong"/>
          <w:color w:val="1F2229"/>
          <w:sz w:val="32"/>
        </w:rPr>
        <w:t>，此类项目基本完成绩效目标，资金使用合规，整体成效较好，但在项目细节管理、绩效指标完成精度等方面存在轻微不足；评价等级为“中”的项目</w:t>
      </w:r>
      <w:r>
        <w:rPr>
          <w:rFonts w:ascii="vbvkBtaN+KSOFE44F9426" w:hAnsi="vbvkBtaN+KSOFE44F9426" w:eastAsia="vbvkBtaN+KSOFE44F9426"/>
          <w:color w:val="1F2229"/>
          <w:sz w:val="32"/>
        </w:rPr>
        <w:t>0</w:t>
      </w:r>
      <w:r>
        <w:rPr>
          <w:rFonts w:ascii="WTRFWDrc+FangSong" w:hAnsi="WTRFWDrc+FangSong" w:eastAsia="WTRFWDrc+FangSong"/>
          <w:color w:val="1F2229"/>
          <w:sz w:val="32"/>
        </w:rPr>
        <w:t>个，占比</w:t>
      </w:r>
      <w:r>
        <w:rPr>
          <w:rFonts w:ascii="vbvkBtaN+KSOFE44F9426" w:hAnsi="vbvkBtaN+KSOFE44F9426" w:eastAsia="vbvkBtaN+KSOFE44F9426"/>
          <w:color w:val="1F2229"/>
          <w:sz w:val="32"/>
        </w:rPr>
        <w:t>0%</w:t>
      </w:r>
      <w:r>
        <w:rPr>
          <w:rFonts w:ascii="WTRFWDrc+FangSong" w:hAnsi="WTRFWDrc+FangSong" w:eastAsia="WTRFWDrc+FangSong"/>
          <w:color w:val="1F2229"/>
          <w:sz w:val="32"/>
        </w:rPr>
        <w:t>，此类项目基本实现核心绩效目标，资金使用未发现违规情况，但存在项目实施进度滞后、部分绩效指标完成质量不高、资料归档不规范等问题；评价等级为“差”的项目</w:t>
      </w:r>
      <w:r>
        <w:rPr>
          <w:rFonts w:ascii="vbvkBtaN+KSOFE44F9426" w:hAnsi="vbvkBtaN+KSOFE44F9426" w:eastAsia="vbvkBtaN+KSOFE44F9426"/>
          <w:color w:val="1F2229"/>
          <w:sz w:val="32"/>
        </w:rPr>
        <w:t>4</w:t>
      </w:r>
      <w:r>
        <w:rPr>
          <w:rFonts w:ascii="WTRFWDrc+FangSong" w:hAnsi="WTRFWDrc+FangSong" w:eastAsia="WTRFWDrc+FangSong"/>
          <w:color w:val="1F2229"/>
          <w:sz w:val="32"/>
        </w:rPr>
        <w:t>个，占比</w:t>
      </w:r>
      <w:r>
        <w:rPr>
          <w:rFonts w:ascii="vbvkBtaN+KSOFE44F9426" w:hAnsi="vbvkBtaN+KSOFE44F9426" w:eastAsia="vbvkBtaN+KSOFE44F9426"/>
          <w:color w:val="1F2229"/>
          <w:sz w:val="32"/>
        </w:rPr>
        <w:t>22.22%</w:t>
      </w:r>
      <w:r>
        <w:rPr>
          <w:rFonts w:ascii="WTRFWDrc+FangSong" w:hAnsi="WTRFWDrc+FangSong" w:eastAsia="WTRFWDrc+FangSong"/>
          <w:color w:val="1F2229"/>
          <w:sz w:val="32"/>
        </w:rPr>
        <w:t>，此类项目因财政资金紧张，项目未按计划实施、绩效目标未完成原因，未达到预期评价要求，已启动专项整改，明确整改责任和措施。</w:t>
      </w:r>
    </w:p>
    <w:p w14:paraId="20B44B0C">
      <w:pPr>
        <w:widowControl/>
        <w:autoSpaceDE w:val="0"/>
        <w:autoSpaceDN w:val="0"/>
        <w:spacing w:before="240" w:after="0" w:line="320" w:lineRule="exact"/>
        <w:ind w:left="788" w:right="0" w:firstLine="0"/>
        <w:jc w:val="left"/>
      </w:pPr>
      <w:r>
        <w:rPr>
          <w:rFonts w:ascii="ga2ghx6c+SimHei" w:hAnsi="ga2ghx6c+SimHei" w:eastAsia="ga2ghx6c+SimHei"/>
          <w:color w:val="1F2229"/>
          <w:sz w:val="32"/>
        </w:rPr>
        <w:t>三、存在的主要问题</w:t>
      </w:r>
    </w:p>
    <w:p w14:paraId="28ADAFEE">
      <w:pPr>
        <w:widowControl/>
        <w:tabs>
          <w:tab w:val="left" w:pos="788"/>
        </w:tabs>
        <w:autoSpaceDE w:val="0"/>
        <w:autoSpaceDN w:val="0"/>
        <w:spacing w:before="0" w:after="0" w:line="560" w:lineRule="exact"/>
        <w:ind w:left="146" w:right="0" w:firstLine="0"/>
        <w:jc w:val="left"/>
      </w:pPr>
      <w:r>
        <w:tab/>
      </w:r>
      <w:r>
        <w:rPr>
          <w:rFonts w:ascii="vSLHZXqE+KaiTi" w:hAnsi="vSLHZXqE+KaiTi" w:eastAsia="vSLHZXqE+KaiTi"/>
          <w:color w:val="1F2229"/>
          <w:sz w:val="32"/>
        </w:rPr>
        <w:t>（一）整体支出</w:t>
      </w:r>
      <w:r>
        <w:br w:type="textWrapping"/>
      </w:r>
      <w:r>
        <w:tab/>
      </w:r>
      <w:r>
        <w:rPr>
          <w:rFonts w:ascii="vbvkBtaN+KSOFE44F9426" w:hAnsi="vbvkBtaN+KSOFE44F9426" w:eastAsia="vbvkBtaN+KSOFE44F9426"/>
          <w:color w:val="1F2229"/>
          <w:sz w:val="32"/>
        </w:rPr>
        <w:t>1.</w:t>
      </w:r>
      <w:r>
        <w:rPr>
          <w:rFonts w:ascii="WTRFWDrc+FangSong" w:hAnsi="WTRFWDrc+FangSong" w:eastAsia="WTRFWDrc+FangSong"/>
          <w:color w:val="1F2229"/>
          <w:sz w:val="32"/>
        </w:rPr>
        <w:t>预算执行管理有待加强：部分科目预算执行进度不均衡，存在上半年执行较慢、下半年集中支出的现象，主要原因是部分工作推进节奏与预算安排衔接不够紧密，前期筹备工作不够充分，导致资金拨付和使用进度不同步，影响了资金使用效率。</w:t>
      </w:r>
    </w:p>
    <w:p w14:paraId="249005DF">
      <w:pPr>
        <w:widowControl/>
        <w:autoSpaceDE w:val="0"/>
        <w:autoSpaceDN w:val="0"/>
        <w:spacing w:before="0" w:after="0" w:line="560" w:lineRule="exact"/>
        <w:ind w:left="146" w:right="340" w:firstLine="642"/>
        <w:jc w:val="both"/>
      </w:pPr>
      <w:r>
        <w:rPr>
          <w:rFonts w:ascii="vbvkBtaN+KSOFE44F9426" w:hAnsi="vbvkBtaN+KSOFE44F9426" w:eastAsia="vbvkBtaN+KSOFE44F9426"/>
          <w:color w:val="1F2229"/>
          <w:sz w:val="32"/>
        </w:rPr>
        <w:t>2.</w:t>
      </w:r>
      <w:r>
        <w:rPr>
          <w:rFonts w:ascii="WTRFWDrc+FangSong" w:hAnsi="WTRFWDrc+FangSong" w:eastAsia="WTRFWDrc+FangSong"/>
          <w:color w:val="1F2229"/>
          <w:sz w:val="32"/>
        </w:rPr>
        <w:t>绩效目标设定不够细化：整体支出绩效目标虽明确了核心方向，但部分目标未能细化分解到具体工作任务和量化指标，针对性、可操作性和可考核性有待进一步提升，难以全面、精准反映资金使用效益和履职成效。</w:t>
      </w:r>
    </w:p>
    <w:p w14:paraId="64879BE8">
      <w:pPr>
        <w:widowControl/>
        <w:autoSpaceDE w:val="0"/>
        <w:autoSpaceDN w:val="0"/>
        <w:spacing w:before="240" w:after="0" w:line="320" w:lineRule="exact"/>
        <w:ind w:left="788" w:right="0" w:firstLine="0"/>
        <w:jc w:val="left"/>
      </w:pPr>
      <w:r>
        <w:rPr>
          <w:rFonts w:ascii="vbvkBtaN+KSOFE44F9426" w:hAnsi="vbvkBtaN+KSOFE44F9426" w:eastAsia="vbvkBtaN+KSOFE44F9426"/>
          <w:color w:val="1F2229"/>
          <w:sz w:val="32"/>
        </w:rPr>
        <w:t>3.</w:t>
      </w:r>
      <w:r>
        <w:rPr>
          <w:rFonts w:ascii="WTRFWDrc+FangSong" w:hAnsi="WTRFWDrc+FangSong" w:eastAsia="WTRFWDrc+FangSong"/>
          <w:color w:val="1F2229"/>
          <w:sz w:val="32"/>
        </w:rPr>
        <w:t>成本控制意识需进一步强化：在日常公用经费使用过程中，</w:t>
      </w:r>
    </w:p>
    <w:p w14:paraId="3F5A204B">
      <w:pPr>
        <w:widowControl/>
        <w:autoSpaceDE w:val="0"/>
        <w:autoSpaceDN w:val="0"/>
        <w:spacing w:before="858" w:after="0" w:line="286" w:lineRule="exact"/>
        <w:ind w:left="152" w:right="0" w:firstLine="0"/>
        <w:jc w:val="left"/>
      </w:pPr>
      <w:r>
        <w:rPr>
          <w:rFonts w:ascii="mj6kmDCF+Calibri" w:hAnsi="mj6kmDCF+Calibri" w:eastAsia="mj6kmDCF+Calibri"/>
          <w:color w:val="000000"/>
          <w:sz w:val="18"/>
        </w:rPr>
        <w:t>—</w:t>
      </w:r>
      <w:r>
        <w:rPr>
          <w:rFonts w:ascii="Ly7aSRLg+SimSun" w:hAnsi="Ly7aSRLg+SimSun" w:eastAsia="Ly7aSRLg+SimSun"/>
          <w:color w:val="000000"/>
          <w:sz w:val="28"/>
        </w:rPr>
        <w:t>4</w:t>
      </w:r>
      <w:r>
        <w:rPr>
          <w:rFonts w:ascii="mj6kmDCF+Calibri" w:hAnsi="mj6kmDCF+Calibri" w:eastAsia="mj6kmDCF+Calibri"/>
          <w:color w:val="000000"/>
          <w:sz w:val="18"/>
        </w:rPr>
        <w:t>—</w:t>
      </w:r>
    </w:p>
    <w:p w14:paraId="0C349DC1">
      <w:pPr>
        <w:sectPr>
          <w:pgSz w:w="11906" w:h="17238"/>
          <w:pgMar w:top="808" w:right="1134" w:bottom="440" w:left="1440" w:header="720" w:footer="720" w:gutter="0"/>
          <w:cols w:equalWidth="0" w:num="1">
            <w:col w:w="9332"/>
          </w:cols>
          <w:docGrid w:linePitch="360" w:charSpace="0"/>
        </w:sectPr>
      </w:pPr>
    </w:p>
    <w:p w14:paraId="563AA9D6">
      <w:pPr>
        <w:widowControl/>
        <w:autoSpaceDE w:val="0"/>
        <w:autoSpaceDN w:val="0"/>
        <w:spacing w:before="588" w:after="0" w:line="220" w:lineRule="exact"/>
        <w:ind w:left="0" w:right="0"/>
      </w:pPr>
    </w:p>
    <w:p w14:paraId="5EAAB35A">
      <w:pPr>
        <w:widowControl/>
        <w:autoSpaceDE w:val="0"/>
        <w:autoSpaceDN w:val="0"/>
        <w:spacing w:before="0" w:after="0" w:line="440" w:lineRule="exact"/>
        <w:ind w:left="146" w:right="144" w:firstLine="0"/>
        <w:jc w:val="left"/>
      </w:pPr>
      <w:r>
        <w:rPr>
          <w:rFonts w:ascii="WTRFWDrc+FangSong" w:hAnsi="WTRFWDrc+FangSong" w:eastAsia="WTRFWDrc+FangSong"/>
          <w:color w:val="1F2229"/>
          <w:sz w:val="32"/>
        </w:rPr>
        <w:t>部分科室节约意识不足，存在资源利用效率不高、不必要开支管控不够严格的情况，资金使用精细化管理水平有待提升。</w:t>
      </w:r>
    </w:p>
    <w:p w14:paraId="0A0D4D6E">
      <w:pPr>
        <w:widowControl/>
        <w:tabs>
          <w:tab w:val="left" w:pos="788"/>
        </w:tabs>
        <w:autoSpaceDE w:val="0"/>
        <w:autoSpaceDN w:val="0"/>
        <w:spacing w:before="0" w:after="0" w:line="560" w:lineRule="exact"/>
        <w:ind w:left="146" w:right="144" w:firstLine="0"/>
        <w:jc w:val="left"/>
      </w:pPr>
      <w:r>
        <w:tab/>
      </w:r>
      <w:r>
        <w:rPr>
          <w:rFonts w:ascii="vSLHZXqE+KaiTi" w:hAnsi="vSLHZXqE+KaiTi" w:eastAsia="vSLHZXqE+KaiTi"/>
          <w:color w:val="1F2229"/>
          <w:sz w:val="32"/>
        </w:rPr>
        <w:t>（二）项目支出</w:t>
      </w:r>
      <w:r>
        <w:br w:type="textWrapping"/>
      </w:r>
      <w:r>
        <w:tab/>
      </w:r>
      <w:r>
        <w:rPr>
          <w:rFonts w:ascii="vbvkBtaN+KSOFE44F9426" w:hAnsi="vbvkBtaN+KSOFE44F9426" w:eastAsia="vbvkBtaN+KSOFE44F9426"/>
          <w:color w:val="1F2229"/>
          <w:sz w:val="32"/>
        </w:rPr>
        <w:t>1.</w:t>
      </w:r>
      <w:r>
        <w:rPr>
          <w:rFonts w:ascii="WTRFWDrc+FangSong" w:hAnsi="WTRFWDrc+FangSong" w:eastAsia="WTRFWDrc+FangSong"/>
          <w:color w:val="1F2229"/>
          <w:sz w:val="32"/>
        </w:rPr>
        <w:t>部分项目实施进度滞后：</w:t>
      </w:r>
      <w:r>
        <w:rPr>
          <w:rFonts w:ascii="vbvkBtaN+KSOFE44F9426" w:hAnsi="vbvkBtaN+KSOFE44F9426" w:eastAsia="vbvkBtaN+KSOFE44F9426"/>
          <w:color w:val="1F2229"/>
          <w:sz w:val="32"/>
        </w:rPr>
        <w:t>4</w:t>
      </w:r>
      <w:r>
        <w:rPr>
          <w:rFonts w:ascii="WTRFWDrc+FangSong" w:hAnsi="WTRFWDrc+FangSong" w:eastAsia="WTRFWDrc+FangSong"/>
          <w:color w:val="1F2229"/>
          <w:sz w:val="32"/>
        </w:rPr>
        <w:t>个项目未按实施方案规定的时间节点完成全部工作任务，主要原因是财政资金紧张，前期调研论证不够充分、项目实施过程中遇到突发情况处置不及时、部门协同配合不够顺畅，以及部分环节推进效率不高。</w:t>
      </w:r>
    </w:p>
    <w:p w14:paraId="1A53E3F7">
      <w:pPr>
        <w:widowControl/>
        <w:autoSpaceDE w:val="0"/>
        <w:autoSpaceDN w:val="0"/>
        <w:spacing w:before="0" w:after="0" w:line="560" w:lineRule="exact"/>
        <w:ind w:left="146" w:right="178" w:firstLine="642"/>
        <w:jc w:val="both"/>
      </w:pPr>
      <w:r>
        <w:rPr>
          <w:rFonts w:ascii="vbvkBtaN+KSOFE44F9426" w:hAnsi="vbvkBtaN+KSOFE44F9426" w:eastAsia="vbvkBtaN+KSOFE44F9426"/>
          <w:color w:val="1F2229"/>
          <w:sz w:val="32"/>
        </w:rPr>
        <w:t>2.</w:t>
      </w:r>
      <w:r>
        <w:rPr>
          <w:rFonts w:ascii="WTRFWDrc+FangSong" w:hAnsi="WTRFWDrc+FangSong" w:eastAsia="WTRFWDrc+FangSong"/>
          <w:color w:val="1F2229"/>
          <w:sz w:val="32"/>
        </w:rPr>
        <w:t>绩效指标完成质量参差不齐：部分项目绩效指标设定过于笼统、量化程度不足，导致自评过程中难以精准考核；部分项目虽完成指标数值，但指标完成质量不高，未能充分体现资金使用的实际成效和项目实施价值。</w:t>
      </w:r>
    </w:p>
    <w:p w14:paraId="483F0090">
      <w:pPr>
        <w:widowControl/>
        <w:autoSpaceDE w:val="0"/>
        <w:autoSpaceDN w:val="0"/>
        <w:spacing w:before="0" w:after="0" w:line="560" w:lineRule="exact"/>
        <w:ind w:left="146" w:right="178" w:firstLine="642"/>
        <w:jc w:val="both"/>
      </w:pPr>
      <w:r>
        <w:rPr>
          <w:rFonts w:ascii="vbvkBtaN+KSOFE44F9426" w:hAnsi="vbvkBtaN+KSOFE44F9426" w:eastAsia="vbvkBtaN+KSOFE44F9426"/>
          <w:color w:val="1F2229"/>
          <w:sz w:val="32"/>
        </w:rPr>
        <w:t>3.</w:t>
      </w:r>
      <w:r>
        <w:rPr>
          <w:rFonts w:ascii="WTRFWDrc+FangSong" w:hAnsi="WTRFWDrc+FangSong" w:eastAsia="WTRFWDrc+FangSong"/>
          <w:color w:val="1F2229"/>
          <w:sz w:val="32"/>
        </w:rPr>
        <w:t>资金使用精细化管理不足：少数项目存在资金使用与项目进度衔接不够紧密的情况，部分费用报销附件不够完善、审批流程不够规范，项目资料归档不够系统、可追溯性不强，资金使用的合规性、规范性有待进一步提升。</w:t>
      </w:r>
    </w:p>
    <w:p w14:paraId="19466464">
      <w:pPr>
        <w:widowControl/>
        <w:autoSpaceDE w:val="0"/>
        <w:autoSpaceDN w:val="0"/>
        <w:spacing w:before="0" w:after="0" w:line="560" w:lineRule="exact"/>
        <w:ind w:left="146" w:right="178" w:firstLine="642"/>
        <w:jc w:val="both"/>
      </w:pPr>
      <w:r>
        <w:rPr>
          <w:rFonts w:ascii="vbvkBtaN+KSOFE44F9426" w:hAnsi="vbvkBtaN+KSOFE44F9426" w:eastAsia="vbvkBtaN+KSOFE44F9426"/>
          <w:color w:val="1F2229"/>
          <w:sz w:val="32"/>
        </w:rPr>
        <w:t>4.</w:t>
      </w:r>
      <w:r>
        <w:rPr>
          <w:rFonts w:ascii="WTRFWDrc+FangSong" w:hAnsi="WTRFWDrc+FangSong" w:eastAsia="WTRFWDrc+FangSong"/>
          <w:color w:val="1F2229"/>
          <w:sz w:val="32"/>
        </w:rPr>
        <w:t>绩效评价成果应用不足：项目绩效自评结果未充分与项目后续安排、资金分配、科室绩效考核挂钩，评价成果转化应用力度不够，未能充分发挥绩效评价的导向、约束和激励作用，绩效管理与业务工作融合不够深入。</w:t>
      </w:r>
    </w:p>
    <w:p w14:paraId="56B7C9C7">
      <w:pPr>
        <w:widowControl/>
        <w:tabs>
          <w:tab w:val="left" w:pos="788"/>
        </w:tabs>
        <w:autoSpaceDE w:val="0"/>
        <w:autoSpaceDN w:val="0"/>
        <w:spacing w:before="0" w:after="0" w:line="560" w:lineRule="exact"/>
        <w:ind w:left="146" w:right="0" w:firstLine="0"/>
        <w:jc w:val="left"/>
      </w:pPr>
      <w:r>
        <w:tab/>
      </w:r>
      <w:r>
        <w:rPr>
          <w:rFonts w:ascii="ga2ghx6c+SimHei" w:hAnsi="ga2ghx6c+SimHei" w:eastAsia="ga2ghx6c+SimHei"/>
          <w:color w:val="1F2229"/>
          <w:sz w:val="32"/>
        </w:rPr>
        <w:t>四、整改措施（针对发现问题提出具体的整改措施）</w:t>
      </w:r>
      <w:r>
        <w:br w:type="textWrapping"/>
      </w:r>
      <w:r>
        <w:tab/>
      </w:r>
      <w:r>
        <w:rPr>
          <w:rFonts w:ascii="WTRFWDrc+FangSong" w:hAnsi="WTRFWDrc+FangSong" w:eastAsia="WTRFWDrc+FangSong"/>
          <w:color w:val="1F2229"/>
          <w:sz w:val="32"/>
        </w:rPr>
        <w:t>针对本次绩效自评发现的问题，我单位高度重视，坚持问题导向、目标导向、结果导向相统一，逐项梳理问题根源，制定具体整改措施，明确整改责任、整改时限，确保所有问题整改到位、取得实效，推动预算绩效管理提质增效。</w:t>
      </w:r>
    </w:p>
    <w:p w14:paraId="7B5A6B7C">
      <w:pPr>
        <w:widowControl/>
        <w:autoSpaceDE w:val="0"/>
        <w:autoSpaceDN w:val="0"/>
        <w:spacing w:before="858" w:after="0" w:line="286" w:lineRule="exact"/>
        <w:ind w:left="0" w:right="182" w:firstLine="0"/>
        <w:jc w:val="right"/>
      </w:pPr>
      <w:r>
        <w:rPr>
          <w:rFonts w:ascii="mj6kmDCF+Calibri" w:hAnsi="mj6kmDCF+Calibri" w:eastAsia="mj6kmDCF+Calibri"/>
          <w:color w:val="000000"/>
          <w:sz w:val="18"/>
        </w:rPr>
        <w:t>—</w:t>
      </w:r>
      <w:r>
        <w:rPr>
          <w:rFonts w:ascii="Ly7aSRLg+SimSun" w:hAnsi="Ly7aSRLg+SimSun" w:eastAsia="Ly7aSRLg+SimSun"/>
          <w:color w:val="000000"/>
          <w:sz w:val="28"/>
        </w:rPr>
        <w:t>5</w:t>
      </w:r>
      <w:r>
        <w:rPr>
          <w:rFonts w:ascii="mj6kmDCF+Calibri" w:hAnsi="mj6kmDCF+Calibri" w:eastAsia="mj6kmDCF+Calibri"/>
          <w:color w:val="000000"/>
          <w:sz w:val="18"/>
        </w:rPr>
        <w:t>—</w:t>
      </w:r>
    </w:p>
    <w:p w14:paraId="74299E51">
      <w:pPr>
        <w:sectPr>
          <w:pgSz w:w="11906" w:h="17238"/>
          <w:pgMar w:top="808" w:right="1296" w:bottom="440" w:left="1440" w:header="720" w:footer="720" w:gutter="0"/>
          <w:cols w:equalWidth="0" w:num="1">
            <w:col w:w="9170"/>
          </w:cols>
          <w:docGrid w:linePitch="360" w:charSpace="0"/>
        </w:sectPr>
      </w:pPr>
    </w:p>
    <w:p w14:paraId="7BEBD9AD">
      <w:pPr>
        <w:widowControl/>
        <w:autoSpaceDE w:val="0"/>
        <w:autoSpaceDN w:val="0"/>
        <w:spacing w:before="588" w:after="0" w:line="220" w:lineRule="exact"/>
        <w:ind w:left="0" w:right="0"/>
      </w:pPr>
    </w:p>
    <w:p w14:paraId="4BD55068">
      <w:pPr>
        <w:widowControl/>
        <w:tabs>
          <w:tab w:val="left" w:pos="788"/>
        </w:tabs>
        <w:autoSpaceDE w:val="0"/>
        <w:autoSpaceDN w:val="0"/>
        <w:spacing w:before="0" w:after="0" w:line="520" w:lineRule="exact"/>
        <w:ind w:left="146" w:right="0" w:firstLine="0"/>
        <w:jc w:val="left"/>
      </w:pPr>
      <w:r>
        <w:tab/>
      </w:r>
      <w:r>
        <w:rPr>
          <w:rFonts w:ascii="vSLHZXqE+KaiTi" w:hAnsi="vSLHZXqE+KaiTi" w:eastAsia="vSLHZXqE+KaiTi"/>
          <w:color w:val="1F2229"/>
          <w:sz w:val="32"/>
        </w:rPr>
        <w:t>（一）针对整体支出存在问题的整改措施</w:t>
      </w:r>
      <w:r>
        <w:br w:type="textWrapping"/>
      </w:r>
      <w:r>
        <w:tab/>
      </w:r>
      <w:r>
        <w:rPr>
          <w:rFonts w:ascii="vbvkBtaN+KSOFE44F9426" w:hAnsi="vbvkBtaN+KSOFE44F9426" w:eastAsia="vbvkBtaN+KSOFE44F9426"/>
          <w:color w:val="1F2229"/>
          <w:sz w:val="32"/>
        </w:rPr>
        <w:t>1.</w:t>
      </w:r>
      <w:r>
        <w:rPr>
          <w:rFonts w:ascii="WTRFWDrc+FangSong" w:hAnsi="WTRFWDrc+FangSong" w:eastAsia="WTRFWDrc+FangSong"/>
          <w:color w:val="1F2229"/>
          <w:sz w:val="32"/>
        </w:rPr>
        <w:t>强化预算执行管理：建立预算执行动态监控机制，每月梳理预算执行进度，对执行较慢的科目和事项，及时分析原因、督促相关科室加快推进工作节奏，确保预算执行与工作推进同步；合理安排资金拨付计划，优化支出流程，提高资金使用效率，力争实现预算执行均衡有序。</w:t>
      </w:r>
    </w:p>
    <w:p w14:paraId="6FB9288C">
      <w:pPr>
        <w:widowControl/>
        <w:autoSpaceDE w:val="0"/>
        <w:autoSpaceDN w:val="0"/>
        <w:spacing w:before="0" w:after="0" w:line="560" w:lineRule="exact"/>
        <w:ind w:left="146" w:right="0" w:firstLine="642"/>
        <w:jc w:val="left"/>
      </w:pPr>
      <w:r>
        <w:rPr>
          <w:rFonts w:ascii="vbvkBtaN+KSOFE44F9426" w:hAnsi="vbvkBtaN+KSOFE44F9426" w:eastAsia="vbvkBtaN+KSOFE44F9426"/>
          <w:color w:val="1F2229"/>
          <w:sz w:val="32"/>
        </w:rPr>
        <w:t>2.</w:t>
      </w:r>
      <w:r>
        <w:rPr>
          <w:rFonts w:ascii="WTRFWDrc+FangSong" w:hAnsi="WTRFWDrc+FangSong" w:eastAsia="WTRFWDrc+FangSong"/>
          <w:color w:val="1F2229"/>
          <w:sz w:val="32"/>
        </w:rPr>
        <w:t>细化绩效目标设定：结合单位核心职能和年度工作任务，进一步细化整体支出绩效目标，将目标分解到具体科室、具体工作任务，明确量化指标和评价标准，增强绩效目标的针对性、可操作性和可考核性，为后续绩效运行监控、绩效评价工作奠定坚实基础。</w:t>
      </w:r>
    </w:p>
    <w:p w14:paraId="53AC5C88">
      <w:pPr>
        <w:widowControl/>
        <w:autoSpaceDE w:val="0"/>
        <w:autoSpaceDN w:val="0"/>
        <w:spacing w:before="0" w:after="0" w:line="560" w:lineRule="exact"/>
        <w:ind w:left="146" w:right="0" w:firstLine="642"/>
        <w:jc w:val="left"/>
      </w:pPr>
      <w:r>
        <w:rPr>
          <w:rFonts w:ascii="vbvkBtaN+KSOFE44F9426" w:hAnsi="vbvkBtaN+KSOFE44F9426" w:eastAsia="vbvkBtaN+KSOFE44F9426"/>
          <w:color w:val="1F2229"/>
          <w:sz w:val="32"/>
        </w:rPr>
        <w:t>3.</w:t>
      </w:r>
      <w:r>
        <w:rPr>
          <w:rFonts w:ascii="WTRFWDrc+FangSong" w:hAnsi="WTRFWDrc+FangSong" w:eastAsia="WTRFWDrc+FangSong"/>
          <w:color w:val="1F2229"/>
          <w:sz w:val="32"/>
        </w:rPr>
        <w:t>增强成本控制意识：加强节约型机关建设，通过专题宣传、日常提醒等方式，强化各科室节约意识；建立公用经费使用考核机制，规范经费使用流程，严格控制不必要的开支，倡导勤俭节约、精打细算的工作作风，提高资源利用效率，推进资金使用精细化管理。</w:t>
      </w:r>
    </w:p>
    <w:p w14:paraId="70FFEF0C">
      <w:pPr>
        <w:widowControl/>
        <w:tabs>
          <w:tab w:val="left" w:pos="788"/>
        </w:tabs>
        <w:autoSpaceDE w:val="0"/>
        <w:autoSpaceDN w:val="0"/>
        <w:spacing w:before="0" w:after="0" w:line="560" w:lineRule="exact"/>
        <w:ind w:left="146" w:right="144" w:firstLine="0"/>
        <w:jc w:val="left"/>
      </w:pPr>
      <w:r>
        <w:tab/>
      </w:r>
      <w:r>
        <w:rPr>
          <w:rFonts w:ascii="vSLHZXqE+KaiTi" w:hAnsi="vSLHZXqE+KaiTi" w:eastAsia="vSLHZXqE+KaiTi"/>
          <w:color w:val="1F2229"/>
          <w:sz w:val="32"/>
        </w:rPr>
        <w:t>（二）针对项目支出存在问题的整改措施</w:t>
      </w:r>
      <w:r>
        <w:br w:type="textWrapping"/>
      </w:r>
      <w:r>
        <w:tab/>
      </w:r>
      <w:r>
        <w:rPr>
          <w:rFonts w:ascii="vbvkBtaN+KSOFE44F9426" w:hAnsi="vbvkBtaN+KSOFE44F9426" w:eastAsia="vbvkBtaN+KSOFE44F9426"/>
          <w:color w:val="1F2229"/>
          <w:sz w:val="32"/>
        </w:rPr>
        <w:t>1.</w:t>
      </w:r>
      <w:r>
        <w:rPr>
          <w:rFonts w:ascii="WTRFWDrc+FangSong" w:hAnsi="WTRFWDrc+FangSong" w:eastAsia="WTRFWDrc+FangSong"/>
          <w:color w:val="1F2229"/>
          <w:sz w:val="32"/>
        </w:rPr>
        <w:t>加快滞后项目推进进度：对实施进度滞后的项目，成立专项整改小组，逐项分析滞后原因，制定专项推进计划，明确时间节点、责任人员，加强部门协同配合，及时协调解决项目实施过程中遇到的困难和问题，督促项目加快实施，确保尽快完成全部工作任务；建立项目实施进度定期通报机制，对进度严重滞后的项目，严肃追责问责。</w:t>
      </w:r>
    </w:p>
    <w:p w14:paraId="4765211F">
      <w:pPr>
        <w:widowControl/>
        <w:autoSpaceDE w:val="0"/>
        <w:autoSpaceDN w:val="0"/>
        <w:spacing w:before="240" w:after="0" w:line="320" w:lineRule="exact"/>
        <w:ind w:left="788" w:right="0" w:firstLine="0"/>
        <w:jc w:val="left"/>
      </w:pPr>
      <w:r>
        <w:rPr>
          <w:rFonts w:ascii="vbvkBtaN+KSOFE44F9426" w:hAnsi="vbvkBtaN+KSOFE44F9426" w:eastAsia="vbvkBtaN+KSOFE44F9426"/>
          <w:color w:val="1F2229"/>
          <w:sz w:val="32"/>
        </w:rPr>
        <w:t>2.</w:t>
      </w:r>
      <w:r>
        <w:rPr>
          <w:rFonts w:ascii="WTRFWDrc+FangSong" w:hAnsi="WTRFWDrc+FangSong" w:eastAsia="WTRFWDrc+FangSong"/>
          <w:color w:val="1F2229"/>
          <w:sz w:val="32"/>
        </w:rPr>
        <w:t>提升绩效指标设定质量：组织各科室认真学习绩效指标设</w:t>
      </w:r>
    </w:p>
    <w:p w14:paraId="1E1EEA02">
      <w:pPr>
        <w:widowControl/>
        <w:autoSpaceDE w:val="0"/>
        <w:autoSpaceDN w:val="0"/>
        <w:spacing w:before="858" w:after="0" w:line="286" w:lineRule="exact"/>
        <w:ind w:left="152" w:right="0" w:firstLine="0"/>
        <w:jc w:val="left"/>
      </w:pPr>
      <w:r>
        <w:rPr>
          <w:rFonts w:ascii="mj6kmDCF+Calibri" w:hAnsi="mj6kmDCF+Calibri" w:eastAsia="mj6kmDCF+Calibri"/>
          <w:color w:val="000000"/>
          <w:sz w:val="18"/>
        </w:rPr>
        <w:t>—</w:t>
      </w:r>
      <w:r>
        <w:rPr>
          <w:rFonts w:ascii="Ly7aSRLg+SimSun" w:hAnsi="Ly7aSRLg+SimSun" w:eastAsia="Ly7aSRLg+SimSun"/>
          <w:color w:val="000000"/>
          <w:sz w:val="28"/>
        </w:rPr>
        <w:t>6</w:t>
      </w:r>
      <w:r>
        <w:rPr>
          <w:rFonts w:ascii="mj6kmDCF+Calibri" w:hAnsi="mj6kmDCF+Calibri" w:eastAsia="mj6kmDCF+Calibri"/>
          <w:color w:val="000000"/>
          <w:sz w:val="18"/>
        </w:rPr>
        <w:t>—</w:t>
      </w:r>
    </w:p>
    <w:p w14:paraId="08EA2EC0">
      <w:pPr>
        <w:sectPr>
          <w:pgSz w:w="11906" w:h="17238"/>
          <w:pgMar w:top="808" w:right="1296" w:bottom="440" w:left="1440" w:header="720" w:footer="720" w:gutter="0"/>
          <w:cols w:equalWidth="0" w:num="1">
            <w:col w:w="9170"/>
          </w:cols>
          <w:docGrid w:linePitch="360" w:charSpace="0"/>
        </w:sectPr>
      </w:pPr>
    </w:p>
    <w:p w14:paraId="253E1B8A">
      <w:pPr>
        <w:widowControl/>
        <w:autoSpaceDE w:val="0"/>
        <w:autoSpaceDN w:val="0"/>
        <w:spacing w:before="588" w:after="0" w:line="220" w:lineRule="exact"/>
        <w:ind w:left="0" w:right="0"/>
      </w:pPr>
    </w:p>
    <w:p w14:paraId="07A5EEE3">
      <w:pPr>
        <w:widowControl/>
        <w:autoSpaceDE w:val="0"/>
        <w:autoSpaceDN w:val="0"/>
        <w:spacing w:before="0" w:after="0" w:line="500" w:lineRule="exact"/>
        <w:ind w:left="146" w:right="340" w:firstLine="0"/>
        <w:jc w:val="both"/>
      </w:pPr>
      <w:r>
        <w:rPr>
          <w:rFonts w:ascii="WTRFWDrc+FangSong" w:hAnsi="WTRFWDrc+FangSong" w:eastAsia="WTRFWDrc+FangSong"/>
          <w:color w:val="1F2229"/>
          <w:sz w:val="32"/>
        </w:rPr>
        <w:t>定相关要求，结合项目实际，科学、合理设定绩效指标，增强指标的量化性和可考核性；建立绩效指标审核机制，在项目立项和预算编制阶段，对绩效指标进行严格审核，对不符合要求的指标及时督促修改完善，确保指标贴合项目目标、符合评价要求。</w:t>
      </w:r>
    </w:p>
    <w:p w14:paraId="6F313268">
      <w:pPr>
        <w:widowControl/>
        <w:autoSpaceDE w:val="0"/>
        <w:autoSpaceDN w:val="0"/>
        <w:spacing w:before="0" w:after="0" w:line="560" w:lineRule="exact"/>
        <w:ind w:left="146" w:right="0" w:firstLine="642"/>
        <w:jc w:val="left"/>
      </w:pPr>
      <w:r>
        <w:rPr>
          <w:rFonts w:ascii="vbvkBtaN+KSOFE44F9426" w:hAnsi="vbvkBtaN+KSOFE44F9426" w:eastAsia="vbvkBtaN+KSOFE44F9426"/>
          <w:color w:val="1F2229"/>
          <w:sz w:val="32"/>
        </w:rPr>
        <w:t>3.</w:t>
      </w:r>
      <w:r>
        <w:rPr>
          <w:rFonts w:ascii="WTRFWDrc+FangSong" w:hAnsi="WTRFWDrc+FangSong" w:eastAsia="WTRFWDrc+FangSong"/>
          <w:color w:val="1F2229"/>
          <w:sz w:val="32"/>
        </w:rPr>
        <w:t>规范项目资金使用管理：进一步完善项目资金管理制度，严格按照项目实施方案和预算安排使用资金，加强费用报销审核，确保报销附件完整、合规；规范项目资料归档管理，安排专人负责资料收集、整理、归档，确保资料齐全、规范，可追溯，不断提升资金使用的合规性和规范性。</w:t>
      </w:r>
    </w:p>
    <w:p w14:paraId="3BE61A05">
      <w:pPr>
        <w:widowControl/>
        <w:autoSpaceDE w:val="0"/>
        <w:autoSpaceDN w:val="0"/>
        <w:spacing w:before="0" w:after="0" w:line="560" w:lineRule="exact"/>
        <w:ind w:left="146" w:right="340" w:firstLine="642"/>
        <w:jc w:val="both"/>
      </w:pPr>
      <w:r>
        <w:rPr>
          <w:rFonts w:ascii="vbvkBtaN+KSOFE44F9426" w:hAnsi="vbvkBtaN+KSOFE44F9426" w:eastAsia="vbvkBtaN+KSOFE44F9426"/>
          <w:color w:val="1F2229"/>
          <w:sz w:val="32"/>
        </w:rPr>
        <w:t>4.</w:t>
      </w:r>
      <w:r>
        <w:rPr>
          <w:rFonts w:ascii="WTRFWDrc+FangSong" w:hAnsi="WTRFWDrc+FangSong" w:eastAsia="WTRFWDrc+FangSong"/>
          <w:color w:val="1F2229"/>
          <w:sz w:val="32"/>
        </w:rPr>
        <w:t>强化绩效评价成果应用：建立绩效自评结果与项目后续安排、资金分配、科室绩效考核挂钩机制，对评价优秀的项目，优先安排后续资金和项目支持；对评价不合格、存在问题较多的项目，暂停后续资金拨付，督促整改到位，整改不到位的不予安排后续项目；将绩效自评工作纳入科室年度考核，强化各科室绩效意识，推动预算绩效管理提质增效，充分发挥绩效评价的导向和约束作用。</w:t>
      </w:r>
    </w:p>
    <w:p w14:paraId="1BEFD59E">
      <w:pPr>
        <w:widowControl/>
        <w:tabs>
          <w:tab w:val="left" w:pos="788"/>
        </w:tabs>
        <w:autoSpaceDE w:val="0"/>
        <w:autoSpaceDN w:val="0"/>
        <w:spacing w:before="0" w:after="0" w:line="560" w:lineRule="exact"/>
        <w:ind w:left="146" w:right="288" w:firstLine="0"/>
        <w:jc w:val="left"/>
      </w:pPr>
      <w:r>
        <w:tab/>
      </w:r>
      <w:r>
        <w:rPr>
          <w:rFonts w:ascii="ga2ghx6c+SimHei" w:hAnsi="ga2ghx6c+SimHei" w:eastAsia="ga2ghx6c+SimHei"/>
          <w:color w:val="1F2229"/>
          <w:sz w:val="32"/>
        </w:rPr>
        <w:t>五、其他需要说明的问题</w:t>
      </w:r>
      <w:r>
        <w:br w:type="textWrapping"/>
      </w:r>
      <w:r>
        <w:tab/>
      </w:r>
      <w:r>
        <w:rPr>
          <w:rFonts w:ascii="WTRFWDrc+FangSong" w:hAnsi="WTRFWDrc+FangSong" w:eastAsia="WTRFWDrc+FangSong"/>
          <w:color w:val="1F2229"/>
          <w:sz w:val="32"/>
        </w:rPr>
        <w:t>本次绩效自评工作严格按照上级财政部门要求和单位工作方案开展，坚持客观、公正、真实的原则，全面梳理</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年度预算支出绩效情况，如实反映存在的问题并制定整改措施，确保自评工作质量。</w:t>
      </w:r>
    </w:p>
    <w:p w14:paraId="1DAD32B5">
      <w:pPr>
        <w:widowControl/>
        <w:autoSpaceDE w:val="0"/>
        <w:autoSpaceDN w:val="0"/>
        <w:spacing w:before="0" w:after="0" w:line="560" w:lineRule="exact"/>
        <w:ind w:left="146" w:right="144" w:firstLine="642"/>
        <w:jc w:val="left"/>
      </w:pPr>
      <w:r>
        <w:rPr>
          <w:rFonts w:ascii="vbvkBtaN+KSOFE44F9426" w:hAnsi="vbvkBtaN+KSOFE44F9426" w:eastAsia="vbvkBtaN+KSOFE44F9426"/>
          <w:color w:val="1F2229"/>
          <w:sz w:val="32"/>
        </w:rPr>
        <w:t>1.</w:t>
      </w:r>
      <w:r>
        <w:rPr>
          <w:rFonts w:ascii="WTRFWDrc+FangSong" w:hAnsi="WTRFWDrc+FangSong" w:eastAsia="WTRFWDrc+FangSong"/>
          <w:color w:val="1F2229"/>
          <w:sz w:val="32"/>
        </w:rPr>
        <w:t>巡视巡察、审计、财政监督检查等相关情况：</w:t>
      </w:r>
      <w:r>
        <w:rPr>
          <w:rFonts w:ascii="vbvkBtaN+KSOFE44F9426" w:hAnsi="vbvkBtaN+KSOFE44F9426" w:eastAsia="vbvkBtaN+KSOFE44F9426"/>
          <w:color w:val="1F2229"/>
          <w:sz w:val="32"/>
        </w:rPr>
        <w:t>2025</w:t>
      </w:r>
      <w:r>
        <w:rPr>
          <w:rFonts w:ascii="WTRFWDrc+FangSong" w:hAnsi="WTRFWDrc+FangSong" w:eastAsia="WTRFWDrc+FangSong"/>
          <w:color w:val="1F2229"/>
          <w:sz w:val="32"/>
        </w:rPr>
        <w:t>年度，我单位未收到上级部门开展巡视巡察、审计、财政监督检查等工作的通知，未发现相关问题，也无涉及资金违规使用等相关情况。</w:t>
      </w:r>
    </w:p>
    <w:p w14:paraId="2D6618C3">
      <w:pPr>
        <w:widowControl/>
        <w:autoSpaceDE w:val="0"/>
        <w:autoSpaceDN w:val="0"/>
        <w:spacing w:before="858" w:after="0" w:line="286" w:lineRule="exact"/>
        <w:ind w:left="0" w:right="344" w:firstLine="0"/>
        <w:jc w:val="right"/>
      </w:pPr>
      <w:r>
        <w:rPr>
          <w:rFonts w:ascii="mj6kmDCF+Calibri" w:hAnsi="mj6kmDCF+Calibri" w:eastAsia="mj6kmDCF+Calibri"/>
          <w:color w:val="000000"/>
          <w:sz w:val="18"/>
        </w:rPr>
        <w:t>—</w:t>
      </w:r>
      <w:r>
        <w:rPr>
          <w:rFonts w:ascii="Ly7aSRLg+SimSun" w:hAnsi="Ly7aSRLg+SimSun" w:eastAsia="Ly7aSRLg+SimSun"/>
          <w:color w:val="000000"/>
          <w:sz w:val="28"/>
        </w:rPr>
        <w:t>7</w:t>
      </w:r>
      <w:r>
        <w:rPr>
          <w:rFonts w:ascii="mj6kmDCF+Calibri" w:hAnsi="mj6kmDCF+Calibri" w:eastAsia="mj6kmDCF+Calibri"/>
          <w:color w:val="000000"/>
          <w:sz w:val="18"/>
        </w:rPr>
        <w:t>—</w:t>
      </w:r>
    </w:p>
    <w:p w14:paraId="7292757A">
      <w:pPr>
        <w:sectPr>
          <w:pgSz w:w="11906" w:h="17238"/>
          <w:pgMar w:top="808" w:right="1134" w:bottom="440" w:left="1440" w:header="720" w:footer="720" w:gutter="0"/>
          <w:cols w:equalWidth="0" w:num="1">
            <w:col w:w="9332"/>
          </w:cols>
          <w:docGrid w:linePitch="360" w:charSpace="0"/>
        </w:sectPr>
      </w:pPr>
    </w:p>
    <w:p w14:paraId="03393B7F">
      <w:pPr>
        <w:widowControl/>
        <w:autoSpaceDE w:val="0"/>
        <w:autoSpaceDN w:val="0"/>
        <w:spacing w:before="588" w:after="0" w:line="220" w:lineRule="exact"/>
        <w:ind w:left="0" w:right="0"/>
      </w:pPr>
    </w:p>
    <w:p w14:paraId="7F57DB72">
      <w:pPr>
        <w:widowControl/>
        <w:autoSpaceDE w:val="0"/>
        <w:autoSpaceDN w:val="0"/>
        <w:spacing w:before="0" w:after="0" w:line="318" w:lineRule="exact"/>
        <w:ind w:left="788" w:right="0" w:firstLine="0"/>
        <w:jc w:val="left"/>
      </w:pPr>
      <w:r>
        <w:rPr>
          <w:rFonts w:ascii="vbvkBtaN+KSOFE44F9426" w:hAnsi="vbvkBtaN+KSOFE44F9426" w:eastAsia="vbvkBtaN+KSOFE44F9426"/>
          <w:color w:val="1F2229"/>
          <w:sz w:val="32"/>
        </w:rPr>
        <w:t>2.</w:t>
      </w:r>
      <w:r>
        <w:rPr>
          <w:rFonts w:ascii="WTRFWDrc+FangSong" w:hAnsi="WTRFWDrc+FangSong" w:eastAsia="WTRFWDrc+FangSong"/>
          <w:color w:val="1F2229"/>
          <w:sz w:val="32"/>
        </w:rPr>
        <w:t>其他需要说明的事项：无</w:t>
      </w:r>
    </w:p>
    <w:p w14:paraId="26B1C2A5">
      <w:pPr>
        <w:widowControl/>
        <w:autoSpaceDE w:val="0"/>
        <w:autoSpaceDN w:val="0"/>
        <w:spacing w:before="800" w:after="0" w:line="320" w:lineRule="exact"/>
        <w:ind w:left="0" w:right="36" w:firstLine="0"/>
        <w:jc w:val="right"/>
      </w:pPr>
      <w:r>
        <w:rPr>
          <w:rFonts w:ascii="WTRFWDrc+FangSong" w:hAnsi="WTRFWDrc+FangSong" w:eastAsia="WTRFWDrc+FangSong"/>
          <w:color w:val="1F2229"/>
          <w:sz w:val="32"/>
        </w:rPr>
        <w:t>昆明市五华区应急管理局</w:t>
      </w:r>
    </w:p>
    <w:p w14:paraId="300F72B5">
      <w:pPr>
        <w:widowControl/>
        <w:autoSpaceDE w:val="0"/>
        <w:autoSpaceDN w:val="0"/>
        <w:spacing w:before="242" w:after="0" w:line="318" w:lineRule="exact"/>
        <w:ind w:left="0" w:right="960" w:firstLine="0"/>
        <w:jc w:val="right"/>
      </w:pPr>
      <w:r>
        <w:rPr>
          <w:rFonts w:ascii="vbvkBtaN+KSOFE44F9426" w:hAnsi="vbvkBtaN+KSOFE44F9426" w:eastAsia="vbvkBtaN+KSOFE44F9426"/>
          <w:color w:val="1F2229"/>
          <w:sz w:val="32"/>
        </w:rPr>
        <w:t>2026</w:t>
      </w:r>
      <w:r>
        <w:rPr>
          <w:rFonts w:ascii="WTRFWDrc+FangSong" w:hAnsi="WTRFWDrc+FangSong" w:eastAsia="WTRFWDrc+FangSong"/>
          <w:color w:val="1F2229"/>
          <w:sz w:val="32"/>
        </w:rPr>
        <w:t>年</w:t>
      </w:r>
      <w:r>
        <w:rPr>
          <w:rFonts w:ascii="vbvkBtaN+KSOFE44F9426" w:hAnsi="vbvkBtaN+KSOFE44F9426" w:eastAsia="vbvkBtaN+KSOFE44F9426"/>
          <w:color w:val="1F2229"/>
          <w:sz w:val="32"/>
        </w:rPr>
        <w:t>3</w:t>
      </w:r>
      <w:r>
        <w:rPr>
          <w:rFonts w:ascii="WTRFWDrc+FangSong" w:hAnsi="WTRFWDrc+FangSong" w:eastAsia="WTRFWDrc+FangSong"/>
          <w:color w:val="1F2229"/>
          <w:sz w:val="32"/>
        </w:rPr>
        <w:t>月</w:t>
      </w:r>
      <w:r>
        <w:rPr>
          <w:rFonts w:ascii="vbvkBtaN+KSOFE44F9426" w:hAnsi="vbvkBtaN+KSOFE44F9426" w:eastAsia="vbvkBtaN+KSOFE44F9426"/>
          <w:color w:val="1F2229"/>
          <w:sz w:val="32"/>
        </w:rPr>
        <w:t>16</w:t>
      </w:r>
      <w:r>
        <w:rPr>
          <w:rFonts w:ascii="WTRFWDrc+FangSong" w:hAnsi="WTRFWDrc+FangSong" w:eastAsia="WTRFWDrc+FangSong"/>
          <w:color w:val="1F2229"/>
          <w:sz w:val="32"/>
        </w:rPr>
        <w:t>日</w:t>
      </w:r>
    </w:p>
    <w:p w14:paraId="1A6E7111">
      <w:pPr>
        <w:widowControl/>
        <w:autoSpaceDE w:val="0"/>
        <w:autoSpaceDN w:val="0"/>
        <w:spacing w:before="12058" w:after="0" w:line="286" w:lineRule="exact"/>
        <w:ind w:left="152" w:right="0" w:firstLine="0"/>
        <w:jc w:val="left"/>
      </w:pPr>
      <w:r>
        <w:rPr>
          <w:rFonts w:ascii="mj6kmDCF+Calibri" w:hAnsi="mj6kmDCF+Calibri" w:eastAsia="mj6kmDCF+Calibri"/>
          <w:color w:val="000000"/>
          <w:sz w:val="18"/>
        </w:rPr>
        <w:t>—</w:t>
      </w:r>
      <w:r>
        <w:rPr>
          <w:rFonts w:ascii="Ly7aSRLg+SimSun" w:hAnsi="Ly7aSRLg+SimSun" w:eastAsia="Ly7aSRLg+SimSun"/>
          <w:color w:val="000000"/>
          <w:sz w:val="28"/>
        </w:rPr>
        <w:t>8</w:t>
      </w:r>
      <w:r>
        <w:rPr>
          <w:rFonts w:ascii="mj6kmDCF+Calibri" w:hAnsi="mj6kmDCF+Calibri" w:eastAsia="mj6kmDCF+Calibri"/>
          <w:color w:val="000000"/>
          <w:sz w:val="18"/>
        </w:rPr>
        <w:t>—</w:t>
      </w:r>
    </w:p>
    <w:sectPr>
      <w:pgSz w:w="11906" w:h="17238"/>
      <w:pgMar w:top="808" w:right="1440" w:bottom="440" w:left="1440" w:header="720" w:footer="720" w:gutter="0"/>
      <w:cols w:equalWidth="0" w:num="1">
        <w:col w:w="902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cNtkqcMC+SimSun">
    <w:panose1 w:val="02000503000000000000"/>
    <w:charset w:val="88"/>
    <w:family w:val="auto"/>
    <w:pitch w:val="default"/>
    <w:sig w:usb0="80000003" w:usb1="08010000" w:usb2="00000010" w:usb3="00000000" w:csb0="00100000" w:csb1="00000000"/>
  </w:font>
  <w:font w:name="dZKensuH+DengXian">
    <w:panose1 w:val="02000503000000000000"/>
    <w:charset w:val="00"/>
    <w:family w:val="auto"/>
    <w:pitch w:val="default"/>
    <w:sig w:usb0="00000000" w:usb1="08000000" w:usb2="00000000" w:usb3="00000000" w:csb0="00000001" w:csb1="00000000"/>
  </w:font>
  <w:font w:name="x21OYpwr+KSOF439AD144">
    <w:panose1 w:val="02000503000000000000"/>
    <w:charset w:val="00"/>
    <w:family w:val="auto"/>
    <w:pitch w:val="default"/>
    <w:sig w:usb0="00000001" w:usb1="00000000" w:usb2="00000000" w:usb3="00000000" w:csb0="00000001" w:csb1="00000000"/>
  </w:font>
  <w:font w:name="WTRFWDrc+FangSong">
    <w:panose1 w:val="02000503000000000000"/>
    <w:charset w:val="88"/>
    <w:family w:val="auto"/>
    <w:pitch w:val="default"/>
    <w:sig w:usb0="80000000" w:usb1="08010040" w:usb2="00000010" w:usb3="00000000" w:csb0="00100000" w:csb1="00000000"/>
  </w:font>
  <w:font w:name="vbvkBtaN+KSOFE44F9426">
    <w:panose1 w:val="02000503000000000000"/>
    <w:charset w:val="00"/>
    <w:family w:val="auto"/>
    <w:pitch w:val="default"/>
    <w:sig w:usb0="00000001" w:usb1="00000000" w:usb2="00000000" w:usb3="00000000" w:csb0="00000001" w:csb1="00000000"/>
  </w:font>
  <w:font w:name="ga2ghx6c+SimHei">
    <w:panose1 w:val="02000503000000000000"/>
    <w:charset w:val="00"/>
    <w:family w:val="auto"/>
    <w:pitch w:val="default"/>
    <w:sig w:usb0="00000000" w:usb1="08010000" w:usb2="00000010" w:usb3="00000000" w:csb0="00000001" w:csb1="00000000"/>
  </w:font>
  <w:font w:name="vSLHZXqE+KaiTi">
    <w:panose1 w:val="02000503000000000000"/>
    <w:charset w:val="00"/>
    <w:family w:val="auto"/>
    <w:pitch w:val="default"/>
    <w:sig w:usb0="00000000" w:usb1="08000000" w:usb2="00000010" w:usb3="00000000" w:csb0="00000001" w:csb1="00000000"/>
  </w:font>
  <w:font w:name="mj6kmDCF+Calibri">
    <w:panose1 w:val="02000503000000000000"/>
    <w:charset w:val="00"/>
    <w:family w:val="auto"/>
    <w:pitch w:val="default"/>
    <w:sig w:usb0="80000001" w:usb1="00000000" w:usb2="00000000" w:usb3="00000000" w:csb0="00000001" w:csb1="00000000"/>
  </w:font>
  <w:font w:name="Ly7aSRLg+SimSun">
    <w:panose1 w:val="02000503000000000000"/>
    <w:charset w:val="00"/>
    <w:family w:val="auto"/>
    <w:pitch w:val="default"/>
    <w:sig w:usb0="00000001"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3" w:usb1="08010000" w:usb2="00000010" w:usb3="00000000" w:csb0="00100000" w:csb1="00000000"/>
  </w:font>
  <w:font w:name="WPSEMBED3">
    <w:panose1 w:val="02000503000000000000"/>
    <w:charset w:val="00"/>
    <w:family w:val="auto"/>
    <w:pitch w:val="default"/>
    <w:sig w:usb0="00000000" w:usb1="08000000" w:usb2="00000000" w:usb3="00000000" w:csb0="00000001" w:csb1="00000000"/>
  </w:font>
  <w:font w:name="WPSEMBED4">
    <w:panose1 w:val="02000503000000000000"/>
    <w:charset w:val="00"/>
    <w:family w:val="auto"/>
    <w:pitch w:val="default"/>
    <w:sig w:usb0="00000001" w:usb1="00000000" w:usb2="00000000" w:usb3="00000000" w:csb0="00000001" w:csb1="00000000"/>
  </w:font>
  <w:font w:name="WPSEMBED6">
    <w:panose1 w:val="02000503000000000000"/>
    <w:charset w:val="88"/>
    <w:family w:val="auto"/>
    <w:pitch w:val="default"/>
    <w:sig w:usb0="80000000" w:usb1="08010040" w:usb2="00000010" w:usb3="00000000" w:csb0="00100000" w:csb1="00000000"/>
  </w:font>
  <w:font w:name="WPSEMBED7">
    <w:panose1 w:val="02000503000000000000"/>
    <w:charset w:val="00"/>
    <w:family w:val="auto"/>
    <w:pitch w:val="default"/>
    <w:sig w:usb0="00000001" w:usb1="00000000" w:usb2="00000000" w:usb3="00000000" w:csb0="00000001" w:csb1="00000000"/>
  </w:font>
  <w:font w:name="WPSEMBED8">
    <w:panose1 w:val="02000503000000000000"/>
    <w:charset w:val="00"/>
    <w:family w:val="auto"/>
    <w:pitch w:val="default"/>
    <w:sig w:usb0="00000000" w:usb1="08010000" w:usb2="00000010" w:usb3="00000000" w:csb0="00000001" w:csb1="00000000"/>
  </w:font>
  <w:font w:name="WPSEMBED9">
    <w:panose1 w:val="02000503000000000000"/>
    <w:charset w:val="00"/>
    <w:family w:val="auto"/>
    <w:pitch w:val="default"/>
    <w:sig w:usb0="00000000" w:usb1="08000000" w:usb2="00000010" w:usb3="00000000" w:csb0="00000001" w:csb1="00000000"/>
  </w:font>
  <w:font w:name="WPSEMBED10">
    <w:panose1 w:val="02000503000000000000"/>
    <w:charset w:val="00"/>
    <w:family w:val="auto"/>
    <w:pitch w:val="default"/>
    <w:sig w:usb0="80000001" w:usb1="00000000" w:usb2="00000000" w:usb3="00000000" w:csb0="00000001" w:csb1="00000000"/>
  </w:font>
  <w:font w:name="WPSEMBED2">
    <w:panose1 w:val="02000503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9D011F"/>
    <w:rsid w:val="310E2F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6118</Words>
  <Characters>6333</Characters>
  <Lines>0</Lines>
  <Paragraphs>0</Paragraphs>
  <TotalTime>0</TotalTime>
  <ScaleCrop>false</ScaleCrop>
  <LinksUpToDate>false</LinksUpToDate>
  <CharactersWithSpaces>6346</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2026-08-31T06:44:51Z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4F35F7847F3C42099FD3942CD9B45EBA_13</vt:lpwstr>
  </property>
  <property fmtid="{D5CDD505-2E9C-101B-9397-08002B2CF9AE}" pid="4" name="KSOTemplateDocerSaveRecord">
    <vt:lpwstr>eyJoZGlkIjoiOGQyZDRkZmFlNWM0MDliNWRhYTQ0Nzc4MzE5NmI0MjQiLCJ1c2VySWQiOiIzNjE2NjA5NTcifQ==</vt:lpwstr>
  </property>
</Properties>
</file>