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C7E95">
      <w:pPr>
        <w:widowControl/>
        <w:autoSpaceDE w:val="0"/>
        <w:autoSpaceDN w:val="0"/>
        <w:spacing w:before="910" w:after="0" w:line="220" w:lineRule="exact"/>
        <w:ind w:left="0" w:right="0"/>
      </w:pPr>
    </w:p>
    <w:p w14:paraId="30C2BC92">
      <w:pPr>
        <w:widowControl/>
        <w:autoSpaceDE w:val="0"/>
        <w:autoSpaceDN w:val="0"/>
        <w:spacing w:before="0" w:after="0" w:line="514" w:lineRule="exact"/>
        <w:ind w:left="0" w:right="0" w:firstLine="0"/>
        <w:jc w:val="center"/>
      </w:pPr>
      <w:r>
        <w:rPr>
          <w:rFonts w:ascii="0wapfIg5+FZXBSJW" w:hAnsi="0wapfIg5+FZXBSJW" w:eastAsia="0wapfIg5+FZXBSJW"/>
          <w:color w:val="1F2229"/>
          <w:sz w:val="44"/>
        </w:rPr>
        <w:t>五华区疾病预防控制中心</w:t>
      </w:r>
    </w:p>
    <w:p w14:paraId="0087B2E9">
      <w:pPr>
        <w:widowControl/>
        <w:autoSpaceDE w:val="0"/>
        <w:autoSpaceDN w:val="0"/>
        <w:spacing w:before="158" w:after="0" w:line="522" w:lineRule="exact"/>
        <w:ind w:left="232" w:right="0" w:firstLine="0"/>
        <w:jc w:val="left"/>
      </w:pPr>
      <w:r>
        <w:rPr>
          <w:rFonts w:ascii="8mvCAQsh+TimesNewRomanPSMT" w:hAnsi="8mvCAQsh+TimesNewRomanPSMT" w:eastAsia="8mvCAQsh+TimesNewRomanPSMT"/>
          <w:color w:val="1F2229"/>
          <w:sz w:val="44"/>
        </w:rPr>
        <w:t>2025</w:t>
      </w:r>
      <w:r>
        <w:rPr>
          <w:rFonts w:ascii="0wapfIg5+FZXBSJW" w:hAnsi="0wapfIg5+FZXBSJW" w:eastAsia="0wapfIg5+FZXBSJW"/>
          <w:color w:val="1F2229"/>
          <w:sz w:val="44"/>
        </w:rPr>
        <w:t>年度预算支出绩效自评工作情况报告</w:t>
      </w:r>
    </w:p>
    <w:p w14:paraId="4F053511">
      <w:pPr>
        <w:widowControl/>
        <w:autoSpaceDE w:val="0"/>
        <w:autoSpaceDN w:val="0"/>
        <w:spacing w:before="498" w:after="0" w:line="560" w:lineRule="exact"/>
        <w:ind w:left="146" w:right="0" w:firstLine="642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为认真贯彻落实党中央</w:t>
      </w:r>
      <w:r>
        <w:rPr>
          <w:rFonts w:hint="eastAsia" w:ascii="pzJ4FaOm+FangSong_GB2312" w:hAnsi="pzJ4FaOm+FangSong_GB2312" w:eastAsia="宋体"/>
          <w:color w:val="1F2229"/>
          <w:sz w:val="32"/>
          <w:lang w:val="en-US" w:eastAsia="zh-CN"/>
        </w:rPr>
        <w:t xml:space="preserve"> </w:t>
      </w:r>
      <w:bookmarkStart w:id="0" w:name="_GoBack"/>
      <w:bookmarkEnd w:id="0"/>
      <w:r>
        <w:rPr>
          <w:rFonts w:ascii="pzJ4FaOm+FangSong_GB2312" w:hAnsi="pzJ4FaOm+FangSong_GB2312" w:eastAsia="pzJ4FaOm+FangSong_GB2312"/>
          <w:color w:val="1F2229"/>
          <w:sz w:val="32"/>
        </w:rPr>
        <w:t>国务院、省市区党委政府关于全面实施预算绩效管理的决策部署，健全绩效管理常态化机制，切实增强支出绩效意识，提高财政资金使用效益，根据《云南省财政厅关于印发〈云南省项目支出绩效评价管理办法〉的通知》（云财绩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2020</w:t>
      </w:r>
      <w:r>
        <w:rPr>
          <w:rFonts w:ascii="pzJ4FaOm+FangSong_GB2312" w:hAnsi="pzJ4FaOm+FangSong_GB2312" w:eastAsia="pzJ4FaOm+FangSong_GB2312"/>
          <w:color w:val="1F2229"/>
          <w:sz w:val="32"/>
        </w:rPr>
        <w:t>〕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11</w:t>
      </w:r>
      <w:r>
        <w:rPr>
          <w:rFonts w:ascii="pzJ4FaOm+FangSong_GB2312" w:hAnsi="pzJ4FaOm+FangSong_GB2312" w:eastAsia="pzJ4FaOm+FangSong_GB2312"/>
          <w:color w:val="1F2229"/>
          <w:sz w:val="32"/>
        </w:rPr>
        <w:t>号）、《五华区预算绩效自评管理暂行办法》（五财〔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2019</w:t>
      </w:r>
      <w:r>
        <w:rPr>
          <w:rFonts w:ascii="pzJ4FaOm+FangSong_GB2312" w:hAnsi="pzJ4FaOm+FangSong_GB2312" w:eastAsia="pzJ4FaOm+FangSong_GB2312"/>
          <w:color w:val="1F2229"/>
          <w:sz w:val="32"/>
        </w:rPr>
        <w:t>〕</w:t>
      </w:r>
      <w:r>
        <w:rPr>
          <w:rFonts w:ascii="8mvCAQsh+TimesNewRomanPSMT" w:hAnsi="8mvCAQsh+TimesNewRomanPSMT" w:eastAsia="8mvCAQsh+TimesNewRomanPSMT"/>
          <w:color w:val="1F2229"/>
          <w:sz w:val="32"/>
        </w:rPr>
        <w:t>51</w:t>
      </w:r>
      <w:r>
        <w:rPr>
          <w:rFonts w:ascii="pzJ4FaOm+FangSong_GB2312" w:hAnsi="pzJ4FaOm+FangSong_GB2312" w:eastAsia="pzJ4FaOm+FangSong_GB2312"/>
          <w:color w:val="1F2229"/>
          <w:sz w:val="32"/>
        </w:rPr>
        <w:t>号）等文件精神以及《五华区财政局关于开展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年度预算支出绩效自评工作的通知》（五财〔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2026</w:t>
      </w:r>
      <w:r>
        <w:rPr>
          <w:rFonts w:ascii="pzJ4FaOm+FangSong_GB2312" w:hAnsi="pzJ4FaOm+FangSong_GB2312" w:eastAsia="pzJ4FaOm+FangSong_GB2312"/>
          <w:color w:val="1F2229"/>
          <w:sz w:val="32"/>
        </w:rPr>
        <w:t>〕号）要求，我单位高度重视，精心部署，积极组织，认真对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年度整体支出和所有项目支出开展了绩效自评工作，现将有关情况报告如下：</w:t>
      </w:r>
    </w:p>
    <w:p w14:paraId="04EDF322">
      <w:pPr>
        <w:widowControl/>
        <w:autoSpaceDE w:val="0"/>
        <w:autoSpaceDN w:val="0"/>
        <w:spacing w:before="240" w:after="0" w:line="320" w:lineRule="exact"/>
        <w:ind w:left="788" w:right="0" w:firstLine="0"/>
        <w:jc w:val="left"/>
      </w:pPr>
      <w:r>
        <w:rPr>
          <w:rFonts w:ascii="jOGPVCVB+SimHei" w:hAnsi="jOGPVCVB+SimHei" w:eastAsia="jOGPVCVB+SimHei"/>
          <w:color w:val="1F2229"/>
          <w:sz w:val="32"/>
        </w:rPr>
        <w:t>一、工作情况</w:t>
      </w:r>
    </w:p>
    <w:p w14:paraId="04223637">
      <w:pPr>
        <w:widowControl/>
        <w:tabs>
          <w:tab w:val="left" w:pos="788"/>
        </w:tabs>
        <w:autoSpaceDE w:val="0"/>
        <w:autoSpaceDN w:val="0"/>
        <w:spacing w:before="0" w:after="0" w:line="560" w:lineRule="exact"/>
        <w:ind w:left="146" w:right="0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（一）绩效自评工作开展情况</w:t>
      </w:r>
      <w:r>
        <w:br w:type="textWrapping"/>
      </w:r>
      <w:r>
        <w:tab/>
      </w:r>
      <w:r>
        <w:rPr>
          <w:rFonts w:ascii="pzJ4FaOm+FangSong_GB2312" w:hAnsi="pzJ4FaOm+FangSong_GB2312" w:eastAsia="pzJ4FaOm+FangSong_GB2312"/>
          <w:color w:val="1F2229"/>
          <w:sz w:val="32"/>
        </w:rPr>
        <w:t>为确保绩效自评工作有序推进、取得实效，我单位切实提高政治站位，将绩效自评作为强化预算管理、提升资金效能的重要举措，扎实开展各项工作。</w:t>
      </w:r>
    </w:p>
    <w:p w14:paraId="7EBB7674">
      <w:pPr>
        <w:widowControl/>
        <w:autoSpaceDE w:val="0"/>
        <w:autoSpaceDN w:val="0"/>
        <w:spacing w:before="2" w:after="0" w:line="560" w:lineRule="exact"/>
        <w:ind w:left="146" w:right="136" w:firstLine="642"/>
        <w:jc w:val="both"/>
      </w:pPr>
      <w:r>
        <w:rPr>
          <w:rFonts w:ascii="pzJ4FaOm+FangSong_GB2312" w:hAnsi="pzJ4FaOm+FangSong_GB2312" w:eastAsia="pzJ4FaOm+FangSong_GB2312"/>
          <w:color w:val="1F2229"/>
          <w:sz w:val="32"/>
        </w:rPr>
        <w:t>一是成立自评工作组。</w:t>
      </w:r>
      <w:r>
        <w:rPr>
          <w:rFonts w:ascii="pzJ4FaOm+FangSong_GB2312" w:hAnsi="pzJ4FaOm+FangSong_GB2312" w:eastAsia="pzJ4FaOm+FangSong_GB2312"/>
          <w:color w:val="000000"/>
          <w:sz w:val="32"/>
        </w:rPr>
        <w:t>由中心主任</w:t>
      </w:r>
      <w:r>
        <w:rPr>
          <w:rFonts w:ascii="pzJ4FaOm+FangSong_GB2312" w:hAnsi="pzJ4FaOm+FangSong_GB2312" w:eastAsia="pzJ4FaOm+FangSong_GB2312"/>
          <w:color w:val="1F2229"/>
          <w:sz w:val="32"/>
        </w:rPr>
        <w:t>任组长，分管负责人任副组长，各业务科室、财务科室负责人为成员，明确领导小组统筹协调、财务人员具体落实的工作机制，层层压实责任、细化任务分工，确保自评工作有人抓、有人管、有成效。</w:t>
      </w:r>
    </w:p>
    <w:p w14:paraId="207256F1">
      <w:pPr>
        <w:widowControl/>
        <w:autoSpaceDE w:val="0"/>
        <w:autoSpaceDN w:val="0"/>
        <w:spacing w:before="1080" w:after="0" w:line="286" w:lineRule="exact"/>
        <w:ind w:left="0" w:right="138" w:firstLine="0"/>
        <w:jc w:val="righ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1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1253C97E">
      <w:pPr>
        <w:sectPr>
          <w:pgSz w:w="11906" w:h="17238"/>
          <w:pgMar w:top="1130" w:right="1340" w:bottom="440" w:left="1440" w:header="720" w:footer="720" w:gutter="0"/>
          <w:cols w:equalWidth="0" w:num="1">
            <w:col w:w="9126"/>
          </w:cols>
          <w:docGrid w:linePitch="360" w:charSpace="0"/>
        </w:sectPr>
      </w:pPr>
    </w:p>
    <w:p w14:paraId="41846293">
      <w:pPr>
        <w:widowControl/>
        <w:autoSpaceDE w:val="0"/>
        <w:autoSpaceDN w:val="0"/>
        <w:spacing w:before="912" w:after="0" w:line="220" w:lineRule="exact"/>
        <w:ind w:left="0" w:right="0"/>
      </w:pPr>
    </w:p>
    <w:p w14:paraId="01302BF6">
      <w:pPr>
        <w:widowControl/>
        <w:autoSpaceDE w:val="0"/>
        <w:autoSpaceDN w:val="0"/>
        <w:spacing w:before="0" w:after="0" w:line="502" w:lineRule="exact"/>
        <w:ind w:left="146" w:right="340" w:firstLine="642"/>
        <w:jc w:val="both"/>
      </w:pPr>
      <w:r>
        <w:rPr>
          <w:rFonts w:ascii="pzJ4FaOm+FangSong_GB2312" w:hAnsi="pzJ4FaOm+FangSong_GB2312" w:eastAsia="pzJ4FaOm+FangSong_GB2312"/>
          <w:color w:val="1F2229"/>
          <w:sz w:val="32"/>
        </w:rPr>
        <w:t>二是细化工作部署。结合单位实际，制定《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年度预算支出绩效自评工作实施方案》，明确自评范围、评价标准、方法步骤、时间节点和责任分工，下发至各相关科室，确保自评工作有章可循、有据可依、规范有序。</w:t>
      </w:r>
    </w:p>
    <w:p w14:paraId="4204F8A1">
      <w:pPr>
        <w:widowControl/>
        <w:autoSpaceDE w:val="0"/>
        <w:autoSpaceDN w:val="0"/>
        <w:spacing w:before="0" w:after="0" w:line="560" w:lineRule="exact"/>
        <w:ind w:left="146" w:right="0" w:firstLine="642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三是开展业务培训。组织各科室自评工作人员开展专题培训，重点讲解绩效自评指标体系、填报规范、评价方法以及预算管理一体化系统操作流程，解答自评过程中可能遇到的难点问题，提升工作人员业务能力，保障自评工作质量。</w:t>
      </w:r>
    </w:p>
    <w:p w14:paraId="6C3E31E6">
      <w:pPr>
        <w:widowControl/>
        <w:autoSpaceDE w:val="0"/>
        <w:autoSpaceDN w:val="0"/>
        <w:spacing w:before="0" w:after="0" w:line="560" w:lineRule="exact"/>
        <w:ind w:left="146" w:right="182" w:firstLine="642"/>
        <w:jc w:val="both"/>
      </w:pPr>
      <w:r>
        <w:rPr>
          <w:rFonts w:ascii="pzJ4FaOm+FangSong_GB2312" w:hAnsi="pzJ4FaOm+FangSong_GB2312" w:eastAsia="pzJ4FaOm+FangSong_GB2312"/>
          <w:color w:val="1F2229"/>
          <w:sz w:val="32"/>
        </w:rPr>
        <w:t>四是有序组织自评。各科室严格按照实施方案要求，对照绩效目标，全面梳理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资金收支、项目实施、目标完成等情况，认真填报自评表格、撰写自评报告，财务人员对各科室上报的自评材料进行逐一审核、复核，对发现的问题及时反馈并督促整改，确保自评数据真实准确、内容完整规范、评价客观公正。</w:t>
      </w:r>
    </w:p>
    <w:p w14:paraId="7A8F11D9">
      <w:pPr>
        <w:widowControl/>
        <w:tabs>
          <w:tab w:val="left" w:pos="788"/>
        </w:tabs>
        <w:autoSpaceDE w:val="0"/>
        <w:autoSpaceDN w:val="0"/>
        <w:spacing w:before="0" w:after="0" w:line="560" w:lineRule="exact"/>
        <w:ind w:left="146" w:right="144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（二）绩效自评总体概况</w:t>
      </w:r>
      <w:r>
        <w:br w:type="textWrapping"/>
      </w:r>
      <w:r>
        <w:tab/>
      </w: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整体支出自评概况：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年度我单位整体支出预算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2725.87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万元（其中：基本支出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1849.32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万元，项目支出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876.55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万元），实际支出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2167.52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万元（其中：基本支出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1840.99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万元，项目支出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326.53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万元），完成预算</w:t>
      </w:r>
      <w:r>
        <w:rPr>
          <w:rFonts w:ascii="8mvCAQsh+TimesNewRomanPSMT" w:hAnsi="8mvCAQsh+TimesNewRomanPSMT" w:eastAsia="8mvCAQsh+TimesNewRomanPSMT"/>
          <w:color w:val="1F2229"/>
          <w:sz w:val="32"/>
        </w:rPr>
        <w:t>79.52%</w:t>
      </w:r>
      <w:r>
        <w:rPr>
          <w:rFonts w:ascii="pzJ4FaOm+FangSong_GB2312" w:hAnsi="pzJ4FaOm+FangSong_GB2312" w:eastAsia="pzJ4FaOm+FangSong_GB2312"/>
          <w:color w:val="1F2229"/>
          <w:sz w:val="32"/>
        </w:rPr>
        <w:t>。本次整体支出自评围绕预算执行、资金管理、履职效能、服务质量等核心指标开展评价，自评分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90</w:t>
      </w:r>
      <w:r>
        <w:rPr>
          <w:rFonts w:ascii="pzJ4FaOm+FangSong_GB2312" w:hAnsi="pzJ4FaOm+FangSong_GB2312" w:eastAsia="pzJ4FaOm+FangSong_GB2312"/>
          <w:color w:val="1F2229"/>
          <w:sz w:val="32"/>
        </w:rPr>
        <w:t>分，自评等级为优。整体支出主要用于保障单位日常运转、履行核心职能以及各项重点工作推进，资金使用基本合规、管控有效，切实发挥了财政资金的保障支撑作用，有效</w:t>
      </w:r>
    </w:p>
    <w:p w14:paraId="7FD39F32">
      <w:pPr>
        <w:widowControl/>
        <w:autoSpaceDE w:val="0"/>
        <w:autoSpaceDN w:val="0"/>
        <w:spacing w:before="1320" w:after="0" w:line="286" w:lineRule="exact"/>
        <w:ind w:left="152" w:right="0" w:firstLine="0"/>
        <w:jc w:val="lef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2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10BBD340">
      <w:pPr>
        <w:sectPr>
          <w:pgSz w:w="11906" w:h="17238"/>
          <w:pgMar w:top="1132" w:right="1134" w:bottom="440" w:left="1440" w:header="720" w:footer="720" w:gutter="0"/>
          <w:cols w:equalWidth="0" w:num="1">
            <w:col w:w="9332"/>
          </w:cols>
          <w:docGrid w:linePitch="360" w:charSpace="0"/>
        </w:sectPr>
      </w:pPr>
    </w:p>
    <w:p w14:paraId="020473E2">
      <w:pPr>
        <w:widowControl/>
        <w:autoSpaceDE w:val="0"/>
        <w:autoSpaceDN w:val="0"/>
        <w:spacing w:before="916" w:after="0" w:line="220" w:lineRule="exact"/>
        <w:ind w:left="0" w:right="0"/>
      </w:pPr>
    </w:p>
    <w:p w14:paraId="725AC40B">
      <w:pPr>
        <w:widowControl/>
        <w:autoSpaceDE w:val="0"/>
        <w:autoSpaceDN w:val="0"/>
        <w:spacing w:before="0" w:after="0" w:line="318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推动单位各项工作顺利开展、年度目标圆满完成。</w:t>
      </w:r>
    </w:p>
    <w:p w14:paraId="3639B9F2">
      <w:pPr>
        <w:widowControl/>
        <w:autoSpaceDE w:val="0"/>
        <w:autoSpaceDN w:val="0"/>
        <w:spacing w:before="26" w:after="0" w:line="558" w:lineRule="exact"/>
        <w:ind w:left="146" w:right="144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项目支出自评概况：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年度我单位共有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21</w:t>
      </w:r>
      <w:r>
        <w:rPr>
          <w:rFonts w:ascii="pzJ4FaOm+FangSong_GB2312" w:hAnsi="pzJ4FaOm+FangSong_GB2312" w:eastAsia="pzJ4FaOm+FangSong_GB2312"/>
          <w:color w:val="1F2229"/>
          <w:sz w:val="32"/>
        </w:rPr>
        <w:t>个项目纳入绩效自评范围（其中：区级项目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</w:t>
      </w:r>
      <w:r>
        <w:rPr>
          <w:rFonts w:ascii="pzJ4FaOm+FangSong_GB2312" w:hAnsi="pzJ4FaOm+FangSong_GB2312" w:eastAsia="pzJ4FaOm+FangSong_GB2312"/>
          <w:color w:val="1F2229"/>
          <w:sz w:val="32"/>
        </w:rPr>
        <w:t>个、上级转移支付项目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</w:t>
      </w:r>
      <w:r>
        <w:rPr>
          <w:rFonts w:ascii="pzJ4FaOm+FangSong_GB2312" w:hAnsi="pzJ4FaOm+FangSong_GB2312" w:eastAsia="pzJ4FaOm+FangSong_GB2312"/>
          <w:color w:val="1F2229"/>
          <w:sz w:val="32"/>
        </w:rPr>
        <w:t>个、其他资金项目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个），涉及自评金额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876.55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万元（其中：区级资金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12.60</w:t>
      </w:r>
      <w:r>
        <w:rPr>
          <w:rFonts w:ascii="pzJ4FaOm+FangSong_GB2312" w:hAnsi="pzJ4FaOm+FangSong_GB2312" w:eastAsia="pzJ4FaOm+FangSong_GB2312"/>
          <w:color w:val="1F2229"/>
          <w:sz w:val="32"/>
        </w:rPr>
        <w:t>万元、上级转移支付资金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863.95</w:t>
      </w:r>
      <w:r>
        <w:rPr>
          <w:rFonts w:ascii="pzJ4FaOm+FangSong_GB2312" w:hAnsi="pzJ4FaOm+FangSong_GB2312" w:eastAsia="pzJ4FaOm+FangSong_GB2312"/>
          <w:color w:val="1F2229"/>
          <w:sz w:val="32"/>
        </w:rPr>
        <w:t>万元、其他资金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万元）。经自评，自评分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≥90</w:t>
      </w:r>
      <w:r>
        <w:rPr>
          <w:rFonts w:ascii="pzJ4FaOm+FangSong_GB2312" w:hAnsi="pzJ4FaOm+FangSong_GB2312" w:eastAsia="pzJ4FaOm+FangSong_GB2312"/>
          <w:color w:val="1F2229"/>
          <w:sz w:val="32"/>
        </w:rPr>
        <w:t>分（评价等级为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优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）的项目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18</w:t>
      </w:r>
      <w:r>
        <w:rPr>
          <w:rFonts w:ascii="pzJ4FaOm+FangSong_GB2312" w:hAnsi="pzJ4FaOm+FangSong_GB2312" w:eastAsia="pzJ4FaOm+FangSong_GB2312"/>
          <w:color w:val="1F2229"/>
          <w:sz w:val="32"/>
        </w:rPr>
        <w:t>个、</w:t>
      </w:r>
      <w:r>
        <w:rPr>
          <w:rFonts w:ascii="8mvCAQsh+TimesNewRomanPSMT" w:hAnsi="8mvCAQsh+TimesNewRomanPSMT" w:eastAsia="8mvCAQsh+TimesNewRomanPSMT"/>
          <w:color w:val="1F2229"/>
          <w:sz w:val="32"/>
        </w:rPr>
        <w:t>90&gt;</w:t>
      </w:r>
      <w:r>
        <w:rPr>
          <w:rFonts w:ascii="pzJ4FaOm+FangSong_GB2312" w:hAnsi="pzJ4FaOm+FangSong_GB2312" w:eastAsia="pzJ4FaOm+FangSong_GB2312"/>
          <w:color w:val="1F2229"/>
          <w:sz w:val="32"/>
        </w:rPr>
        <w:t>自评分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≥80</w:t>
      </w:r>
      <w:r>
        <w:rPr>
          <w:rFonts w:ascii="pzJ4FaOm+FangSong_GB2312" w:hAnsi="pzJ4FaOm+FangSong_GB2312" w:eastAsia="pzJ4FaOm+FangSong_GB2312"/>
          <w:color w:val="1F2229"/>
          <w:sz w:val="32"/>
        </w:rPr>
        <w:t>分（评价等级为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良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）的项目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3</w:t>
      </w:r>
      <w:r>
        <w:rPr>
          <w:rFonts w:ascii="pzJ4FaOm+FangSong_GB2312" w:hAnsi="pzJ4FaOm+FangSong_GB2312" w:eastAsia="pzJ4FaOm+FangSong_GB2312"/>
          <w:color w:val="1F2229"/>
          <w:sz w:val="32"/>
        </w:rPr>
        <w:t>个、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80&gt;</w:t>
      </w:r>
      <w:r>
        <w:rPr>
          <w:rFonts w:ascii="pzJ4FaOm+FangSong_GB2312" w:hAnsi="pzJ4FaOm+FangSong_GB2312" w:eastAsia="pzJ4FaOm+FangSong_GB2312"/>
          <w:color w:val="1F2229"/>
          <w:sz w:val="32"/>
        </w:rPr>
        <w:t>自评分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≥60</w:t>
      </w:r>
      <w:r>
        <w:rPr>
          <w:rFonts w:ascii="pzJ4FaOm+FangSong_GB2312" w:hAnsi="pzJ4FaOm+FangSong_GB2312" w:eastAsia="pzJ4FaOm+FangSong_GB2312"/>
          <w:color w:val="1F2229"/>
          <w:sz w:val="32"/>
        </w:rPr>
        <w:t>分（评价等级为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中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）的项目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个，自评分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&lt;60</w:t>
      </w:r>
      <w:r>
        <w:rPr>
          <w:rFonts w:ascii="pzJ4FaOm+FangSong_GB2312" w:hAnsi="pzJ4FaOm+FangSong_GB2312" w:eastAsia="pzJ4FaOm+FangSong_GB2312"/>
          <w:color w:val="1F2229"/>
          <w:sz w:val="32"/>
        </w:rPr>
        <w:t>分（评价等级为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）的项目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个。其中，高分项目主要得益于目标设定科学、实施流程规范、资金使用高效、成效显著；低分项目主要因项目</w:t>
      </w:r>
    </w:p>
    <w:p w14:paraId="2BD99FEE">
      <w:pPr>
        <w:widowControl/>
        <w:autoSpaceDE w:val="0"/>
        <w:autoSpaceDN w:val="0"/>
        <w:spacing w:before="240" w:after="0" w:line="320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实施进度滞后、绩效指标完成质量不足等原因导致，已纳入整改</w:t>
      </w:r>
    </w:p>
    <w:p w14:paraId="6E27ADF4">
      <w:pPr>
        <w:widowControl/>
        <w:autoSpaceDE w:val="0"/>
        <w:autoSpaceDN w:val="0"/>
        <w:spacing w:before="240" w:after="0" w:line="318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范围，明确整改方向和时限。</w:t>
      </w:r>
    </w:p>
    <w:p w14:paraId="518C21D1">
      <w:pPr>
        <w:widowControl/>
        <w:autoSpaceDE w:val="0"/>
        <w:autoSpaceDN w:val="0"/>
        <w:spacing w:before="38" w:after="0" w:line="548" w:lineRule="exact"/>
        <w:ind w:left="146" w:right="342" w:firstLine="642"/>
        <w:jc w:val="both"/>
      </w:pPr>
      <w:r>
        <w:rPr>
          <w:rFonts w:ascii="8mvCAQsh+TimesNewRomanPSMT" w:hAnsi="8mvCAQsh+TimesNewRomanPSMT" w:eastAsia="8mvCAQsh+TimesNewRomanPSMT"/>
          <w:color w:val="1F2229"/>
          <w:sz w:val="32"/>
        </w:rPr>
        <w:t>3.</w:t>
      </w:r>
      <w:r>
        <w:rPr>
          <w:rFonts w:ascii="pzJ4FaOm+FangSong_GB2312" w:hAnsi="pzJ4FaOm+FangSong_GB2312" w:eastAsia="pzJ4FaOm+FangSong_GB2312"/>
          <w:color w:val="1F2229"/>
          <w:sz w:val="32"/>
        </w:rPr>
        <w:t>绩效自评全覆盖情况：本次开展绩效自评项目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21</w:t>
      </w:r>
      <w:r>
        <w:rPr>
          <w:rFonts w:ascii="pzJ4FaOm+FangSong_GB2312" w:hAnsi="pzJ4FaOm+FangSong_GB2312" w:eastAsia="pzJ4FaOm+FangSong_GB2312"/>
          <w:color w:val="1F2229"/>
          <w:sz w:val="32"/>
        </w:rPr>
        <w:t>个，自评金额为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876.55</w:t>
      </w:r>
      <w:r>
        <w:rPr>
          <w:rFonts w:ascii="pzJ4FaOm+FangSong_GB2312" w:hAnsi="pzJ4FaOm+FangSong_GB2312" w:eastAsia="pzJ4FaOm+FangSong_GB2312"/>
          <w:color w:val="1F2229"/>
          <w:sz w:val="32"/>
        </w:rPr>
        <w:t>元，覆盖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年度我单位所有财政拨款预算支出项目及其他资金支出项目，已实现绩效自评全覆盖。以上数据</w:t>
      </w:r>
    </w:p>
    <w:p w14:paraId="019F7D15">
      <w:pPr>
        <w:widowControl/>
        <w:autoSpaceDE w:val="0"/>
        <w:autoSpaceDN w:val="0"/>
        <w:spacing w:before="244" w:after="0" w:line="318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均根据预算管理一体化系统中填报情况据实填写，严格遵循真实、</w:t>
      </w:r>
    </w:p>
    <w:p w14:paraId="04AC4576">
      <w:pPr>
        <w:widowControl/>
        <w:autoSpaceDE w:val="0"/>
        <w:autoSpaceDN w:val="0"/>
        <w:spacing w:before="240" w:after="0" w:line="320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准确、完整的原则，确保自评工作经得起检验。</w:t>
      </w:r>
    </w:p>
    <w:p w14:paraId="66A5AB2F">
      <w:pPr>
        <w:widowControl/>
        <w:autoSpaceDE w:val="0"/>
        <w:autoSpaceDN w:val="0"/>
        <w:spacing w:before="240" w:after="0" w:line="318" w:lineRule="exact"/>
        <w:ind w:left="788" w:right="0" w:firstLine="0"/>
        <w:jc w:val="left"/>
      </w:pPr>
      <w:r>
        <w:rPr>
          <w:rFonts w:ascii="jOGPVCVB+SimHei" w:hAnsi="jOGPVCVB+SimHei" w:eastAsia="jOGPVCVB+SimHei"/>
          <w:color w:val="1F2229"/>
          <w:sz w:val="32"/>
        </w:rPr>
        <w:t>二、评价结果</w:t>
      </w:r>
    </w:p>
    <w:p w14:paraId="01CD3204">
      <w:pPr>
        <w:widowControl/>
        <w:autoSpaceDE w:val="0"/>
        <w:autoSpaceDN w:val="0"/>
        <w:spacing w:before="244" w:after="0" w:line="318" w:lineRule="exact"/>
        <w:ind w:left="788" w:right="0" w:firstLine="0"/>
        <w:jc w:val="left"/>
      </w:pPr>
      <w:r>
        <w:rPr>
          <w:rFonts w:ascii="FVAK4NsS+KaiTi_GB2312" w:hAnsi="FVAK4NsS+KaiTi_GB2312" w:eastAsia="FVAK4NsS+KaiTi_GB2312"/>
          <w:color w:val="1F2229"/>
          <w:sz w:val="32"/>
        </w:rPr>
        <w:t>（一）整体支出</w:t>
      </w:r>
    </w:p>
    <w:p w14:paraId="65F26070">
      <w:pPr>
        <w:widowControl/>
        <w:autoSpaceDE w:val="0"/>
        <w:autoSpaceDN w:val="0"/>
        <w:spacing w:before="50" w:after="0" w:line="534" w:lineRule="exact"/>
        <w:ind w:left="146" w:right="288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年度整体支出绩效评价结果为优等级。从评价情况来看，我单位预算编制科学合理，预算执行基本规范，资金使用效</w:t>
      </w:r>
    </w:p>
    <w:p w14:paraId="6436EE37">
      <w:pPr>
        <w:widowControl/>
        <w:autoSpaceDE w:val="0"/>
        <w:autoSpaceDN w:val="0"/>
        <w:spacing w:before="234" w:after="0" w:line="352" w:lineRule="exact"/>
        <w:ind w:left="0" w:right="0" w:firstLine="0"/>
        <w:jc w:val="center"/>
      </w:pPr>
      <w:r>
        <w:rPr>
          <w:rFonts w:ascii="pzJ4FaOm+FangSong_GB2312" w:hAnsi="pzJ4FaOm+FangSong_GB2312" w:eastAsia="pzJ4FaOm+FangSong_GB2312"/>
          <w:color w:val="1F2229"/>
          <w:sz w:val="32"/>
        </w:rPr>
        <w:t>益较好，能够严格按照预算安排使用资金，严控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三公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经费支出，</w:t>
      </w:r>
    </w:p>
    <w:p w14:paraId="44F1E12A">
      <w:pPr>
        <w:widowControl/>
        <w:autoSpaceDE w:val="0"/>
        <w:autoSpaceDN w:val="0"/>
        <w:spacing w:before="1296" w:after="0" w:line="286" w:lineRule="exact"/>
        <w:ind w:left="0" w:right="344" w:firstLine="0"/>
        <w:jc w:val="righ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3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4A0E16A1">
      <w:pPr>
        <w:sectPr>
          <w:pgSz w:w="11906" w:h="17238"/>
          <w:pgMar w:top="1138" w:right="1134" w:bottom="440" w:left="1440" w:header="720" w:footer="720" w:gutter="0"/>
          <w:cols w:equalWidth="0" w:num="1">
            <w:col w:w="9332"/>
          </w:cols>
          <w:docGrid w:linePitch="360" w:charSpace="0"/>
        </w:sectPr>
      </w:pPr>
    </w:p>
    <w:p w14:paraId="6ADA537B">
      <w:pPr>
        <w:widowControl/>
        <w:autoSpaceDE w:val="0"/>
        <w:autoSpaceDN w:val="0"/>
        <w:spacing w:before="916" w:after="0" w:line="220" w:lineRule="exact"/>
        <w:ind w:left="0" w:right="0"/>
      </w:pPr>
    </w:p>
    <w:p w14:paraId="7676145C">
      <w:pPr>
        <w:widowControl/>
        <w:autoSpaceDE w:val="0"/>
        <w:autoSpaceDN w:val="0"/>
        <w:spacing w:before="0" w:after="0" w:line="512" w:lineRule="exact"/>
        <w:ind w:left="146" w:right="144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无违规使用资金、截留挪用资金等情况；各项管理制度健全，内部管控到位，有效保障了单位日常运转和各项核心职能的顺利履行，圆满完成了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年度各项工作目标任务，群众满意度较高。同时，自评也发现，我单位在预算执行管理、绩效目标设定等方面仍存在薄弱环节，需在后续工作中针对性加以改进提升。</w:t>
      </w:r>
    </w:p>
    <w:p w14:paraId="2F0F0EEE">
      <w:pPr>
        <w:widowControl/>
        <w:tabs>
          <w:tab w:val="left" w:pos="788"/>
        </w:tabs>
        <w:autoSpaceDE w:val="0"/>
        <w:autoSpaceDN w:val="0"/>
        <w:spacing w:before="0" w:after="0" w:line="562" w:lineRule="exact"/>
        <w:ind w:left="146" w:right="144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（二）项目支出</w:t>
      </w:r>
      <w:r>
        <w:br w:type="textWrapping"/>
      </w:r>
      <w:r>
        <w:tab/>
      </w:r>
      <w:r>
        <w:rPr>
          <w:rFonts w:ascii="pzJ4FaOm+FangSong_GB2312" w:hAnsi="pzJ4FaOm+FangSong_GB2312" w:eastAsia="pzJ4FaOm+FangSong_GB2312"/>
          <w:color w:val="1F2229"/>
          <w:sz w:val="32"/>
        </w:rPr>
        <w:t>本次自评的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21</w:t>
      </w:r>
      <w:r>
        <w:rPr>
          <w:rFonts w:ascii="pzJ4FaOm+FangSong_GB2312" w:hAnsi="pzJ4FaOm+FangSong_GB2312" w:eastAsia="pzJ4FaOm+FangSong_GB2312"/>
          <w:color w:val="1F2229"/>
          <w:sz w:val="32"/>
        </w:rPr>
        <w:t>个项目中，评价等级为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优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18</w:t>
      </w:r>
      <w:r>
        <w:rPr>
          <w:rFonts w:ascii="pzJ4FaOm+FangSong_GB2312" w:hAnsi="pzJ4FaOm+FangSong_GB2312" w:eastAsia="pzJ4FaOm+FangSong_GB2312"/>
          <w:color w:val="1F2229"/>
          <w:sz w:val="32"/>
        </w:rPr>
        <w:t>个，占比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85.71%</w:t>
      </w:r>
      <w:r>
        <w:rPr>
          <w:rFonts w:ascii="pzJ4FaOm+FangSong_GB2312" w:hAnsi="pzJ4FaOm+FangSong_GB2312" w:eastAsia="pzJ4FaOm+FangSong_GB2312"/>
          <w:color w:val="1F2229"/>
          <w:sz w:val="32"/>
        </w:rPr>
        <w:t>，此类项目严格按照项目实施方案推进，绩效目标全部完成，资金使用规范高效，取得了显著的经济效益、社会效益或公共服务效益，达到了预期评价效果；评价等级为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良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3</w:t>
      </w:r>
      <w:r>
        <w:rPr>
          <w:rFonts w:ascii="pzJ4FaOm+FangSong_GB2312" w:hAnsi="pzJ4FaOm+FangSong_GB2312" w:eastAsia="pzJ4FaOm+FangSong_GB2312"/>
          <w:color w:val="1F2229"/>
          <w:sz w:val="32"/>
        </w:rPr>
        <w:t>个，占比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14.29%</w:t>
      </w:r>
      <w:r>
        <w:rPr>
          <w:rFonts w:ascii="pzJ4FaOm+FangSong_GB2312" w:hAnsi="pzJ4FaOm+FangSong_GB2312" w:eastAsia="pzJ4FaOm+FangSong_GB2312"/>
          <w:color w:val="1F2229"/>
          <w:sz w:val="32"/>
        </w:rPr>
        <w:t>，此类项目基本完成绩效目标，资金使用合规，整体成效较好，但在项目细节管理、绩效指标完成精度等方面存在轻微不足；评价等级为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中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个，占比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0%</w:t>
      </w:r>
      <w:r>
        <w:rPr>
          <w:rFonts w:ascii="pzJ4FaOm+FangSong_GB2312" w:hAnsi="pzJ4FaOm+FangSong_GB2312" w:eastAsia="pzJ4FaOm+FangSong_GB2312"/>
          <w:color w:val="1F2229"/>
          <w:sz w:val="32"/>
        </w:rPr>
        <w:t>；评价等级为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的项目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</w:t>
      </w:r>
      <w:r>
        <w:rPr>
          <w:rFonts w:ascii="pzJ4FaOm+FangSong_GB2312" w:hAnsi="pzJ4FaOm+FangSong_GB2312" w:eastAsia="pzJ4FaOm+FangSong_GB2312"/>
          <w:color w:val="1F2229"/>
          <w:sz w:val="32"/>
        </w:rPr>
        <w:t>个，占比</w:t>
      </w:r>
      <w:r>
        <w:rPr>
          <w:rFonts w:ascii="8mvCAQsh+TimesNewRomanPSMT" w:hAnsi="8mvCAQsh+TimesNewRomanPSMT" w:eastAsia="8mvCAQsh+TimesNewRomanPSMT"/>
          <w:color w:val="1F2229"/>
          <w:sz w:val="32"/>
        </w:rPr>
        <w:t>0%</w:t>
      </w:r>
      <w:r>
        <w:rPr>
          <w:rFonts w:ascii="pzJ4FaOm+FangSong_GB2312" w:hAnsi="pzJ4FaOm+FangSong_GB2312" w:eastAsia="pzJ4FaOm+FangSong_GB2312"/>
          <w:color w:val="1F2229"/>
          <w:sz w:val="32"/>
        </w:rPr>
        <w:t>。</w:t>
      </w:r>
    </w:p>
    <w:p w14:paraId="4B9E175D">
      <w:pPr>
        <w:widowControl/>
        <w:autoSpaceDE w:val="0"/>
        <w:autoSpaceDN w:val="0"/>
        <w:spacing w:before="216" w:after="0" w:line="318" w:lineRule="exact"/>
        <w:ind w:left="788" w:right="0" w:firstLine="0"/>
        <w:jc w:val="left"/>
      </w:pPr>
      <w:r>
        <w:rPr>
          <w:rFonts w:ascii="jOGPVCVB+SimHei" w:hAnsi="jOGPVCVB+SimHei" w:eastAsia="jOGPVCVB+SimHei"/>
          <w:color w:val="1F2229"/>
          <w:sz w:val="32"/>
        </w:rPr>
        <w:t>三、存在的主要问题</w:t>
      </w:r>
    </w:p>
    <w:p w14:paraId="11919123">
      <w:pPr>
        <w:widowControl/>
        <w:tabs>
          <w:tab w:val="left" w:pos="788"/>
        </w:tabs>
        <w:autoSpaceDE w:val="0"/>
        <w:autoSpaceDN w:val="0"/>
        <w:spacing w:before="2" w:after="0" w:line="560" w:lineRule="exact"/>
        <w:ind w:left="146" w:right="0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（一）整体支出</w:t>
      </w:r>
      <w:r>
        <w:br w:type="textWrapping"/>
      </w:r>
      <w:r>
        <w:tab/>
      </w: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预算执行管理有待加强：部分科目预算执行进度不均衡，存在上半年执行较慢、下半年集中支出的现象，主要原因是部分工作推进节奏与预算安排衔接不够紧密，前期筹备工作不够充分，导致资金拨付和使用进度不同步，影响了资金使用效率。</w:t>
      </w:r>
    </w:p>
    <w:p w14:paraId="529D56EE">
      <w:pPr>
        <w:widowControl/>
        <w:autoSpaceDE w:val="0"/>
        <w:autoSpaceDN w:val="0"/>
        <w:spacing w:before="44" w:after="0" w:line="538" w:lineRule="exact"/>
        <w:ind w:left="146" w:right="288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绩效目标设定不够细化：整体支出绩效目标虽明确了核心方向，但部分目标未能细化分解到具体工作任务和量化指标，针</w:t>
      </w:r>
    </w:p>
    <w:p w14:paraId="60B70D8C">
      <w:pPr>
        <w:widowControl/>
        <w:autoSpaceDE w:val="0"/>
        <w:autoSpaceDN w:val="0"/>
        <w:spacing w:before="1320" w:after="0" w:line="286" w:lineRule="exact"/>
        <w:ind w:left="152" w:right="0" w:firstLine="0"/>
        <w:jc w:val="lef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4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677415FD">
      <w:pPr>
        <w:sectPr>
          <w:pgSz w:w="11906" w:h="17238"/>
          <w:pgMar w:top="1138" w:right="1136" w:bottom="440" w:left="1440" w:header="720" w:footer="720" w:gutter="0"/>
          <w:cols w:equalWidth="0" w:num="1">
            <w:col w:w="9330"/>
          </w:cols>
          <w:docGrid w:linePitch="360" w:charSpace="0"/>
        </w:sectPr>
      </w:pPr>
    </w:p>
    <w:p w14:paraId="38D9C032">
      <w:pPr>
        <w:widowControl/>
        <w:autoSpaceDE w:val="0"/>
        <w:autoSpaceDN w:val="0"/>
        <w:spacing w:before="916" w:after="0" w:line="220" w:lineRule="exact"/>
        <w:ind w:left="0" w:right="0"/>
      </w:pPr>
    </w:p>
    <w:p w14:paraId="2F84F83F">
      <w:pPr>
        <w:widowControl/>
        <w:autoSpaceDE w:val="0"/>
        <w:autoSpaceDN w:val="0"/>
        <w:spacing w:before="0" w:after="0" w:line="438" w:lineRule="exact"/>
        <w:ind w:left="146" w:right="288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对性、可操作性和可考核性有待进一步提升，难以全面、精准反映资金使用效益和履职成效。</w:t>
      </w:r>
    </w:p>
    <w:p w14:paraId="08D2019F">
      <w:pPr>
        <w:widowControl/>
        <w:autoSpaceDE w:val="0"/>
        <w:autoSpaceDN w:val="0"/>
        <w:spacing w:before="32" w:after="0" w:line="550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3.</w:t>
      </w:r>
      <w:r>
        <w:rPr>
          <w:rFonts w:ascii="pzJ4FaOm+FangSong_GB2312" w:hAnsi="pzJ4FaOm+FangSong_GB2312" w:eastAsia="pzJ4FaOm+FangSong_GB2312"/>
          <w:color w:val="1F2229"/>
          <w:sz w:val="32"/>
        </w:rPr>
        <w:t>成本控制意识需进一步强化：在日常公用经费使用过程中，部分科室节约意识不足，存在资源利用效率不高、不必要开支管控不够严格的情况，资金使用精细化管理水平有待提升。</w:t>
      </w:r>
    </w:p>
    <w:p w14:paraId="1BF2E033">
      <w:pPr>
        <w:widowControl/>
        <w:tabs>
          <w:tab w:val="left" w:pos="788"/>
        </w:tabs>
        <w:autoSpaceDE w:val="0"/>
        <w:autoSpaceDN w:val="0"/>
        <w:spacing w:before="0" w:after="0" w:line="560" w:lineRule="exact"/>
        <w:ind w:left="146" w:right="288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（二）项目支出</w:t>
      </w:r>
      <w:r>
        <w:br w:type="textWrapping"/>
      </w:r>
      <w:r>
        <w:tab/>
      </w: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部分项目实施进度滞后：</w:t>
      </w:r>
      <w:r>
        <w:rPr>
          <w:rFonts w:ascii="8mvCAQsh+TimesNewRomanPSMT" w:hAnsi="8mvCAQsh+TimesNewRomanPSMT" w:eastAsia="8mvCAQsh+TimesNewRomanPSMT"/>
          <w:color w:val="1F2229"/>
          <w:sz w:val="32"/>
        </w:rPr>
        <w:t>1</w:t>
      </w:r>
      <w:r>
        <w:rPr>
          <w:rFonts w:ascii="pzJ4FaOm+FangSong_GB2312" w:hAnsi="pzJ4FaOm+FangSong_GB2312" w:eastAsia="pzJ4FaOm+FangSong_GB2312"/>
          <w:color w:val="1F2229"/>
          <w:sz w:val="32"/>
        </w:rPr>
        <w:t>个项目未按实施方案规定的时间节点完成全部工作任务，主要原因是上级经费保障困难，相应绩效指标任务难以推进。</w:t>
      </w:r>
    </w:p>
    <w:p w14:paraId="797FAA0C">
      <w:pPr>
        <w:widowControl/>
        <w:autoSpaceDE w:val="0"/>
        <w:autoSpaceDN w:val="0"/>
        <w:spacing w:before="38" w:after="0" w:line="548" w:lineRule="exact"/>
        <w:ind w:left="146" w:right="340" w:firstLine="642"/>
        <w:jc w:val="both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绩效指标完成质量参差不齐：部分项目绩效指标设定过于依赖以前年度上级下达任务，未考虑现实情况影响，导致指标值设定较高难以完成。</w:t>
      </w:r>
    </w:p>
    <w:p w14:paraId="21D1AB76">
      <w:pPr>
        <w:widowControl/>
        <w:autoSpaceDE w:val="0"/>
        <w:autoSpaceDN w:val="0"/>
        <w:spacing w:before="34" w:after="0" w:line="552" w:lineRule="exact"/>
        <w:ind w:left="146" w:right="340" w:firstLine="642"/>
        <w:jc w:val="both"/>
      </w:pPr>
      <w:r>
        <w:rPr>
          <w:rFonts w:ascii="8mvCAQsh+TimesNewRomanPSMT" w:hAnsi="8mvCAQsh+TimesNewRomanPSMT" w:eastAsia="8mvCAQsh+TimesNewRomanPSMT"/>
          <w:color w:val="1F2229"/>
          <w:sz w:val="32"/>
        </w:rPr>
        <w:t>3.</w:t>
      </w:r>
      <w:r>
        <w:rPr>
          <w:rFonts w:ascii="pzJ4FaOm+FangSong_GB2312" w:hAnsi="pzJ4FaOm+FangSong_GB2312" w:eastAsia="pzJ4FaOm+FangSong_GB2312"/>
          <w:color w:val="1F2229"/>
          <w:sz w:val="32"/>
        </w:rPr>
        <w:t>绩效评价成果应用不足：项目绩效自评结果未充分与项目后续安排、资金分配、科室绩效考核挂钩，评价成果转化应用力度不够，未能充分发挥绩效评价的导向、约束和激励作用，绩效管理与业务工作融合不够深入。</w:t>
      </w:r>
    </w:p>
    <w:p w14:paraId="6BE0FECB">
      <w:pPr>
        <w:widowControl/>
        <w:tabs>
          <w:tab w:val="left" w:pos="788"/>
        </w:tabs>
        <w:autoSpaceDE w:val="0"/>
        <w:autoSpaceDN w:val="0"/>
        <w:spacing w:before="0" w:after="0" w:line="560" w:lineRule="exact"/>
        <w:ind w:left="146" w:right="144" w:firstLine="0"/>
        <w:jc w:val="left"/>
      </w:pPr>
      <w:r>
        <w:tab/>
      </w:r>
      <w:r>
        <w:rPr>
          <w:rFonts w:ascii="jOGPVCVB+SimHei" w:hAnsi="jOGPVCVB+SimHei" w:eastAsia="jOGPVCVB+SimHei"/>
          <w:color w:val="1F2229"/>
          <w:sz w:val="32"/>
        </w:rPr>
        <w:t>四、整改措施（针对发现问题提出具体的整改措施）</w:t>
      </w:r>
      <w:r>
        <w:br w:type="textWrapping"/>
      </w:r>
      <w:r>
        <w:tab/>
      </w:r>
      <w:r>
        <w:rPr>
          <w:rFonts w:ascii="pzJ4FaOm+FangSong_GB2312" w:hAnsi="pzJ4FaOm+FangSong_GB2312" w:eastAsia="pzJ4FaOm+FangSong_GB2312"/>
          <w:color w:val="1F2229"/>
          <w:sz w:val="32"/>
        </w:rPr>
        <w:t>针对本次绩效自评发现的问题，我单位高度重视，坚持问题导向、目标导向、结果导向相统一，逐项梳理问题根源，制定具体整改措施，明确整改责任、整改时限，确保所有问题整改到位、取得实效，推动预算绩效管理提质增效。</w:t>
      </w:r>
    </w:p>
    <w:p w14:paraId="51D9C9BE">
      <w:pPr>
        <w:widowControl/>
        <w:autoSpaceDE w:val="0"/>
        <w:autoSpaceDN w:val="0"/>
        <w:spacing w:before="244" w:after="0" w:line="318" w:lineRule="exact"/>
        <w:ind w:left="788" w:right="0" w:firstLine="0"/>
        <w:jc w:val="left"/>
      </w:pPr>
      <w:r>
        <w:rPr>
          <w:rFonts w:ascii="FVAK4NsS+KaiTi_GB2312" w:hAnsi="FVAK4NsS+KaiTi_GB2312" w:eastAsia="FVAK4NsS+KaiTi_GB2312"/>
          <w:color w:val="1F2229"/>
          <w:sz w:val="32"/>
        </w:rPr>
        <w:t>（一）针对整体支出存在问题的整改措施</w:t>
      </w:r>
    </w:p>
    <w:p w14:paraId="3DE02316">
      <w:pPr>
        <w:widowControl/>
        <w:autoSpaceDE w:val="0"/>
        <w:autoSpaceDN w:val="0"/>
        <w:spacing w:before="1320" w:after="0" w:line="286" w:lineRule="exact"/>
        <w:ind w:left="0" w:right="344" w:firstLine="0"/>
        <w:jc w:val="righ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5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155604ED">
      <w:pPr>
        <w:sectPr>
          <w:pgSz w:w="11906" w:h="17238"/>
          <w:pgMar w:top="1138" w:right="1134" w:bottom="440" w:left="1440" w:header="720" w:footer="720" w:gutter="0"/>
          <w:cols w:equalWidth="0" w:num="1">
            <w:col w:w="9332"/>
          </w:cols>
          <w:docGrid w:linePitch="360" w:charSpace="0"/>
        </w:sectPr>
      </w:pPr>
    </w:p>
    <w:p w14:paraId="0A62A7E2">
      <w:pPr>
        <w:widowControl/>
        <w:autoSpaceDE w:val="0"/>
        <w:autoSpaceDN w:val="0"/>
        <w:spacing w:before="912" w:after="0" w:line="220" w:lineRule="exact"/>
        <w:ind w:left="0" w:right="0"/>
      </w:pPr>
    </w:p>
    <w:p w14:paraId="5133BCEA">
      <w:pPr>
        <w:widowControl/>
        <w:autoSpaceDE w:val="0"/>
        <w:autoSpaceDN w:val="0"/>
        <w:spacing w:before="0" w:after="0" w:line="514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强化预算执行管理：建立预算执行动态监控机制，每月梳理预算执行进度，对执行较慢的科目和事项，及时分析原因、督促相关科室加快推进工作节奏，确保预算执行与工作推进同步；合理安排资金拨付计划，优化支出流程，提高资金使用效率，力争实现预算执行均衡有序。</w:t>
      </w:r>
    </w:p>
    <w:p w14:paraId="659FB466">
      <w:pPr>
        <w:widowControl/>
        <w:autoSpaceDE w:val="0"/>
        <w:autoSpaceDN w:val="0"/>
        <w:spacing w:before="28" w:after="0" w:line="554" w:lineRule="exact"/>
        <w:ind w:left="146" w:right="144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细化绩效目标设定：结合单位核心职能和年度工作任务，进一步细化整体支出绩效目标，将目标分解到具体科室、具体工作任务，明确量化指标和评价标准，增强绩效目标的针对性、可操作性和可考核性，为后续绩效运行监控、绩效评价工作奠定坚实基础。</w:t>
      </w:r>
    </w:p>
    <w:p w14:paraId="6BDEBB54">
      <w:pPr>
        <w:widowControl/>
        <w:autoSpaceDE w:val="0"/>
        <w:autoSpaceDN w:val="0"/>
        <w:spacing w:before="30" w:after="0" w:line="554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3.</w:t>
      </w:r>
      <w:r>
        <w:rPr>
          <w:rFonts w:ascii="pzJ4FaOm+FangSong_GB2312" w:hAnsi="pzJ4FaOm+FangSong_GB2312" w:eastAsia="pzJ4FaOm+FangSong_GB2312"/>
          <w:color w:val="1F2229"/>
          <w:sz w:val="32"/>
        </w:rPr>
        <w:t>增强成本控制意识：加强节约型机关建设，通过专题宣传、日常提醒等方式，强化各科室节约意识；建立公用经费使用考核机制，规范经费使用流程，严格控制不必要的开支，倡导勤俭节约、精打细算的工作作风，提高资源利用效率，推进资金使用精细化管理。</w:t>
      </w:r>
    </w:p>
    <w:p w14:paraId="6F048A36">
      <w:pPr>
        <w:widowControl/>
        <w:tabs>
          <w:tab w:val="left" w:pos="788"/>
        </w:tabs>
        <w:autoSpaceDE w:val="0"/>
        <w:autoSpaceDN w:val="0"/>
        <w:spacing w:before="2" w:after="0" w:line="560" w:lineRule="exact"/>
        <w:ind w:left="146" w:right="144" w:firstLine="0"/>
        <w:jc w:val="left"/>
      </w:pPr>
      <w:r>
        <w:tab/>
      </w:r>
      <w:r>
        <w:rPr>
          <w:rFonts w:ascii="FVAK4NsS+KaiTi_GB2312" w:hAnsi="FVAK4NsS+KaiTi_GB2312" w:eastAsia="FVAK4NsS+KaiTi_GB2312"/>
          <w:color w:val="1F2229"/>
          <w:sz w:val="32"/>
        </w:rPr>
        <w:t>（二）针对项目支出存在问题的整改措施</w:t>
      </w:r>
      <w:r>
        <w:br w:type="textWrapping"/>
      </w:r>
      <w:r>
        <w:tab/>
      </w: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加快滞后项目推进进度：对实施进度滞后的项目，成立专项整改小组，逐项分析滞后原因，制定专项推进计划，明确时间节点、责任人员，加强部门协同配合，及时协调解决项目实施过程中遇到的困难和问题，督促项目加快实施，确保尽快完成全部工作任务。</w:t>
      </w:r>
    </w:p>
    <w:p w14:paraId="18823E04">
      <w:pPr>
        <w:widowControl/>
        <w:autoSpaceDE w:val="0"/>
        <w:autoSpaceDN w:val="0"/>
        <w:spacing w:before="234" w:after="0" w:line="352" w:lineRule="exact"/>
        <w:ind w:left="788" w:right="0" w:firstLine="0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提升绩效指标设定质量：组织各科室认真学习绩效指标设</w:t>
      </w:r>
    </w:p>
    <w:p w14:paraId="7003FBA8">
      <w:pPr>
        <w:widowControl/>
        <w:autoSpaceDE w:val="0"/>
        <w:autoSpaceDN w:val="0"/>
        <w:spacing w:before="1296" w:after="0" w:line="286" w:lineRule="exact"/>
        <w:ind w:left="152" w:right="0" w:firstLine="0"/>
        <w:jc w:val="lef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6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65F8B9D0">
      <w:pPr>
        <w:sectPr>
          <w:pgSz w:w="11906" w:h="17238"/>
          <w:pgMar w:top="1132" w:right="1296" w:bottom="440" w:left="1440" w:header="720" w:footer="720" w:gutter="0"/>
          <w:cols w:equalWidth="0" w:num="1">
            <w:col w:w="9170"/>
          </w:cols>
          <w:docGrid w:linePitch="360" w:charSpace="0"/>
        </w:sectPr>
      </w:pPr>
    </w:p>
    <w:p w14:paraId="6BB5ACF6">
      <w:pPr>
        <w:widowControl/>
        <w:autoSpaceDE w:val="0"/>
        <w:autoSpaceDN w:val="0"/>
        <w:spacing w:before="916" w:after="0" w:line="220" w:lineRule="exact"/>
        <w:ind w:left="0" w:right="0"/>
      </w:pPr>
    </w:p>
    <w:p w14:paraId="7E0D46E2">
      <w:pPr>
        <w:widowControl/>
        <w:autoSpaceDE w:val="0"/>
        <w:autoSpaceDN w:val="0"/>
        <w:spacing w:before="0" w:after="0" w:line="500" w:lineRule="exact"/>
        <w:ind w:left="146" w:right="340" w:firstLine="0"/>
        <w:jc w:val="both"/>
      </w:pPr>
      <w:r>
        <w:rPr>
          <w:rFonts w:ascii="pzJ4FaOm+FangSong_GB2312" w:hAnsi="pzJ4FaOm+FangSong_GB2312" w:eastAsia="pzJ4FaOm+FangSong_GB2312"/>
          <w:color w:val="1F2229"/>
          <w:sz w:val="32"/>
        </w:rPr>
        <w:t>定相关要求，结合项目实际，科学、合理设定绩效指标，增强指标的量化性和可考核性；建立绩效指标审核机制，在项目立项和预算编制阶段，对绩效指标进行严格审核，对不符合要求的指标及时督促修改完善，确保指标贴合项目目标、符合评价要求。</w:t>
      </w:r>
    </w:p>
    <w:p w14:paraId="143C2A1A">
      <w:pPr>
        <w:widowControl/>
        <w:autoSpaceDE w:val="0"/>
        <w:autoSpaceDN w:val="0"/>
        <w:spacing w:before="30" w:after="0" w:line="554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3.</w:t>
      </w:r>
      <w:r>
        <w:rPr>
          <w:rFonts w:ascii="pzJ4FaOm+FangSong_GB2312" w:hAnsi="pzJ4FaOm+FangSong_GB2312" w:eastAsia="pzJ4FaOm+FangSong_GB2312"/>
          <w:color w:val="1F2229"/>
          <w:sz w:val="32"/>
        </w:rPr>
        <w:t>规范项目资金使用管理：进一步完善项目资金管理制度，严格按照项目实施方案和预算安排使用资金，加强费用报销审核，确保报销附件完整、合规；规范项目资料归档管理，安排专人负责资料收集、整理、归档，确保资料齐全、规范，可追溯，不断提升资金使用的合规性和规范性。</w:t>
      </w:r>
    </w:p>
    <w:p w14:paraId="3C0152C0">
      <w:pPr>
        <w:widowControl/>
        <w:autoSpaceDE w:val="0"/>
        <w:autoSpaceDN w:val="0"/>
        <w:spacing w:before="30" w:after="0" w:line="556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4.</w:t>
      </w:r>
      <w:r>
        <w:rPr>
          <w:rFonts w:ascii="pzJ4FaOm+FangSong_GB2312" w:hAnsi="pzJ4FaOm+FangSong_GB2312" w:eastAsia="pzJ4FaOm+FangSong_GB2312"/>
          <w:color w:val="1F2229"/>
          <w:sz w:val="32"/>
        </w:rPr>
        <w:t>强化绩效评价成果应用：针对绩效评价成果应用不足问题，坚持以评促改、评用结合，健全绩效结果运用闭环机制。一是完善制度规范，明确绩效评价结果与评优评先、岗位调整等刚性挂钩，强化激励约束作用；二是抓实问题整改，建立评价问题台账，实行清单化管理、销号式推进，定期开展整改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“</w:t>
      </w:r>
      <w:r>
        <w:rPr>
          <w:rFonts w:ascii="pzJ4FaOm+FangSong_GB2312" w:hAnsi="pzJ4FaOm+FangSong_GB2312" w:eastAsia="pzJ4FaOm+FangSong_GB2312"/>
          <w:color w:val="1F2229"/>
          <w:sz w:val="32"/>
        </w:rPr>
        <w:t>回头看</w:t>
      </w:r>
      <w:r>
        <w:rPr>
          <w:rFonts w:ascii="8mvCAQsh+TimesNewRomanPSMT" w:hAnsi="8mvCAQsh+TimesNewRomanPSMT" w:eastAsia="8mvCAQsh+TimesNewRomanPSMT"/>
          <w:color w:val="1F2229"/>
          <w:sz w:val="32"/>
        </w:rPr>
        <w:t>”</w:t>
      </w:r>
      <w:r>
        <w:rPr>
          <w:rFonts w:ascii="pzJ4FaOm+FangSong_GB2312" w:hAnsi="pzJ4FaOm+FangSong_GB2312" w:eastAsia="pzJ4FaOm+FangSong_GB2312"/>
          <w:color w:val="1F2229"/>
          <w:sz w:val="32"/>
        </w:rPr>
        <w:t>，确保问题整改到位；三是强化结果运用，将绩效评价作为资源配置、政策优化、项目管理的重要依据，推动优秀经验推广应用，对低效事项及时调整优化；四是健全反馈提升机制，及时反馈评价结果，针对性开展业务辅导和能力提升培训，促进工作持续改进。</w:t>
      </w:r>
    </w:p>
    <w:p w14:paraId="2454C64D">
      <w:pPr>
        <w:widowControl/>
        <w:tabs>
          <w:tab w:val="left" w:pos="788"/>
        </w:tabs>
        <w:autoSpaceDE w:val="0"/>
        <w:autoSpaceDN w:val="0"/>
        <w:spacing w:before="2" w:after="0" w:line="560" w:lineRule="exact"/>
        <w:ind w:left="146" w:right="288" w:firstLine="0"/>
        <w:jc w:val="left"/>
      </w:pPr>
      <w:r>
        <w:tab/>
      </w:r>
      <w:r>
        <w:rPr>
          <w:rFonts w:ascii="jOGPVCVB+SimHei" w:hAnsi="jOGPVCVB+SimHei" w:eastAsia="jOGPVCVB+SimHei"/>
          <w:color w:val="1F2229"/>
          <w:sz w:val="32"/>
        </w:rPr>
        <w:t>五、其他需要说明的问题</w:t>
      </w:r>
      <w:r>
        <w:br w:type="textWrapping"/>
      </w:r>
      <w:r>
        <w:tab/>
      </w:r>
      <w:r>
        <w:rPr>
          <w:rFonts w:ascii="pzJ4FaOm+FangSong_GB2312" w:hAnsi="pzJ4FaOm+FangSong_GB2312" w:eastAsia="pzJ4FaOm+FangSong_GB2312"/>
          <w:color w:val="1F2229"/>
          <w:sz w:val="32"/>
        </w:rPr>
        <w:t>本次绩效自评工作严格按照上级财政部门要求和单位工作方案开展，坚持客观、公正、真实的原则，全面梳理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年度预算支出绩效情况，如实反映存在的问题并制定整改措施，确保</w:t>
      </w:r>
    </w:p>
    <w:p w14:paraId="7713A29B">
      <w:pPr>
        <w:widowControl/>
        <w:autoSpaceDE w:val="0"/>
        <w:autoSpaceDN w:val="0"/>
        <w:spacing w:before="1320" w:after="0" w:line="286" w:lineRule="exact"/>
        <w:ind w:left="0" w:right="344" w:firstLine="0"/>
        <w:jc w:val="righ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7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p w14:paraId="41F90E6B">
      <w:pPr>
        <w:sectPr>
          <w:pgSz w:w="11906" w:h="17238"/>
          <w:pgMar w:top="1138" w:right="1134" w:bottom="440" w:left="1440" w:header="720" w:footer="720" w:gutter="0"/>
          <w:cols w:equalWidth="0" w:num="1">
            <w:col w:w="9332"/>
          </w:cols>
          <w:docGrid w:linePitch="360" w:charSpace="0"/>
        </w:sectPr>
      </w:pPr>
    </w:p>
    <w:p w14:paraId="269E5776">
      <w:pPr>
        <w:widowControl/>
        <w:autoSpaceDE w:val="0"/>
        <w:autoSpaceDN w:val="0"/>
        <w:spacing w:before="916" w:after="0" w:line="220" w:lineRule="exact"/>
        <w:ind w:left="0" w:right="0"/>
      </w:pPr>
    </w:p>
    <w:p w14:paraId="7F64A26E">
      <w:pPr>
        <w:widowControl/>
        <w:autoSpaceDE w:val="0"/>
        <w:autoSpaceDN w:val="0"/>
        <w:spacing w:before="0" w:after="0" w:line="318" w:lineRule="exact"/>
        <w:ind w:left="146" w:right="0" w:firstLine="0"/>
        <w:jc w:val="left"/>
      </w:pPr>
      <w:r>
        <w:rPr>
          <w:rFonts w:ascii="pzJ4FaOm+FangSong_GB2312" w:hAnsi="pzJ4FaOm+FangSong_GB2312" w:eastAsia="pzJ4FaOm+FangSong_GB2312"/>
          <w:color w:val="1F2229"/>
          <w:sz w:val="32"/>
        </w:rPr>
        <w:t>自评工作质量。</w:t>
      </w:r>
    </w:p>
    <w:p w14:paraId="4DFE87FA">
      <w:pPr>
        <w:widowControl/>
        <w:autoSpaceDE w:val="0"/>
        <w:autoSpaceDN w:val="0"/>
        <w:spacing w:before="36" w:after="0" w:line="548" w:lineRule="exact"/>
        <w:ind w:left="146" w:right="0" w:firstLine="642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1.</w:t>
      </w:r>
      <w:r>
        <w:rPr>
          <w:rFonts w:ascii="pzJ4FaOm+FangSong_GB2312" w:hAnsi="pzJ4FaOm+FangSong_GB2312" w:eastAsia="pzJ4FaOm+FangSong_GB2312"/>
          <w:color w:val="1F2229"/>
          <w:sz w:val="32"/>
        </w:rPr>
        <w:t>巡视巡察、审计、财政监督检查等相关情况：</w:t>
      </w:r>
      <w:r>
        <w:rPr>
          <w:rFonts w:ascii="8mvCAQsh+TimesNewRomanPSMT" w:hAnsi="8mvCAQsh+TimesNewRomanPSMT" w:eastAsia="8mvCAQsh+TimesNewRomanPSMT"/>
          <w:color w:val="1F2229"/>
          <w:sz w:val="32"/>
        </w:rPr>
        <w:t>2025</w:t>
      </w:r>
      <w:r>
        <w:rPr>
          <w:rFonts w:ascii="pzJ4FaOm+FangSong_GB2312" w:hAnsi="pzJ4FaOm+FangSong_GB2312" w:eastAsia="pzJ4FaOm+FangSong_GB2312"/>
          <w:color w:val="1F2229"/>
          <w:sz w:val="32"/>
        </w:rPr>
        <w:t>年度，我单位未收到上级部门开展巡视巡察、审计、财政监督检查等工作的通知，未发现相关问题，也无涉及资金违规使用等相关情况。</w:t>
      </w:r>
    </w:p>
    <w:p w14:paraId="25F19631">
      <w:pPr>
        <w:widowControl/>
        <w:autoSpaceDE w:val="0"/>
        <w:autoSpaceDN w:val="0"/>
        <w:spacing w:before="230" w:after="0" w:line="354" w:lineRule="exact"/>
        <w:ind w:left="788" w:right="0" w:firstLine="0"/>
        <w:jc w:val="left"/>
      </w:pPr>
      <w:r>
        <w:rPr>
          <w:rFonts w:ascii="8mvCAQsh+TimesNewRomanPSMT" w:hAnsi="8mvCAQsh+TimesNewRomanPSMT" w:eastAsia="8mvCAQsh+TimesNewRomanPSMT"/>
          <w:color w:val="1F2229"/>
          <w:sz w:val="32"/>
        </w:rPr>
        <w:t>2.</w:t>
      </w:r>
      <w:r>
        <w:rPr>
          <w:rFonts w:ascii="pzJ4FaOm+FangSong_GB2312" w:hAnsi="pzJ4FaOm+FangSong_GB2312" w:eastAsia="pzJ4FaOm+FangSong_GB2312"/>
          <w:color w:val="1F2229"/>
          <w:sz w:val="32"/>
        </w:rPr>
        <w:t>其他需要说明的事项：无</w:t>
      </w:r>
    </w:p>
    <w:p w14:paraId="590C0B1E">
      <w:pPr>
        <w:widowControl/>
        <w:autoSpaceDE w:val="0"/>
        <w:autoSpaceDN w:val="0"/>
        <w:spacing w:before="10816" w:after="0" w:line="286" w:lineRule="exact"/>
        <w:ind w:left="152" w:right="0" w:firstLine="0"/>
        <w:jc w:val="left"/>
      </w:pPr>
      <w:r>
        <w:rPr>
          <w:rFonts w:ascii="XbjIgXA8+Calibri" w:hAnsi="XbjIgXA8+Calibri" w:eastAsia="XbjIgXA8+Calibri"/>
          <w:color w:val="000000"/>
          <w:sz w:val="18"/>
        </w:rPr>
        <w:t>—</w:t>
      </w:r>
      <w:r>
        <w:rPr>
          <w:rFonts w:ascii="2Tsq65QR+SimSun" w:hAnsi="2Tsq65QR+SimSun" w:eastAsia="2Tsq65QR+SimSun"/>
          <w:color w:val="000000"/>
          <w:sz w:val="28"/>
        </w:rPr>
        <w:t>8</w:t>
      </w:r>
      <w:r>
        <w:rPr>
          <w:rFonts w:ascii="XbjIgXA8+Calibri" w:hAnsi="XbjIgXA8+Calibri" w:eastAsia="XbjIgXA8+Calibri"/>
          <w:color w:val="000000"/>
          <w:sz w:val="18"/>
        </w:rPr>
        <w:t>—</w:t>
      </w:r>
    </w:p>
    <w:sectPr>
      <w:pgSz w:w="11906" w:h="17238"/>
      <w:pgMar w:top="1138" w:right="1296" w:bottom="440" w:left="1440" w:header="720" w:footer="720" w:gutter="0"/>
      <w:cols w:equalWidth="0" w:num="1">
        <w:col w:w="9170"/>
      </w:cols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0wapfIg5+FZXBSJW">
    <w:panose1 w:val="02000503000000000000"/>
    <w:charset w:val="00"/>
    <w:family w:val="auto"/>
    <w:pitch w:val="default"/>
    <w:sig w:usb0="00000000" w:usb1="08000000" w:usb2="00000000" w:usb3="00000000" w:csb0="00000001" w:csb1="00000000"/>
  </w:font>
  <w:font w:name="8mvCAQsh+TimesNewRomanPSMT">
    <w:panose1 w:val="02000503000000000000"/>
    <w:charset w:val="00"/>
    <w:family w:val="auto"/>
    <w:pitch w:val="default"/>
    <w:sig w:usb0="80000001" w:usb1="00000040" w:usb2="00000000" w:usb3="00000000" w:csb0="00000001" w:csb1="00000000"/>
  </w:font>
  <w:font w:name="pzJ4FaOm+FangSong_GB2312">
    <w:panose1 w:val="02000503000000000000"/>
    <w:charset w:val="88"/>
    <w:family w:val="auto"/>
    <w:pitch w:val="default"/>
    <w:sig w:usb0="00000000" w:usb1="08010000" w:usb2="00000010" w:usb3="00000000" w:csb0="00100000" w:csb1="00000000"/>
  </w:font>
  <w:font w:name="jOGPVCVB+SimHei">
    <w:panose1 w:val="02000503000000000000"/>
    <w:charset w:val="00"/>
    <w:family w:val="auto"/>
    <w:pitch w:val="default"/>
    <w:sig w:usb0="00000000" w:usb1="08010000" w:usb2="00000010" w:usb3="00000000" w:csb0="00000001" w:csb1="00000000"/>
  </w:font>
  <w:font w:name="FVAK4NsS+KaiTi_GB2312">
    <w:panose1 w:val="02000503000000000000"/>
    <w:charset w:val="00"/>
    <w:family w:val="auto"/>
    <w:pitch w:val="default"/>
    <w:sig w:usb0="00000000" w:usb1="08000000" w:usb2="00000010" w:usb3="00000000" w:csb0="00000001" w:csb1="00000000"/>
  </w:font>
  <w:font w:name="XbjIgXA8+Calibri">
    <w:panose1 w:val="02000503000000000000"/>
    <w:charset w:val="00"/>
    <w:family w:val="auto"/>
    <w:pitch w:val="default"/>
    <w:sig w:usb0="80000001" w:usb1="00000000" w:usb2="00000000" w:usb3="00000000" w:csb0="00000001" w:csb1="00000000"/>
  </w:font>
  <w:font w:name="2Tsq65QR+SimSun">
    <w:panose1 w:val="02000503000000000000"/>
    <w:charset w:val="00"/>
    <w:family w:val="auto"/>
    <w:pitch w:val="default"/>
    <w:sig w:usb0="00000001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WPSEMBED2">
    <w:panose1 w:val="02000503000000000000"/>
    <w:charset w:val="00"/>
    <w:family w:val="auto"/>
    <w:pitch w:val="default"/>
    <w:sig w:usb0="00000000" w:usb1="08000000" w:usb2="00000000" w:usb3="00000000" w:csb0="00000001" w:csb1="00000000"/>
  </w:font>
  <w:font w:name="WPSEMBED3">
    <w:panose1 w:val="02000503000000000000"/>
    <w:charset w:val="00"/>
    <w:family w:val="auto"/>
    <w:pitch w:val="default"/>
    <w:sig w:usb0="80000001" w:usb1="00000040" w:usb2="00000000" w:usb3="00000000" w:csb0="00000001" w:csb1="00000000"/>
  </w:font>
  <w:font w:name="WPSEMBED4">
    <w:panose1 w:val="02000503000000000000"/>
    <w:charset w:val="88"/>
    <w:family w:val="auto"/>
    <w:pitch w:val="default"/>
    <w:sig w:usb0="00000000" w:usb1="08010000" w:usb2="00000010" w:usb3="00000000" w:csb0="00100000" w:csb1="00000000"/>
  </w:font>
  <w:font w:name="WPSEMBED5">
    <w:panose1 w:val="02000503000000000000"/>
    <w:charset w:val="00"/>
    <w:family w:val="auto"/>
    <w:pitch w:val="default"/>
    <w:sig w:usb0="00000000" w:usb1="08010000" w:usb2="00000010" w:usb3="00000000" w:csb0="00000001" w:csb1="00000000"/>
  </w:font>
  <w:font w:name="WPSEMBED6">
    <w:panose1 w:val="02000503000000000000"/>
    <w:charset w:val="00"/>
    <w:family w:val="auto"/>
    <w:pitch w:val="default"/>
    <w:sig w:usb0="00000000" w:usb1="08000000" w:usb2="00000010" w:usb3="00000000" w:csb0="00000001" w:csb1="00000000"/>
  </w:font>
  <w:font w:name="WPSEMBED7">
    <w:panose1 w:val="02000503000000000000"/>
    <w:charset w:val="00"/>
    <w:family w:val="auto"/>
    <w:pitch w:val="default"/>
    <w:sig w:usb0="80000001" w:usb1="00000000" w:usb2="00000000" w:usb3="00000000" w:csb0="00000001" w:csb1="00000000"/>
  </w:font>
  <w:font w:name="WPSEMBED1">
    <w:panose1 w:val="02000503000000000000"/>
    <w:charset w:val="00"/>
    <w:family w:val="auto"/>
    <w:pitch w:val="default"/>
    <w:sig w:usb0="00000001" w:usb1="0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NotDisplayPageBoundaries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B5B2EEE"/>
    <w:rsid w:val="3AA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3752</Words>
  <Characters>3922</Characters>
  <Lines>0</Lines>
  <Paragraphs>0</Paragraphs>
  <TotalTime>0</TotalTime>
  <ScaleCrop>false</ScaleCrop>
  <LinksUpToDate>false</LinksUpToDate>
  <CharactersWithSpaces>3938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符号</cp:lastModifiedBy>
  <dcterms:modified xsi:type="dcterms:W3CDTF">2026-08-31T02:44:20Z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2052-12.1.0.28500</vt:lpwstr>
  </property>
  <property fmtid="{D5CDD505-2E9C-101B-9397-08002B2CF9AE}" pid="3" name="ICV">
    <vt:lpwstr>E1A339970C2A491EB370D923D345983F_13</vt:lpwstr>
  </property>
  <property fmtid="{D5CDD505-2E9C-101B-9397-08002B2CF9AE}" pid="4" name="KSOTemplateDocerSaveRecord">
    <vt:lpwstr>eyJoZGlkIjoiOGQyZDRkZmFlNWM0MDliNWRhYTQ0Nzc4MzE5NmI0MjQiLCJ1c2VySWQiOiIzNjE2NjA5NTcifQ==</vt:lpwstr>
  </property>
</Properties>
</file>