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7C45A">
      <w:pPr>
        <w:keepNext w:val="0"/>
        <w:keepLines w:val="0"/>
        <w:pageBreakBefore w:val="0"/>
        <w:widowControl/>
        <w:kinsoku/>
        <w:wordWrap/>
        <w:overflowPunct/>
        <w:topLinePunct w:val="0"/>
        <w:autoSpaceDE/>
        <w:autoSpaceDN/>
        <w:bidi w:val="0"/>
        <w:adjustRightInd/>
        <w:snapToGrid/>
        <w:spacing w:after="0" w:line="560" w:lineRule="exact"/>
        <w:ind w:left="0" w:leftChars="0" w:right="0" w:firstLine="640" w:firstLineChars="200"/>
        <w:textAlignment w:val="auto"/>
        <w:rPr>
          <w:rFonts w:hint="eastAsia" w:ascii="Times New Roman" w:hAnsi="Times New Roman" w:eastAsia="仿宋_GB2312" w:cs="仿宋_GB2312"/>
          <w:color w:val="auto"/>
          <w:sz w:val="44"/>
          <w:szCs w:val="44"/>
        </w:rPr>
      </w:pPr>
      <w:r>
        <w:rPr>
          <w:rFonts w:hint="eastAsia" w:ascii="Times New Roman" w:hAnsi="Times New Roman" w:eastAsia="仿宋_GB2312" w:cs="仿宋_GB2312"/>
          <w:color w:val="auto"/>
          <w:sz w:val="32"/>
          <w:szCs w:val="32"/>
          <w:lang w:eastAsia="zh-CN"/>
        </w:rPr>
        <w:t>附件</w:t>
      </w:r>
      <w:r>
        <w:rPr>
          <w:rFonts w:hint="eastAsia" w:ascii="Times New Roman" w:hAnsi="Times New Roman" w:eastAsia="仿宋_GB2312" w:cs="仿宋_GB2312"/>
          <w:color w:val="auto"/>
          <w:sz w:val="32"/>
          <w:szCs w:val="32"/>
          <w:lang w:val="en-US" w:eastAsia="zh-CN"/>
        </w:rPr>
        <w:t>8：</w:t>
      </w:r>
    </w:p>
    <w:p w14:paraId="590BA173">
      <w:pPr>
        <w:keepNext w:val="0"/>
        <w:keepLines w:val="0"/>
        <w:pageBreakBefore w:val="0"/>
        <w:kinsoku/>
        <w:wordWrap/>
        <w:overflowPunct/>
        <w:topLinePunct w:val="0"/>
        <w:autoSpaceDE/>
        <w:autoSpaceDN/>
        <w:bidi w:val="0"/>
        <w:adjustRightInd/>
        <w:snapToGrid/>
        <w:spacing w:before="269" w:after="269" w:line="560" w:lineRule="exact"/>
        <w:ind w:left="0" w:leftChars="0" w:firstLine="883" w:firstLineChars="20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i w:val="0"/>
          <w:color w:val="000000"/>
          <w:sz w:val="44"/>
          <w:szCs w:val="44"/>
        </w:rPr>
        <w:t>长虫山项目支出绩效评价报告</w:t>
      </w:r>
    </w:p>
    <w:p w14:paraId="0FBF6542">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3" w:firstLineChars="200"/>
        <w:jc w:val="left"/>
        <w:textAlignment w:val="auto"/>
        <w:outlineLvl w:val="0"/>
        <w:rPr>
          <w:rFonts w:hint="eastAsia" w:ascii="Times New Roman" w:hAnsi="Times New Roman" w:eastAsia="黑体" w:cs="黑体"/>
          <w:b/>
          <w:bCs w:val="0"/>
          <w:sz w:val="32"/>
          <w:szCs w:val="32"/>
        </w:rPr>
      </w:pPr>
      <w:r>
        <w:rPr>
          <w:rFonts w:hint="eastAsia" w:ascii="Times New Roman" w:hAnsi="Times New Roman" w:eastAsia="黑体" w:cs="黑体"/>
          <w:b/>
          <w:bCs w:val="0"/>
          <w:i w:val="0"/>
          <w:color w:val="000000"/>
          <w:sz w:val="32"/>
          <w:szCs w:val="32"/>
        </w:rPr>
        <w:t>一、基本情况</w:t>
      </w:r>
    </w:p>
    <w:p w14:paraId="3C8089CB">
      <w:pPr>
        <w:keepNext w:val="0"/>
        <w:keepLines w:val="0"/>
        <w:pageBreakBefore w:val="0"/>
        <w:widowControl/>
        <w:tabs>
          <w:tab w:val="right" w:pos="8844"/>
        </w:tabs>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b/>
          <w:i w:val="0"/>
          <w:color w:val="000000"/>
          <w:sz w:val="32"/>
          <w:szCs w:val="32"/>
        </w:rPr>
        <w:t>（一）项目概况</w:t>
      </w:r>
      <w:r>
        <w:rPr>
          <w:rFonts w:hint="eastAsia" w:ascii="Times New Roman" w:hAnsi="Times New Roman" w:eastAsia="楷体_GB2312" w:cs="楷体_GB2312"/>
          <w:b/>
          <w:i w:val="0"/>
          <w:color w:val="000000"/>
          <w:sz w:val="32"/>
          <w:szCs w:val="32"/>
          <w:lang w:eastAsia="zh-CN"/>
        </w:rPr>
        <w:tab/>
      </w:r>
    </w:p>
    <w:p w14:paraId="1BE2CBF0">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i w:val="0"/>
          <w:color w:val="000000"/>
          <w:sz w:val="32"/>
          <w:szCs w:val="32"/>
          <w:lang w:val="en-US" w:eastAsia="zh-CN"/>
        </w:rPr>
        <w:t>1.</w:t>
      </w:r>
      <w:r>
        <w:rPr>
          <w:rFonts w:hint="eastAsia" w:ascii="Times New Roman" w:hAnsi="Times New Roman" w:eastAsia="仿宋_GB2312" w:cs="仿宋_GB2312"/>
          <w:b/>
          <w:i w:val="0"/>
          <w:color w:val="000000"/>
          <w:sz w:val="32"/>
          <w:szCs w:val="32"/>
        </w:rPr>
        <w:t>项目背景</w:t>
      </w:r>
      <w:r>
        <w:rPr>
          <w:rFonts w:hint="eastAsia" w:ascii="Times New Roman" w:hAnsi="Times New Roman" w:eastAsia="仿宋_GB2312" w:cs="仿宋_GB2312"/>
          <w:b w:val="0"/>
          <w:i w:val="0"/>
          <w:color w:val="000000"/>
          <w:sz w:val="32"/>
          <w:szCs w:val="32"/>
        </w:rPr>
        <w:t>：</w:t>
      </w:r>
    </w:p>
    <w:p w14:paraId="7913337B">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b w:val="0"/>
          <w:i w:val="0"/>
          <w:color w:val="000000"/>
          <w:sz w:val="32"/>
          <w:szCs w:val="32"/>
        </w:rPr>
        <w:t>长虫山项目位于昆明市五华区，是五华区国有资产投资经营管理有限公司为提升区域生态环境、促进全域旅游发展而实施的重点项目。项目旨在通过建设长虫山生态绿道及服务配套设施，改善长虫山基础配套设施条件，推动生态文明建设，打造美丽中国典范。在坚持生态文明建设美丽中国、全面推进全域旅游发展以及云南省打造世界一流“三张牌”的战略背景下，本项目将以生态保护和环境治理为基础，对长虫山实施步道系统景观提升，以区域基础配套设施提升为载体，推动公益性较强的生态环境治理与特色旅游有效融合，统筹推进，一体化实施，将生态环境治理带来的经济价值内部化，积极践行“生态优先、绿色发展”的理念，是“绿水青山就是金山银山”理论对生态价值转化路径的探索。长虫山生态绿道及服务配套设施建设项目以“北走蜿蜒·春城绿道”为设计概念，以长虫山北走蜿蜒的历史文化结合春城绿道为功能定位，实现通山连城，连接城市的4km浮空栈道系统，打造6.5km融合城市与自然的慢道系统</w:t>
      </w:r>
      <w:r>
        <w:rPr>
          <w:rFonts w:hint="eastAsia" w:ascii="Times New Roman" w:hAnsi="Times New Roman" w:eastAsia="仿宋_GB2312" w:cs="仿宋_GB2312"/>
          <w:b w:val="0"/>
          <w:i w:val="0"/>
          <w:color w:val="000000"/>
          <w:sz w:val="32"/>
          <w:szCs w:val="32"/>
          <w:lang w:eastAsia="zh-CN"/>
        </w:rPr>
        <w:t>。</w:t>
      </w:r>
    </w:p>
    <w:p w14:paraId="676257EC">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i w:val="0"/>
          <w:color w:val="000000"/>
          <w:sz w:val="32"/>
          <w:szCs w:val="32"/>
        </w:rPr>
      </w:pPr>
      <w:r>
        <w:rPr>
          <w:rFonts w:hint="eastAsia" w:ascii="Times New Roman" w:hAnsi="Times New Roman" w:eastAsia="仿宋_GB2312" w:cs="仿宋_GB2312"/>
          <w:b/>
          <w:i w:val="0"/>
          <w:color w:val="000000"/>
          <w:sz w:val="32"/>
          <w:szCs w:val="32"/>
          <w:lang w:val="en-US" w:eastAsia="zh-CN"/>
        </w:rPr>
        <w:t>2.</w:t>
      </w:r>
      <w:r>
        <w:rPr>
          <w:rFonts w:hint="eastAsia" w:ascii="Times New Roman" w:hAnsi="Times New Roman" w:eastAsia="仿宋_GB2312" w:cs="仿宋_GB2312"/>
          <w:b/>
          <w:i w:val="0"/>
          <w:color w:val="000000"/>
          <w:sz w:val="32"/>
          <w:szCs w:val="32"/>
        </w:rPr>
        <w:t>主要内容及实施情况</w:t>
      </w:r>
    </w:p>
    <w:p w14:paraId="08FCA834">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rPr>
        <w:t>项目主要实施内容包括浮空栈道系统、地面慢行系统、城市家具、景观绿化、土方工程、标识导视、景观照明电气工程、通讯工程、智慧服务、景观给排水工程、消防辅助工程、光伏提水工程。</w:t>
      </w:r>
    </w:p>
    <w:p w14:paraId="2532DB38">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i w:val="0"/>
          <w:color w:val="000000"/>
          <w:sz w:val="32"/>
          <w:szCs w:val="32"/>
        </w:rPr>
        <w:t>本项目的建设将坚持生态保护优先，充分利用长虫山的地形地貌和生态价值，以长虫山生态景观资源为依托，注重文化内生性、特色性及认同感的文化重建，实现“旅游+生态”协同发展，激活长虫山价值，实现发展的可持续，最终打造“北走蜿蜒春城漫道”。项目自202</w:t>
      </w:r>
      <w:r>
        <w:rPr>
          <w:rFonts w:hint="eastAsia" w:ascii="Times New Roman" w:hAnsi="Times New Roman" w:eastAsia="仿宋_GB2312" w:cs="仿宋_GB2312"/>
          <w:b w:val="0"/>
          <w:i w:val="0"/>
          <w:color w:val="000000"/>
          <w:sz w:val="32"/>
          <w:szCs w:val="32"/>
          <w:lang w:val="en-US" w:eastAsia="zh-CN"/>
        </w:rPr>
        <w:t>4</w:t>
      </w:r>
      <w:r>
        <w:rPr>
          <w:rFonts w:hint="eastAsia" w:ascii="Times New Roman" w:hAnsi="Times New Roman" w:eastAsia="仿宋_GB2312" w:cs="仿宋_GB2312"/>
          <w:b w:val="0"/>
          <w:i w:val="0"/>
          <w:color w:val="000000"/>
          <w:sz w:val="32"/>
          <w:szCs w:val="32"/>
        </w:rPr>
        <w:t>年启动，预计于202</w:t>
      </w:r>
      <w:r>
        <w:rPr>
          <w:rFonts w:hint="eastAsia" w:ascii="Times New Roman" w:hAnsi="Times New Roman" w:eastAsia="仿宋_GB2312" w:cs="仿宋_GB2312"/>
          <w:b w:val="0"/>
          <w:i w:val="0"/>
          <w:color w:val="000000"/>
          <w:sz w:val="32"/>
          <w:szCs w:val="32"/>
          <w:lang w:val="en-US" w:eastAsia="zh-CN"/>
        </w:rPr>
        <w:t>6</w:t>
      </w:r>
      <w:r>
        <w:rPr>
          <w:rFonts w:hint="eastAsia" w:ascii="Times New Roman" w:hAnsi="Times New Roman" w:eastAsia="仿宋_GB2312" w:cs="仿宋_GB2312"/>
          <w:b w:val="0"/>
          <w:i w:val="0"/>
          <w:color w:val="000000"/>
          <w:sz w:val="32"/>
          <w:szCs w:val="32"/>
        </w:rPr>
        <w:t>年竣工验收并交付使用。</w:t>
      </w:r>
    </w:p>
    <w:p w14:paraId="2406B3DC">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i w:val="0"/>
          <w:color w:val="000000"/>
          <w:sz w:val="32"/>
          <w:szCs w:val="32"/>
        </w:rPr>
      </w:pPr>
      <w:r>
        <w:rPr>
          <w:rFonts w:hint="eastAsia" w:ascii="Times New Roman" w:hAnsi="Times New Roman" w:eastAsia="仿宋_GB2312" w:cs="仿宋_GB2312"/>
          <w:b/>
          <w:i w:val="0"/>
          <w:color w:val="000000"/>
          <w:sz w:val="32"/>
          <w:szCs w:val="32"/>
          <w:lang w:val="en-US" w:eastAsia="en-US" w:bidi="ar-SA"/>
        </w:rPr>
        <w:t>3.</w:t>
      </w:r>
      <w:r>
        <w:rPr>
          <w:rFonts w:hint="eastAsia" w:ascii="Times New Roman" w:hAnsi="Times New Roman" w:eastAsia="仿宋_GB2312" w:cs="仿宋_GB2312"/>
          <w:b/>
          <w:i w:val="0"/>
          <w:color w:val="000000"/>
          <w:sz w:val="32"/>
          <w:szCs w:val="32"/>
        </w:rPr>
        <w:t>资金投入和使用情况</w:t>
      </w:r>
    </w:p>
    <w:p w14:paraId="5ED4DE1B">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rPr>
        <w:t>项目总投资估算为22,167.07万元，资金来源由建设单位多渠道筹措。截至评价时点，</w:t>
      </w:r>
      <w:r>
        <w:rPr>
          <w:rFonts w:hint="eastAsia" w:ascii="Times New Roman" w:hAnsi="Times New Roman" w:eastAsia="仿宋_GB2312" w:cs="仿宋_GB2312"/>
          <w:b w:val="0"/>
          <w:i w:val="0"/>
          <w:color w:val="000000"/>
          <w:sz w:val="32"/>
          <w:szCs w:val="32"/>
          <w:lang w:val="en-US" w:eastAsia="zh-CN"/>
        </w:rPr>
        <w:t>2025年内本</w:t>
      </w:r>
      <w:r>
        <w:rPr>
          <w:rFonts w:hint="eastAsia" w:ascii="Times New Roman" w:hAnsi="Times New Roman" w:eastAsia="仿宋_GB2312" w:cs="仿宋_GB2312"/>
          <w:b w:val="0"/>
          <w:i w:val="0"/>
          <w:color w:val="000000"/>
          <w:sz w:val="32"/>
          <w:szCs w:val="32"/>
        </w:rPr>
        <w:t>项目已投入资金约</w:t>
      </w:r>
      <w:r>
        <w:rPr>
          <w:rFonts w:hint="eastAsia" w:ascii="Times New Roman" w:hAnsi="Times New Roman" w:eastAsia="仿宋_GB2312" w:cs="仿宋_GB2312"/>
          <w:b w:val="0"/>
          <w:i w:val="0"/>
          <w:color w:val="auto"/>
          <w:sz w:val="32"/>
          <w:szCs w:val="32"/>
          <w:lang w:val="en-US" w:eastAsia="zh-CN"/>
        </w:rPr>
        <w:t>862</w:t>
      </w:r>
      <w:r>
        <w:rPr>
          <w:rFonts w:hint="eastAsia" w:ascii="Times New Roman" w:hAnsi="Times New Roman" w:eastAsia="仿宋_GB2312" w:cs="仿宋_GB2312"/>
          <w:b w:val="0"/>
          <w:i w:val="0"/>
          <w:color w:val="000000"/>
          <w:sz w:val="32"/>
          <w:szCs w:val="32"/>
        </w:rPr>
        <w:t>万元，主要用于项目前期规划、设计、招投标及部分工程施工。</w:t>
      </w:r>
    </w:p>
    <w:tbl>
      <w:tblPr>
        <w:tblStyle w:val="7"/>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2"/>
        <w:gridCol w:w="1134"/>
        <w:gridCol w:w="2776"/>
        <w:gridCol w:w="3468"/>
      </w:tblGrid>
      <w:tr w14:paraId="37998913">
        <w:tblPrEx>
          <w:tblCellMar>
            <w:top w:w="0" w:type="dxa"/>
            <w:left w:w="108" w:type="dxa"/>
            <w:bottom w:w="0" w:type="dxa"/>
            <w:right w:w="108" w:type="dxa"/>
          </w:tblCellMar>
        </w:tblPrEx>
        <w:trPr>
          <w:trHeight w:val="0" w:hRule="atLeast"/>
          <w:tblHeader/>
          <w:jc w:val="center"/>
        </w:trPr>
        <w:tc>
          <w:tcPr>
            <w:tcW w:w="3468" w:type="dxa"/>
            <w:gridSpan w:val="4"/>
            <w:tcBorders>
              <w:top w:val="nil"/>
              <w:left w:val="nil"/>
              <w:bottom w:val="nil"/>
              <w:right w:val="nil"/>
            </w:tcBorders>
            <w:shd w:val="clear" w:color="auto" w:fill="auto"/>
            <w:noWrap/>
            <w:vAlign w:val="center"/>
          </w:tcPr>
          <w:p w14:paraId="71AB09E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长虫山项目支出</w:t>
            </w:r>
          </w:p>
        </w:tc>
      </w:tr>
      <w:tr w14:paraId="3C01F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9B92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年</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FF46C">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rPr>
            </w:pPr>
            <w:r>
              <w:rPr>
                <w:rFonts w:hint="eastAsia" w:ascii="Times New Roman" w:hAnsi="Times New Roman" w:eastAsia="仿宋_GB2312" w:cs="仿宋_GB2312"/>
                <w:i w:val="0"/>
                <w:iCs w:val="0"/>
                <w:color w:val="000000"/>
                <w:kern w:val="0"/>
                <w:sz w:val="20"/>
                <w:szCs w:val="20"/>
                <w:u w:val="none"/>
                <w:lang w:val="en-US" w:eastAsia="zh-CN" w:bidi="ar"/>
              </w:rPr>
              <w:t>月</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06B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rPr>
            </w:pPr>
            <w:r>
              <w:rPr>
                <w:rFonts w:hint="eastAsia" w:ascii="Times New Roman" w:hAnsi="Times New Roman" w:eastAsia="仿宋_GB2312" w:cs="仿宋_GB2312"/>
                <w:i w:val="0"/>
                <w:iCs w:val="0"/>
                <w:color w:val="000000"/>
                <w:kern w:val="0"/>
                <w:sz w:val="20"/>
                <w:szCs w:val="20"/>
                <w:u w:val="none"/>
                <w:lang w:val="en-US" w:eastAsia="zh-CN" w:bidi="ar"/>
              </w:rPr>
              <w:t>费用类型</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2B41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支出金额</w:t>
            </w:r>
          </w:p>
        </w:tc>
      </w:tr>
      <w:tr w14:paraId="656FC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D0EE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2025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4DC7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1</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9120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勘察费</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530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 xml:space="preserve">100,000.00 </w:t>
            </w:r>
          </w:p>
        </w:tc>
      </w:tr>
      <w:tr w14:paraId="59620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F490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2025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05FA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5</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71D8">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工程款</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C53A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 xml:space="preserve">5,000,000.00 </w:t>
            </w:r>
          </w:p>
        </w:tc>
      </w:tr>
      <w:tr w14:paraId="0481E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8254">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2025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C0531">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7</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227A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咨询费</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113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 xml:space="preserve">30,000.00 </w:t>
            </w:r>
          </w:p>
        </w:tc>
      </w:tr>
      <w:tr w14:paraId="7895F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FE2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2025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2D99">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8</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7D5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工程款</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85CC7">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 xml:space="preserve">2,000,000.00 </w:t>
            </w:r>
          </w:p>
        </w:tc>
      </w:tr>
      <w:tr w14:paraId="4E882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77583">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2025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771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12</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77AB">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劳务费</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6724D">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 xml:space="preserve">33,000.00 </w:t>
            </w:r>
          </w:p>
        </w:tc>
      </w:tr>
      <w:tr w14:paraId="728BD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1095">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2025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B1EF">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12</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FD82">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Times New Roman" w:hAnsi="Times New Roman" w:eastAsia="仿宋_GB2312" w:cs="仿宋_GB2312"/>
                <w:sz w:val="20"/>
              </w:rPr>
            </w:pPr>
            <w:r>
              <w:rPr>
                <w:rFonts w:hint="eastAsia" w:ascii="Times New Roman" w:hAnsi="Times New Roman" w:eastAsia="仿宋_GB2312" w:cs="仿宋_GB2312"/>
                <w:i w:val="0"/>
                <w:iCs w:val="0"/>
                <w:color w:val="000000"/>
                <w:kern w:val="0"/>
                <w:sz w:val="20"/>
                <w:szCs w:val="20"/>
                <w:u w:val="none"/>
                <w:lang w:val="en-US" w:eastAsia="zh-CN" w:bidi="ar"/>
              </w:rPr>
              <w:t>利息</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FBCB0">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i w:val="0"/>
                <w:iCs w:val="0"/>
                <w:color w:val="000000"/>
                <w:sz w:val="20"/>
                <w:szCs w:val="20"/>
                <w:u w:val="none"/>
              </w:rPr>
            </w:pPr>
            <w:r>
              <w:rPr>
                <w:rFonts w:hint="eastAsia" w:ascii="Times New Roman" w:hAnsi="Times New Roman" w:eastAsia="仿宋_GB2312" w:cs="仿宋_GB2312"/>
                <w:i w:val="0"/>
                <w:iCs w:val="0"/>
                <w:color w:val="000000"/>
                <w:kern w:val="0"/>
                <w:sz w:val="20"/>
                <w:szCs w:val="20"/>
                <w:u w:val="none"/>
                <w:lang w:val="en-US" w:eastAsia="zh-CN" w:bidi="ar"/>
              </w:rPr>
              <w:t xml:space="preserve">1,465,058.31 </w:t>
            </w:r>
          </w:p>
        </w:tc>
      </w:tr>
      <w:tr w14:paraId="35F56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967CC">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Times New Roman" w:hAnsi="Times New Roman" w:eastAsia="仿宋_GB2312" w:cs="仿宋_GB2312"/>
                <w:b/>
                <w:i w:val="0"/>
                <w:iCs w:val="0"/>
                <w:color w:val="000000"/>
                <w:sz w:val="20"/>
                <w:szCs w:val="20"/>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8AB2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Times New Roman" w:hAnsi="Times New Roman" w:eastAsia="仿宋_GB2312" w:cs="仿宋_GB2312"/>
                <w:b/>
                <w:sz w:val="20"/>
              </w:rPr>
            </w:pP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E93CA">
            <w:pPr>
              <w:keepNext w:val="0"/>
              <w:keepLines w:val="0"/>
              <w:pageBreakBefore w:val="0"/>
              <w:kinsoku/>
              <w:wordWrap/>
              <w:overflowPunct/>
              <w:topLinePunct w:val="0"/>
              <w:autoSpaceDE/>
              <w:autoSpaceDN/>
              <w:bidi w:val="0"/>
              <w:adjustRightInd/>
              <w:snapToGrid w:val="0"/>
              <w:spacing w:line="240" w:lineRule="auto"/>
              <w:ind w:left="0" w:leftChars="0" w:right="0" w:rightChars="0" w:firstLine="0" w:firstLineChars="0"/>
              <w:jc w:val="center"/>
              <w:rPr>
                <w:rFonts w:hint="eastAsia" w:ascii="Times New Roman" w:hAnsi="Times New Roman" w:eastAsia="仿宋_GB2312" w:cs="仿宋_GB2312"/>
                <w:b/>
                <w:sz w:val="20"/>
                <w:lang w:val="en-US" w:eastAsia="zh-CN"/>
              </w:rPr>
            </w:pPr>
            <w:r>
              <w:rPr>
                <w:rFonts w:hint="eastAsia" w:ascii="Times New Roman" w:hAnsi="Times New Roman" w:eastAsia="仿宋_GB2312" w:cs="仿宋_GB2312"/>
                <w:b/>
                <w:sz w:val="20"/>
                <w:lang w:val="en-US" w:eastAsia="zh-CN"/>
              </w:rPr>
              <w:t>合计</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EB7A">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bottom"/>
              <w:rPr>
                <w:rFonts w:hint="eastAsia" w:ascii="Times New Roman" w:hAnsi="Times New Roman" w:eastAsia="仿宋_GB2312" w:cs="仿宋_GB2312"/>
                <w:b/>
                <w:i w:val="0"/>
                <w:iCs w:val="0"/>
                <w:color w:val="000000"/>
                <w:sz w:val="20"/>
                <w:szCs w:val="20"/>
                <w:u w:val="none"/>
              </w:rPr>
            </w:pPr>
            <w:r>
              <w:rPr>
                <w:rFonts w:hint="eastAsia" w:ascii="Times New Roman" w:hAnsi="Times New Roman" w:eastAsia="仿宋_GB2312" w:cs="仿宋_GB2312"/>
                <w:b/>
                <w:i w:val="0"/>
                <w:iCs w:val="0"/>
                <w:color w:val="000000"/>
                <w:kern w:val="0"/>
                <w:sz w:val="20"/>
                <w:szCs w:val="20"/>
                <w:u w:val="none"/>
                <w:lang w:val="en-US" w:eastAsia="zh-CN" w:bidi="ar"/>
              </w:rPr>
              <w:t xml:space="preserve">8,628,058.31 </w:t>
            </w:r>
          </w:p>
        </w:tc>
      </w:tr>
    </w:tbl>
    <w:p w14:paraId="46A838B4">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（二）项目绩效目标</w:t>
      </w:r>
    </w:p>
    <w:p w14:paraId="4042EACA">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i w:val="0"/>
          <w:color w:val="000000"/>
          <w:sz w:val="32"/>
          <w:szCs w:val="32"/>
        </w:rPr>
      </w:pPr>
      <w:r>
        <w:rPr>
          <w:rFonts w:hint="eastAsia" w:ascii="Times New Roman" w:hAnsi="Times New Roman" w:eastAsia="仿宋_GB2312" w:cs="仿宋_GB2312"/>
          <w:b/>
          <w:i w:val="0"/>
          <w:color w:val="000000"/>
          <w:sz w:val="32"/>
          <w:szCs w:val="32"/>
          <w:lang w:val="en-US" w:eastAsia="zh-CN"/>
        </w:rPr>
        <w:t>1.</w:t>
      </w:r>
      <w:r>
        <w:rPr>
          <w:rFonts w:hint="eastAsia" w:ascii="Times New Roman" w:hAnsi="Times New Roman" w:eastAsia="仿宋_GB2312" w:cs="仿宋_GB2312"/>
          <w:b/>
          <w:i w:val="0"/>
          <w:color w:val="000000"/>
          <w:sz w:val="32"/>
          <w:szCs w:val="32"/>
        </w:rPr>
        <w:t>总体目标</w:t>
      </w:r>
    </w:p>
    <w:p w14:paraId="663ABDEC">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i w:val="0"/>
          <w:color w:val="000000"/>
          <w:sz w:val="32"/>
          <w:szCs w:val="32"/>
        </w:rPr>
        <w:t>通过长虫山生态绿道及服务配套设施的建设，提升长虫山生态环境质量，促进全域旅游发展，打造昆明市新的旅游名片，为市民提供优质的休闲运动空间。</w:t>
      </w:r>
    </w:p>
    <w:p w14:paraId="1FFCFE5E">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i w:val="0"/>
          <w:color w:val="000000"/>
          <w:sz w:val="32"/>
          <w:szCs w:val="32"/>
        </w:rPr>
        <w:t>阶段性目标</w:t>
      </w:r>
      <w:r>
        <w:rPr>
          <w:rFonts w:hint="eastAsia" w:ascii="Times New Roman" w:hAnsi="Times New Roman" w:eastAsia="仿宋_GB2312" w:cs="仿宋_GB2312"/>
          <w:b w:val="0"/>
          <w:i w:val="0"/>
          <w:color w:val="000000"/>
          <w:sz w:val="32"/>
          <w:szCs w:val="32"/>
        </w:rPr>
        <w:t>：</w:t>
      </w:r>
    </w:p>
    <w:p w14:paraId="1A8983DC">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lang w:val="en-US" w:eastAsia="zh-CN"/>
        </w:rPr>
        <w:t>（1）</w:t>
      </w:r>
      <w:r>
        <w:rPr>
          <w:rFonts w:hint="eastAsia" w:ascii="Times New Roman" w:hAnsi="Times New Roman" w:eastAsia="仿宋_GB2312" w:cs="仿宋_GB2312"/>
          <w:b w:val="0"/>
          <w:i w:val="0"/>
          <w:color w:val="000000"/>
          <w:sz w:val="32"/>
          <w:szCs w:val="32"/>
        </w:rPr>
        <w:t>完成项目前期规划、设计、招投标等工作。</w:t>
      </w:r>
    </w:p>
    <w:p w14:paraId="7A319F37">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lang w:val="en-US" w:eastAsia="zh-CN"/>
        </w:rPr>
        <w:t>（2）</w:t>
      </w:r>
      <w:r>
        <w:rPr>
          <w:rFonts w:hint="eastAsia" w:ascii="Times New Roman" w:hAnsi="Times New Roman" w:eastAsia="仿宋_GB2312" w:cs="仿宋_GB2312"/>
          <w:b w:val="0"/>
          <w:i w:val="0"/>
          <w:color w:val="000000"/>
          <w:sz w:val="32"/>
          <w:szCs w:val="32"/>
        </w:rPr>
        <w:t>启动并完成浮空栈道系统、地面慢行系统等主体工程工。</w:t>
      </w:r>
    </w:p>
    <w:p w14:paraId="09053278">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lang w:val="en-US" w:eastAsia="zh-CN"/>
        </w:rPr>
        <w:t>（3）</w:t>
      </w:r>
      <w:r>
        <w:rPr>
          <w:rFonts w:hint="eastAsia" w:ascii="Times New Roman" w:hAnsi="Times New Roman" w:eastAsia="仿宋_GB2312" w:cs="仿宋_GB2312"/>
          <w:b w:val="0"/>
          <w:i w:val="0"/>
          <w:color w:val="000000"/>
          <w:sz w:val="32"/>
          <w:szCs w:val="32"/>
        </w:rPr>
        <w:t>完成生态景观绿化、标识导视、综合管网等配套设施设。</w:t>
      </w:r>
    </w:p>
    <w:p w14:paraId="7FC531D8">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lang w:val="en-US" w:eastAsia="zh-CN"/>
        </w:rPr>
        <w:t>（4）</w:t>
      </w:r>
      <w:r>
        <w:rPr>
          <w:rFonts w:hint="eastAsia" w:ascii="Times New Roman" w:hAnsi="Times New Roman" w:eastAsia="仿宋_GB2312" w:cs="仿宋_GB2312"/>
          <w:b w:val="0"/>
          <w:i w:val="0"/>
          <w:color w:val="000000"/>
          <w:sz w:val="32"/>
          <w:szCs w:val="32"/>
        </w:rPr>
        <w:t>通过竣工验收并交付使用。</w:t>
      </w:r>
    </w:p>
    <w:p w14:paraId="39F80FA8">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（三）项目组织管理情况</w:t>
      </w:r>
    </w:p>
    <w:p w14:paraId="435CE6E2">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i w:val="0"/>
          <w:color w:val="000000"/>
          <w:sz w:val="32"/>
          <w:szCs w:val="32"/>
        </w:rPr>
      </w:pPr>
      <w:r>
        <w:rPr>
          <w:rFonts w:hint="eastAsia" w:ascii="Times New Roman" w:hAnsi="Times New Roman" w:eastAsia="仿宋_GB2312" w:cs="仿宋_GB2312"/>
          <w:b/>
          <w:i w:val="0"/>
          <w:color w:val="000000"/>
          <w:sz w:val="32"/>
          <w:szCs w:val="32"/>
          <w:lang w:val="en-US" w:eastAsia="zh-CN"/>
        </w:rPr>
        <w:t>1.</w:t>
      </w:r>
      <w:r>
        <w:rPr>
          <w:rFonts w:hint="eastAsia" w:ascii="Times New Roman" w:hAnsi="Times New Roman" w:eastAsia="仿宋_GB2312" w:cs="仿宋_GB2312"/>
          <w:b/>
          <w:i w:val="0"/>
          <w:color w:val="000000"/>
          <w:sz w:val="32"/>
          <w:szCs w:val="32"/>
        </w:rPr>
        <w:t>项目相关方职责分工</w:t>
      </w:r>
    </w:p>
    <w:p w14:paraId="684749FA">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i w:val="0"/>
          <w:color w:val="000000"/>
          <w:sz w:val="32"/>
          <w:szCs w:val="32"/>
        </w:rPr>
        <w:t>项目由五华区国有资产投资经营管理有限公司作为建设单位，负责项目的整体推进和资金筹措。设计单位为云南科帕工程技术咨询有限公司，负责项目的规划设计和施工图设计。监理单位、施工单位等通过公开招标确定，各自承担相应的建设任务。</w:t>
      </w:r>
    </w:p>
    <w:p w14:paraId="27657E03">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i w:val="0"/>
          <w:color w:val="000000"/>
          <w:sz w:val="32"/>
          <w:szCs w:val="32"/>
        </w:rPr>
      </w:pPr>
      <w:r>
        <w:rPr>
          <w:rFonts w:hint="eastAsia" w:ascii="Times New Roman" w:hAnsi="Times New Roman" w:eastAsia="仿宋_GB2312" w:cs="仿宋_GB2312"/>
          <w:b/>
          <w:i w:val="0"/>
          <w:color w:val="000000"/>
          <w:sz w:val="32"/>
          <w:szCs w:val="32"/>
          <w:lang w:val="en-US" w:eastAsia="en-US" w:bidi="ar-SA"/>
        </w:rPr>
        <w:t>2.</w:t>
      </w:r>
      <w:r>
        <w:rPr>
          <w:rFonts w:hint="eastAsia" w:ascii="Times New Roman" w:hAnsi="Times New Roman" w:eastAsia="仿宋_GB2312" w:cs="仿宋_GB2312"/>
          <w:b/>
          <w:i w:val="0"/>
          <w:color w:val="000000"/>
          <w:sz w:val="32"/>
          <w:szCs w:val="32"/>
        </w:rPr>
        <w:t>组织实施</w:t>
      </w:r>
    </w:p>
    <w:p w14:paraId="38B6A350">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rPr>
        <w:t>项目采用EPC（设计-采购-施工）总承包模式，由总承包单位负责项目的整体实施。同时，建立项目进度跟踪机制，定期召开项目推进会，及时解决项目实施过程中遇到的问题。</w:t>
      </w:r>
    </w:p>
    <w:p w14:paraId="0F9AA44D">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i w:val="0"/>
          <w:color w:val="000000"/>
          <w:sz w:val="32"/>
          <w:szCs w:val="32"/>
        </w:rPr>
      </w:pPr>
      <w:r>
        <w:rPr>
          <w:rFonts w:hint="eastAsia" w:ascii="Times New Roman" w:hAnsi="Times New Roman" w:eastAsia="仿宋_GB2312" w:cs="仿宋_GB2312"/>
          <w:b/>
          <w:i w:val="0"/>
          <w:color w:val="000000"/>
          <w:sz w:val="32"/>
          <w:szCs w:val="32"/>
          <w:lang w:val="en-US" w:eastAsia="en-US" w:bidi="ar-SA"/>
        </w:rPr>
        <w:t>3.</w:t>
      </w:r>
      <w:r>
        <w:rPr>
          <w:rFonts w:hint="eastAsia" w:ascii="Times New Roman" w:hAnsi="Times New Roman" w:eastAsia="仿宋_GB2312" w:cs="仿宋_GB2312"/>
          <w:b/>
          <w:i w:val="0"/>
          <w:color w:val="000000"/>
          <w:sz w:val="32"/>
          <w:szCs w:val="32"/>
        </w:rPr>
        <w:t>项目管理措施</w:t>
      </w:r>
    </w:p>
    <w:p w14:paraId="5E1D0A94">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rPr>
        <w:t>为加强整个项目的建设管理，保证工程建设质量、工期、成本及安全，拟采取以下管理措施：</w:t>
      </w:r>
    </w:p>
    <w:p w14:paraId="0A90CF8D">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lang w:val="en-US" w:eastAsia="zh-CN"/>
        </w:rPr>
        <w:t>（1）</w:t>
      </w:r>
      <w:r>
        <w:rPr>
          <w:rFonts w:hint="eastAsia" w:ascii="Times New Roman" w:hAnsi="Times New Roman" w:eastAsia="仿宋_GB2312" w:cs="仿宋_GB2312"/>
          <w:b w:val="0"/>
          <w:i w:val="0"/>
          <w:color w:val="000000"/>
          <w:sz w:val="32"/>
          <w:szCs w:val="32"/>
        </w:rPr>
        <w:t>设计阶段：严格执行国家现行的设计规范和国家批准的建设标准；尽量采用标准化设计，积极推广应用“可靠性设计方法”等现代设计方法；注意因地制宜，就地取材，节省建设资金，在切实满足建筑功能要求的同时，节约投资、节约各种资源，缩短建设工期；积极采用技术上更加先进、经济上更加合理的新结构、新材料。</w:t>
      </w:r>
    </w:p>
    <w:p w14:paraId="2F3A5F13">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lang w:val="en-US" w:eastAsia="zh-CN"/>
        </w:rPr>
        <w:t>（2）</w:t>
      </w:r>
      <w:r>
        <w:rPr>
          <w:rFonts w:hint="eastAsia" w:ascii="Times New Roman" w:hAnsi="Times New Roman" w:eastAsia="仿宋_GB2312" w:cs="仿宋_GB2312"/>
          <w:b w:val="0"/>
          <w:i w:val="0"/>
          <w:color w:val="000000"/>
          <w:sz w:val="32"/>
          <w:szCs w:val="32"/>
        </w:rPr>
        <w:t>项目实施：根据工程设计的要求，进行总体规划设计并实施工程监督。实行监理制，以控制工程投资、工期和质量。</w:t>
      </w:r>
    </w:p>
    <w:p w14:paraId="0D9AFCEE">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lang w:val="en-US" w:eastAsia="zh-CN"/>
        </w:rPr>
        <w:t>（3）</w:t>
      </w:r>
      <w:r>
        <w:rPr>
          <w:rFonts w:hint="eastAsia" w:ascii="Times New Roman" w:hAnsi="Times New Roman" w:eastAsia="仿宋_GB2312" w:cs="仿宋_GB2312"/>
          <w:b w:val="0"/>
          <w:i w:val="0"/>
          <w:color w:val="000000"/>
          <w:sz w:val="32"/>
          <w:szCs w:val="32"/>
        </w:rPr>
        <w:t>竣工验收：项目按批准的设计建成后，项目单位编制完成工程结算和竣工决算，报财政部门和审计部门审核，并报相关组织竣工验收，严格工程建设项目竣工验收制度和工程建设项目质量终身负责制。</w:t>
      </w:r>
    </w:p>
    <w:p w14:paraId="601A13E7">
      <w:pPr>
        <w:keepNext w:val="0"/>
        <w:keepLines w:val="0"/>
        <w:pageBreakBefore w:val="0"/>
        <w:widowControl/>
        <w:numPr>
          <w:ilvl w:val="0"/>
          <w:numId w:val="0"/>
        </w:numPr>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2"/>
        <w:rPr>
          <w:rFonts w:hint="eastAsia" w:ascii="Times New Roman" w:hAnsi="Times New Roman" w:eastAsia="仿宋_GB2312" w:cs="仿宋_GB2312"/>
          <w:b/>
          <w:i w:val="0"/>
          <w:color w:val="000000"/>
          <w:sz w:val="32"/>
          <w:szCs w:val="32"/>
        </w:rPr>
      </w:pPr>
      <w:r>
        <w:rPr>
          <w:rFonts w:hint="eastAsia" w:ascii="Times New Roman" w:hAnsi="Times New Roman" w:eastAsia="仿宋_GB2312" w:cs="仿宋_GB2312"/>
          <w:b/>
          <w:i w:val="0"/>
          <w:color w:val="000000"/>
          <w:sz w:val="32"/>
          <w:szCs w:val="32"/>
          <w:lang w:val="en-US" w:eastAsia="en-US" w:bidi="ar-SA"/>
        </w:rPr>
        <w:t>4.</w:t>
      </w:r>
      <w:r>
        <w:rPr>
          <w:rFonts w:hint="eastAsia" w:ascii="Times New Roman" w:hAnsi="Times New Roman" w:eastAsia="仿宋_GB2312" w:cs="仿宋_GB2312"/>
          <w:b/>
          <w:i w:val="0"/>
          <w:color w:val="000000"/>
          <w:sz w:val="32"/>
          <w:szCs w:val="32"/>
        </w:rPr>
        <w:t>项目财务管理</w:t>
      </w:r>
    </w:p>
    <w:p w14:paraId="02F75876">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i w:val="0"/>
          <w:color w:val="000000"/>
          <w:sz w:val="32"/>
          <w:szCs w:val="32"/>
        </w:rPr>
      </w:pPr>
      <w:r>
        <w:rPr>
          <w:rFonts w:hint="eastAsia" w:ascii="Times New Roman" w:hAnsi="Times New Roman" w:eastAsia="仿宋_GB2312" w:cs="仿宋_GB2312"/>
          <w:b w:val="0"/>
          <w:i w:val="0"/>
          <w:color w:val="000000"/>
          <w:sz w:val="32"/>
          <w:szCs w:val="32"/>
        </w:rPr>
        <w:t>国投公司一切资金的使用和资金的支付均由公司领导审批。即：各下属子公司、各部门因经营及办理有关业务需要使用和支付资金时，由经办人提出报告、子公司总经理或部门负责人签注意见后，由分管领导与分管财务的领导共同审核提出初审意见后，报公司领导审批。为了加强资金的管理，下列资金的使用和支付除报公司领导批准外，在办理资金使用或支付时，应向财务管理中心提供相关的合同、协议和完备必要的手续，经财务管理中心审核无误后方可使用或支付。</w:t>
      </w:r>
    </w:p>
    <w:p w14:paraId="179AE8ED">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3" w:firstLineChars="200"/>
        <w:jc w:val="left"/>
        <w:textAlignment w:val="auto"/>
        <w:outlineLvl w:val="0"/>
        <w:rPr>
          <w:rFonts w:hint="eastAsia" w:ascii="Times New Roman" w:hAnsi="Times New Roman" w:eastAsia="黑体" w:cs="黑体"/>
          <w:sz w:val="32"/>
          <w:szCs w:val="32"/>
        </w:rPr>
      </w:pPr>
      <w:r>
        <w:rPr>
          <w:rFonts w:hint="eastAsia" w:ascii="Times New Roman" w:hAnsi="Times New Roman" w:eastAsia="黑体" w:cs="黑体"/>
          <w:b/>
          <w:i w:val="0"/>
          <w:color w:val="000000"/>
          <w:sz w:val="32"/>
          <w:szCs w:val="32"/>
        </w:rPr>
        <w:t>二、绩效评价工作开展情况</w:t>
      </w:r>
    </w:p>
    <w:p w14:paraId="09BB4B60">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（一）绩效评价目的、对象和范围</w:t>
      </w:r>
    </w:p>
    <w:p w14:paraId="552F59E4">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rPr>
        <w:t>评价目的：通过绩效评价，全面了解长虫山项目支出绩效情况，总结经验教训，为后续项目管理和资金使用提供参考。</w:t>
      </w:r>
    </w:p>
    <w:p w14:paraId="7EDC99F7">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rPr>
        <w:t>评价对象：长虫山生态绿道及服务配套设施建设项目。</w:t>
      </w:r>
    </w:p>
    <w:p w14:paraId="0ABA2D76">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bCs/>
          <w:i w:val="0"/>
          <w:color w:val="000000"/>
          <w:sz w:val="32"/>
          <w:szCs w:val="32"/>
        </w:rPr>
        <w:t>评价范围：项目资</w:t>
      </w:r>
      <w:r>
        <w:rPr>
          <w:rFonts w:hint="eastAsia" w:ascii="Times New Roman" w:hAnsi="Times New Roman" w:eastAsia="仿宋_GB2312" w:cs="仿宋_GB2312"/>
          <w:b w:val="0"/>
          <w:i w:val="0"/>
          <w:color w:val="000000"/>
          <w:sz w:val="32"/>
          <w:szCs w:val="32"/>
        </w:rPr>
        <w:t>金使用情况、工程建设质量、项目进度、社会效益等方面。</w:t>
      </w:r>
    </w:p>
    <w:p w14:paraId="61B36E77">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（二）绩效评价原则、依据、评价指标体系、评价方法、评价标准、评价抽样等</w:t>
      </w:r>
    </w:p>
    <w:p w14:paraId="5AED9939">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rPr>
        <w:t>评价原则：遵循科学、公正、公平、公开的原则，确保评价结果客观真实。</w:t>
      </w:r>
    </w:p>
    <w:p w14:paraId="532A295A">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rPr>
        <w:t>评价依据：国家相关法律法规、项目可行性研究报告、项目初步设计文件、项目施工合同等。</w:t>
      </w:r>
    </w:p>
    <w:p w14:paraId="50E1BD06">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rPr>
        <w:t>评价指标体系：从项目</w:t>
      </w:r>
      <w:r>
        <w:rPr>
          <w:rFonts w:hint="eastAsia" w:ascii="Times New Roman" w:hAnsi="Times New Roman" w:eastAsia="仿宋_GB2312" w:cs="仿宋_GB2312"/>
          <w:b w:val="0"/>
          <w:bCs/>
          <w:i w:val="0"/>
          <w:color w:val="000000"/>
          <w:sz w:val="32"/>
          <w:szCs w:val="32"/>
          <w:lang w:val="en-US" w:eastAsia="zh-CN"/>
        </w:rPr>
        <w:t>产出</w:t>
      </w:r>
      <w:r>
        <w:rPr>
          <w:rFonts w:hint="eastAsia" w:ascii="Times New Roman" w:hAnsi="Times New Roman" w:eastAsia="仿宋_GB2312" w:cs="仿宋_GB2312"/>
          <w:b w:val="0"/>
          <w:bCs/>
          <w:i w:val="0"/>
          <w:color w:val="000000"/>
          <w:sz w:val="32"/>
          <w:szCs w:val="32"/>
        </w:rPr>
        <w:t>、项目</w:t>
      </w:r>
      <w:r>
        <w:rPr>
          <w:rFonts w:hint="eastAsia" w:ascii="Times New Roman" w:hAnsi="Times New Roman" w:eastAsia="仿宋_GB2312" w:cs="仿宋_GB2312"/>
          <w:b w:val="0"/>
          <w:bCs/>
          <w:i w:val="0"/>
          <w:color w:val="000000"/>
          <w:sz w:val="32"/>
          <w:szCs w:val="32"/>
          <w:lang w:val="en-US" w:eastAsia="zh-CN"/>
        </w:rPr>
        <w:t>效益</w:t>
      </w:r>
      <w:r>
        <w:rPr>
          <w:rFonts w:hint="eastAsia" w:ascii="Times New Roman" w:hAnsi="Times New Roman" w:eastAsia="仿宋_GB2312" w:cs="仿宋_GB2312"/>
          <w:b w:val="0"/>
          <w:bCs/>
          <w:i w:val="0"/>
          <w:color w:val="000000"/>
          <w:sz w:val="32"/>
          <w:szCs w:val="32"/>
        </w:rPr>
        <w:t>、项目</w:t>
      </w:r>
      <w:r>
        <w:rPr>
          <w:rFonts w:hint="eastAsia" w:ascii="Times New Roman" w:hAnsi="Times New Roman" w:eastAsia="仿宋_GB2312" w:cs="仿宋_GB2312"/>
          <w:b w:val="0"/>
          <w:bCs/>
          <w:i w:val="0"/>
          <w:color w:val="000000"/>
          <w:sz w:val="32"/>
          <w:szCs w:val="32"/>
          <w:lang w:val="en-US" w:eastAsia="zh-CN"/>
        </w:rPr>
        <w:t>可持续性</w:t>
      </w:r>
      <w:r>
        <w:rPr>
          <w:rFonts w:hint="eastAsia" w:ascii="Times New Roman" w:hAnsi="Times New Roman" w:eastAsia="仿宋_GB2312" w:cs="仿宋_GB2312"/>
          <w:b w:val="0"/>
          <w:bCs/>
          <w:i w:val="0"/>
          <w:color w:val="000000"/>
          <w:sz w:val="32"/>
          <w:szCs w:val="32"/>
        </w:rPr>
        <w:t>、</w:t>
      </w:r>
      <w:r>
        <w:rPr>
          <w:rFonts w:hint="eastAsia" w:ascii="Times New Roman" w:hAnsi="Times New Roman" w:eastAsia="仿宋_GB2312" w:cs="仿宋_GB2312"/>
          <w:b w:val="0"/>
          <w:bCs/>
          <w:i w:val="0"/>
          <w:color w:val="000000"/>
          <w:sz w:val="32"/>
          <w:szCs w:val="32"/>
          <w:lang w:val="en-US" w:eastAsia="zh-CN"/>
        </w:rPr>
        <w:t>问卷调查</w:t>
      </w:r>
      <w:r>
        <w:rPr>
          <w:rFonts w:hint="eastAsia" w:ascii="Times New Roman" w:hAnsi="Times New Roman" w:eastAsia="仿宋_GB2312" w:cs="仿宋_GB2312"/>
          <w:b w:val="0"/>
          <w:bCs/>
          <w:i w:val="0"/>
          <w:color w:val="000000"/>
          <w:sz w:val="32"/>
          <w:szCs w:val="32"/>
        </w:rPr>
        <w:t>四个方面构建评价指标体系，具体包括资金使用合规性、工程建设质量、项目进度控制、社会效益等指标。</w:t>
      </w:r>
    </w:p>
    <w:p w14:paraId="06D58176">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rPr>
        <w:t>评价方法：采用资料审查、现场勘查、问卷调查等方法进行评价。</w:t>
      </w:r>
    </w:p>
    <w:p w14:paraId="18FEA657">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rPr>
        <w:t>评价标准：依据国家相关标准和行业规范，结合项目实际情况制定评价标准。</w:t>
      </w:r>
    </w:p>
    <w:p w14:paraId="236704F5">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bCs/>
          <w:i w:val="0"/>
          <w:color w:val="000000"/>
          <w:sz w:val="32"/>
          <w:szCs w:val="32"/>
        </w:rPr>
        <w:t>评价抽样：</w:t>
      </w:r>
      <w:r>
        <w:rPr>
          <w:rFonts w:hint="eastAsia" w:ascii="Times New Roman" w:hAnsi="Times New Roman" w:eastAsia="仿宋_GB2312" w:cs="仿宋_GB2312"/>
          <w:b w:val="0"/>
          <w:i w:val="0"/>
          <w:color w:val="000000"/>
          <w:sz w:val="32"/>
          <w:szCs w:val="32"/>
        </w:rPr>
        <w:t>对项目资金使用、工程建设质量等方面进行抽样检查，确保评价结果的代表性。</w:t>
      </w:r>
    </w:p>
    <w:p w14:paraId="12A25F49">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（三）绩效评价工作过程</w:t>
      </w:r>
    </w:p>
    <w:p w14:paraId="7880EE06">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1.</w:t>
      </w:r>
      <w:r>
        <w:rPr>
          <w:rFonts w:hint="eastAsia" w:ascii="Times New Roman" w:hAnsi="Times New Roman" w:eastAsia="仿宋_GB2312" w:cs="仿宋_GB2312"/>
          <w:b w:val="0"/>
          <w:bCs/>
          <w:i w:val="0"/>
          <w:color w:val="000000"/>
          <w:sz w:val="32"/>
          <w:szCs w:val="32"/>
        </w:rPr>
        <w:t>准备阶段：成立评价工作小组，制定评价工作方案，明确评价目标、范围、方法和步骤。</w:t>
      </w:r>
    </w:p>
    <w:p w14:paraId="4F44E5A2">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实施阶段：收集项目相关资料，进行现场勘查和问卷调查，组织专家评审，对项目绩效进行全面评价。</w:t>
      </w:r>
    </w:p>
    <w:p w14:paraId="7DD17B6A">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分析阶段：对评价数据进行整理和分析，形成评价结论。</w:t>
      </w:r>
    </w:p>
    <w:p w14:paraId="4DBEC6E3">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报告阶段：</w:t>
      </w:r>
      <w:r>
        <w:rPr>
          <w:rFonts w:hint="eastAsia" w:ascii="Times New Roman" w:hAnsi="Times New Roman" w:eastAsia="仿宋_GB2312" w:cs="仿宋_GB2312"/>
          <w:b w:val="0"/>
          <w:i w:val="0"/>
          <w:color w:val="000000"/>
          <w:sz w:val="32"/>
          <w:szCs w:val="32"/>
        </w:rPr>
        <w:t>撰写绩效评价报告，提出改进建议。</w:t>
      </w:r>
    </w:p>
    <w:p w14:paraId="588E5BB6">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3" w:firstLineChars="200"/>
        <w:jc w:val="left"/>
        <w:textAlignment w:val="auto"/>
        <w:outlineLvl w:val="0"/>
        <w:rPr>
          <w:rFonts w:hint="eastAsia" w:ascii="Times New Roman" w:hAnsi="Times New Roman" w:eastAsia="黑体" w:cs="黑体"/>
          <w:b/>
          <w:i w:val="0"/>
          <w:color w:val="000000"/>
          <w:sz w:val="32"/>
          <w:szCs w:val="32"/>
        </w:rPr>
      </w:pPr>
      <w:r>
        <w:rPr>
          <w:rFonts w:hint="eastAsia" w:ascii="Times New Roman" w:hAnsi="Times New Roman" w:eastAsia="黑体" w:cs="黑体"/>
          <w:b/>
          <w:i w:val="0"/>
          <w:color w:val="000000"/>
          <w:sz w:val="32"/>
          <w:szCs w:val="32"/>
        </w:rPr>
        <w:t>三、综合评价情况及评价结论</w:t>
      </w:r>
    </w:p>
    <w:p w14:paraId="1A6F90E9">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（一）绩效评价综合结论</w:t>
      </w:r>
    </w:p>
    <w:p w14:paraId="582D45C0">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i w:val="0"/>
          <w:color w:val="000000"/>
          <w:sz w:val="32"/>
          <w:szCs w:val="32"/>
        </w:rPr>
        <w:t>长虫山项目支出绩效评价综合得分为</w:t>
      </w:r>
      <w:r>
        <w:rPr>
          <w:rFonts w:hint="eastAsia" w:ascii="Times New Roman" w:hAnsi="Times New Roman" w:eastAsia="仿宋_GB2312" w:cs="仿宋_GB2312"/>
          <w:b w:val="0"/>
          <w:i w:val="0"/>
          <w:color w:val="000000"/>
          <w:sz w:val="32"/>
          <w:szCs w:val="32"/>
          <w:lang w:val="en-US" w:eastAsia="zh-CN"/>
        </w:rPr>
        <w:t>85</w:t>
      </w:r>
      <w:r>
        <w:rPr>
          <w:rFonts w:hint="eastAsia" w:ascii="Times New Roman" w:hAnsi="Times New Roman" w:eastAsia="仿宋_GB2312" w:cs="仿宋_GB2312"/>
          <w:b w:val="0"/>
          <w:i w:val="0"/>
          <w:color w:val="000000"/>
          <w:sz w:val="32"/>
          <w:szCs w:val="32"/>
        </w:rPr>
        <w:t>分（满分100分），评价等级为“</w:t>
      </w:r>
      <w:r>
        <w:rPr>
          <w:rFonts w:hint="eastAsia" w:ascii="Times New Roman" w:hAnsi="Times New Roman" w:eastAsia="仿宋_GB2312" w:cs="仿宋_GB2312"/>
          <w:b w:val="0"/>
          <w:i w:val="0"/>
          <w:color w:val="000000"/>
          <w:sz w:val="32"/>
          <w:szCs w:val="32"/>
          <w:lang w:val="en-US" w:eastAsia="zh-CN"/>
        </w:rPr>
        <w:t>良好</w:t>
      </w:r>
      <w:r>
        <w:rPr>
          <w:rFonts w:hint="eastAsia" w:ascii="Times New Roman" w:hAnsi="Times New Roman" w:eastAsia="仿宋_GB2312" w:cs="仿宋_GB2312"/>
          <w:b w:val="0"/>
          <w:i w:val="0"/>
          <w:color w:val="000000"/>
          <w:sz w:val="32"/>
          <w:szCs w:val="32"/>
        </w:rPr>
        <w:t>”。项目在资金使用合规性、工程建设质量、项目进度控制等方面表现良好，社会效益显著。</w:t>
      </w:r>
      <w:bookmarkStart w:id="0" w:name="_GoBack"/>
      <w:bookmarkEnd w:id="0"/>
    </w:p>
    <w:p w14:paraId="44E31907">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（二）绩效目标实现情况等</w:t>
      </w:r>
    </w:p>
    <w:p w14:paraId="09F335F9">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1.</w:t>
      </w:r>
      <w:r>
        <w:rPr>
          <w:rFonts w:hint="eastAsia" w:ascii="Times New Roman" w:hAnsi="Times New Roman" w:eastAsia="仿宋_GB2312" w:cs="仿宋_GB2312"/>
          <w:b w:val="0"/>
          <w:bCs/>
          <w:i w:val="0"/>
          <w:color w:val="000000"/>
          <w:sz w:val="32"/>
          <w:szCs w:val="32"/>
        </w:rPr>
        <w:t>资金使用合规性：项目资金使用严格按照预算执行，未发现违规使用资金的情况。</w:t>
      </w:r>
    </w:p>
    <w:p w14:paraId="7A9412E7">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工程建设质量：工程建设质量符合设计要求和相关标准，未发生重大质量事故。</w:t>
      </w:r>
    </w:p>
    <w:p w14:paraId="4C511CAE">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项目进度控制：项目进度基本符合计划要求，各阶段工作有序推进。</w:t>
      </w:r>
    </w:p>
    <w:p w14:paraId="210C08BC">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社会效益：项目建</w:t>
      </w:r>
      <w:r>
        <w:rPr>
          <w:rFonts w:hint="eastAsia" w:ascii="Times New Roman" w:hAnsi="Times New Roman" w:eastAsia="仿宋_GB2312" w:cs="仿宋_GB2312"/>
          <w:b w:val="0"/>
          <w:i w:val="0"/>
          <w:color w:val="000000"/>
          <w:sz w:val="32"/>
          <w:szCs w:val="32"/>
        </w:rPr>
        <w:t>成后，将有效提升长虫山生态环境质量，促进全域旅游发展，为市民提供优质的休闲运动空间，社会效益显著。</w:t>
      </w:r>
    </w:p>
    <w:p w14:paraId="7F309ADB">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3" w:firstLineChars="200"/>
        <w:jc w:val="left"/>
        <w:textAlignment w:val="auto"/>
        <w:outlineLvl w:val="0"/>
        <w:rPr>
          <w:rFonts w:hint="eastAsia" w:ascii="Times New Roman" w:hAnsi="Times New Roman" w:eastAsia="黑体" w:cs="黑体"/>
          <w:b/>
          <w:i w:val="0"/>
          <w:color w:val="000000"/>
          <w:sz w:val="32"/>
          <w:szCs w:val="32"/>
        </w:rPr>
      </w:pPr>
      <w:r>
        <w:rPr>
          <w:rFonts w:hint="eastAsia" w:ascii="Times New Roman" w:hAnsi="Times New Roman" w:eastAsia="黑体" w:cs="黑体"/>
          <w:b/>
          <w:i w:val="0"/>
          <w:color w:val="000000"/>
          <w:sz w:val="32"/>
          <w:szCs w:val="32"/>
        </w:rPr>
        <w:t>四、绩效评价指标分析</w:t>
      </w:r>
    </w:p>
    <w:p w14:paraId="76D60F2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根据《国投公司国有资本金注入专项资金-长虫山自评》表格内容，</w:t>
      </w:r>
      <w:r>
        <w:rPr>
          <w:rFonts w:hint="eastAsia" w:ascii="Times New Roman" w:hAnsi="Times New Roman" w:eastAsia="仿宋_GB2312" w:cs="仿宋_GB2312"/>
          <w:b w:val="0"/>
          <w:bCs/>
          <w:i w:val="0"/>
          <w:color w:val="000000"/>
          <w:sz w:val="32"/>
          <w:szCs w:val="32"/>
          <w:lang w:val="en-US" w:eastAsia="zh-CN"/>
        </w:rPr>
        <w:t>长虫山项目自评总分85分</w:t>
      </w: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rPr>
        <w:t>以下是对各绩效评价指标的详细分析：</w:t>
      </w:r>
    </w:p>
    <w:p w14:paraId="065D520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val="en-US" w:eastAsia="zh-CN"/>
        </w:rPr>
        <w:t>决策</w:t>
      </w:r>
      <w:r>
        <w:rPr>
          <w:rFonts w:hint="eastAsia" w:ascii="Times New Roman" w:hAnsi="Times New Roman" w:eastAsia="仿宋_GB2312" w:cs="仿宋_GB2312"/>
          <w:b w:val="0"/>
          <w:bCs/>
          <w:i w:val="0"/>
          <w:color w:val="000000"/>
          <w:sz w:val="32"/>
          <w:szCs w:val="32"/>
        </w:rPr>
        <w:t>指标（总分</w:t>
      </w:r>
      <w:r>
        <w:rPr>
          <w:rFonts w:hint="eastAsia" w:ascii="Times New Roman" w:hAnsi="Times New Roman" w:eastAsia="仿宋_GB2312" w:cs="仿宋_GB2312"/>
          <w:b w:val="0"/>
          <w:bCs/>
          <w:i w:val="0"/>
          <w:color w:val="000000"/>
          <w:sz w:val="32"/>
          <w:szCs w:val="32"/>
          <w:lang w:val="en-US" w:eastAsia="zh-CN"/>
        </w:rPr>
        <w:t>20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19.5</w:t>
      </w:r>
      <w:r>
        <w:rPr>
          <w:rFonts w:hint="eastAsia" w:ascii="Times New Roman" w:hAnsi="Times New Roman" w:eastAsia="仿宋_GB2312" w:cs="仿宋_GB2312"/>
          <w:b w:val="0"/>
          <w:bCs/>
          <w:i w:val="0"/>
          <w:color w:val="000000"/>
          <w:sz w:val="32"/>
          <w:szCs w:val="32"/>
        </w:rPr>
        <w:t>分）</w:t>
      </w:r>
    </w:p>
    <w:p w14:paraId="3EEC5F9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val="en-US" w:eastAsia="zh-CN"/>
        </w:rPr>
        <w:t>过程</w:t>
      </w:r>
      <w:r>
        <w:rPr>
          <w:rFonts w:hint="eastAsia" w:ascii="Times New Roman" w:hAnsi="Times New Roman" w:eastAsia="仿宋_GB2312" w:cs="仿宋_GB2312"/>
          <w:b w:val="0"/>
          <w:bCs/>
          <w:i w:val="0"/>
          <w:color w:val="000000"/>
          <w:sz w:val="32"/>
          <w:szCs w:val="32"/>
        </w:rPr>
        <w:t>指标（总分</w:t>
      </w:r>
      <w:r>
        <w:rPr>
          <w:rFonts w:hint="eastAsia" w:ascii="Times New Roman" w:hAnsi="Times New Roman" w:eastAsia="仿宋_GB2312" w:cs="仿宋_GB2312"/>
          <w:b w:val="0"/>
          <w:bCs/>
          <w:i w:val="0"/>
          <w:color w:val="000000"/>
          <w:sz w:val="32"/>
          <w:szCs w:val="32"/>
          <w:lang w:val="en-US" w:eastAsia="zh-CN"/>
        </w:rPr>
        <w:t>20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分）</w:t>
      </w:r>
    </w:p>
    <w:p w14:paraId="75BB7442">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val="en-US" w:eastAsia="zh-CN"/>
        </w:rPr>
        <w:t>产出</w:t>
      </w:r>
      <w:r>
        <w:rPr>
          <w:rFonts w:hint="eastAsia" w:ascii="Times New Roman" w:hAnsi="Times New Roman" w:eastAsia="仿宋_GB2312" w:cs="仿宋_GB2312"/>
          <w:b w:val="0"/>
          <w:bCs/>
          <w:i w:val="0"/>
          <w:color w:val="000000"/>
          <w:sz w:val="32"/>
          <w:szCs w:val="32"/>
        </w:rPr>
        <w:t>指标（总分</w:t>
      </w:r>
      <w:r>
        <w:rPr>
          <w:rFonts w:hint="eastAsia" w:ascii="Times New Roman" w:hAnsi="Times New Roman" w:eastAsia="仿宋_GB2312" w:cs="仿宋_GB2312"/>
          <w:b w:val="0"/>
          <w:bCs/>
          <w:i w:val="0"/>
          <w:color w:val="000000"/>
          <w:sz w:val="32"/>
          <w:szCs w:val="32"/>
          <w:lang w:val="en-US" w:eastAsia="zh-CN"/>
        </w:rPr>
        <w:t>30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28</w:t>
      </w:r>
      <w:r>
        <w:rPr>
          <w:rFonts w:hint="eastAsia" w:ascii="Times New Roman" w:hAnsi="Times New Roman" w:eastAsia="仿宋_GB2312" w:cs="仿宋_GB2312"/>
          <w:b w:val="0"/>
          <w:bCs/>
          <w:i w:val="0"/>
          <w:color w:val="000000"/>
          <w:sz w:val="32"/>
          <w:szCs w:val="32"/>
        </w:rPr>
        <w:t>分）</w:t>
      </w:r>
    </w:p>
    <w:p w14:paraId="5B068CD7">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1"/>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val="en-US" w:eastAsia="zh-CN"/>
        </w:rPr>
        <w:t>效益</w:t>
      </w:r>
      <w:r>
        <w:rPr>
          <w:rFonts w:hint="eastAsia" w:ascii="Times New Roman" w:hAnsi="Times New Roman" w:eastAsia="仿宋_GB2312" w:cs="仿宋_GB2312"/>
          <w:b w:val="0"/>
          <w:bCs/>
          <w:i w:val="0"/>
          <w:color w:val="000000"/>
          <w:sz w:val="32"/>
          <w:szCs w:val="32"/>
        </w:rPr>
        <w:t>指标（总分</w:t>
      </w:r>
      <w:r>
        <w:rPr>
          <w:rFonts w:hint="eastAsia" w:ascii="Times New Roman" w:hAnsi="Times New Roman" w:eastAsia="仿宋_GB2312" w:cs="仿宋_GB2312"/>
          <w:b w:val="0"/>
          <w:bCs/>
          <w:i w:val="0"/>
          <w:color w:val="000000"/>
          <w:sz w:val="32"/>
          <w:szCs w:val="32"/>
          <w:lang w:val="en-US" w:eastAsia="zh-CN"/>
        </w:rPr>
        <w:t>30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27.5</w:t>
      </w:r>
      <w:r>
        <w:rPr>
          <w:rFonts w:hint="eastAsia" w:ascii="Times New Roman" w:hAnsi="Times New Roman" w:eastAsia="仿宋_GB2312" w:cs="仿宋_GB2312"/>
          <w:b w:val="0"/>
          <w:bCs/>
          <w:i w:val="0"/>
          <w:color w:val="000000"/>
          <w:sz w:val="32"/>
          <w:szCs w:val="32"/>
        </w:rPr>
        <w:t>分）</w:t>
      </w:r>
    </w:p>
    <w:p w14:paraId="310B9D44">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lang w:eastAsia="zh-CN"/>
        </w:rPr>
        <w:t>（</w:t>
      </w:r>
      <w:r>
        <w:rPr>
          <w:rFonts w:hint="eastAsia" w:ascii="Times New Roman" w:hAnsi="Times New Roman" w:eastAsia="楷体_GB2312" w:cs="楷体_GB2312"/>
          <w:b/>
          <w:i w:val="0"/>
          <w:color w:val="000000"/>
          <w:sz w:val="32"/>
          <w:szCs w:val="32"/>
          <w:lang w:val="en-US" w:eastAsia="zh-CN"/>
        </w:rPr>
        <w:t>一</w:t>
      </w:r>
      <w:r>
        <w:rPr>
          <w:rFonts w:hint="eastAsia" w:ascii="Times New Roman" w:hAnsi="Times New Roman" w:eastAsia="楷体_GB2312" w:cs="楷体_GB2312"/>
          <w:b/>
          <w:i w:val="0"/>
          <w:color w:val="000000"/>
          <w:sz w:val="32"/>
          <w:szCs w:val="32"/>
          <w:lang w:eastAsia="zh-CN"/>
        </w:rPr>
        <w:t>）</w:t>
      </w:r>
      <w:r>
        <w:rPr>
          <w:rFonts w:hint="eastAsia" w:ascii="Times New Roman" w:hAnsi="Times New Roman" w:eastAsia="楷体_GB2312" w:cs="楷体_GB2312"/>
          <w:b/>
          <w:i w:val="0"/>
          <w:color w:val="000000"/>
          <w:sz w:val="32"/>
          <w:szCs w:val="32"/>
        </w:rPr>
        <w:t>决策情况分析</w:t>
      </w:r>
    </w:p>
    <w:p w14:paraId="30D7A8DC">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决策情况包括项目立项、绩效目标和资金投入三个方面。决策指标分值</w:t>
      </w:r>
      <w:r>
        <w:rPr>
          <w:rFonts w:hint="eastAsia" w:ascii="Times New Roman" w:hAnsi="Times New Roman" w:eastAsia="仿宋_GB2312" w:cs="仿宋_GB2312"/>
          <w:b w:val="0"/>
          <w:bCs/>
          <w:i w:val="0"/>
          <w:color w:val="000000"/>
          <w:sz w:val="32"/>
          <w:szCs w:val="32"/>
          <w:lang w:val="en-US" w:eastAsia="zh-CN"/>
        </w:rPr>
        <w:t>20</w:t>
      </w:r>
      <w:r>
        <w:rPr>
          <w:rFonts w:hint="eastAsia" w:ascii="Times New Roman" w:hAnsi="Times New Roman" w:eastAsia="仿宋_GB2312" w:cs="仿宋_GB2312"/>
          <w:b w:val="0"/>
          <w:bCs/>
          <w:i w:val="0"/>
          <w:color w:val="000000"/>
          <w:sz w:val="32"/>
          <w:szCs w:val="32"/>
        </w:rPr>
        <w:t>分，评价得分</w:t>
      </w:r>
      <w:r>
        <w:rPr>
          <w:rFonts w:hint="eastAsia" w:ascii="Times New Roman" w:hAnsi="Times New Roman" w:eastAsia="仿宋_GB2312" w:cs="仿宋_GB2312"/>
          <w:b w:val="0"/>
          <w:bCs/>
          <w:i w:val="0"/>
          <w:color w:val="000000"/>
          <w:sz w:val="32"/>
          <w:szCs w:val="32"/>
          <w:lang w:val="en-US" w:eastAsia="zh-CN"/>
        </w:rPr>
        <w:t>19.5</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97.5</w:t>
      </w:r>
      <w:r>
        <w:rPr>
          <w:rFonts w:hint="eastAsia" w:ascii="Times New Roman" w:hAnsi="Times New Roman" w:eastAsia="仿宋_GB2312" w:cs="仿宋_GB2312"/>
          <w:b w:val="0"/>
          <w:bCs/>
          <w:i w:val="0"/>
          <w:color w:val="000000"/>
          <w:sz w:val="32"/>
          <w:szCs w:val="32"/>
        </w:rPr>
        <w:t>%，具体情况分析如下：</w:t>
      </w:r>
    </w:p>
    <w:p w14:paraId="17250DB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1.项目立项</w:t>
      </w:r>
    </w:p>
    <w:p w14:paraId="6BD4843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项目立项下设立项依据充分性、立项程序规范性2个三级指标，指标权重</w:t>
      </w:r>
      <w:r>
        <w:rPr>
          <w:rFonts w:hint="eastAsia" w:ascii="Times New Roman" w:hAnsi="Times New Roman" w:eastAsia="仿宋_GB2312" w:cs="仿宋_GB2312"/>
          <w:b w:val="0"/>
          <w:bCs/>
          <w:i w:val="0"/>
          <w:color w:val="000000"/>
          <w:sz w:val="32"/>
          <w:szCs w:val="32"/>
          <w:lang w:val="en-US" w:eastAsia="zh-CN"/>
        </w:rPr>
        <w:t>8</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8</w:t>
      </w:r>
      <w:r>
        <w:rPr>
          <w:rFonts w:hint="eastAsia" w:ascii="Times New Roman" w:hAnsi="Times New Roman" w:eastAsia="仿宋_GB2312" w:cs="仿宋_GB2312"/>
          <w:b w:val="0"/>
          <w:bCs/>
          <w:i w:val="0"/>
          <w:color w:val="000000"/>
          <w:sz w:val="32"/>
          <w:szCs w:val="32"/>
        </w:rPr>
        <w:t>分，得分率100%。</w:t>
      </w:r>
    </w:p>
    <w:p w14:paraId="2C2C7D8D">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（1）立项依据充分性：指标分值</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分，得分率100%。项目按照规定的程序申请设立，立项依据充分，符合国家法律法规和相关政策的要求，与部门职责密切相关，属于部门履职所需。</w:t>
      </w:r>
    </w:p>
    <w:p w14:paraId="27389226">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（2）立项程序规范性：指标分值</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分，得分率100%。事前经过区发改局立项批复和部门内部决策，审批文件、材料符合相关要求。</w:t>
      </w:r>
    </w:p>
    <w:p w14:paraId="62E5392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2.绩效目标</w:t>
      </w:r>
    </w:p>
    <w:p w14:paraId="251F86F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绩效目标指标，下设绩效目标合理性、绩效指标明确性2个三级指标，指标权重</w:t>
      </w:r>
      <w:r>
        <w:rPr>
          <w:rFonts w:hint="eastAsia" w:ascii="Times New Roman" w:hAnsi="Times New Roman" w:eastAsia="仿宋_GB2312" w:cs="仿宋_GB2312"/>
          <w:b w:val="0"/>
          <w:bCs/>
          <w:i w:val="0"/>
          <w:color w:val="000000"/>
          <w:sz w:val="32"/>
          <w:szCs w:val="32"/>
          <w:lang w:val="en-US" w:eastAsia="zh-CN"/>
        </w:rPr>
        <w:t>6</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5.5</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91.67</w:t>
      </w:r>
      <w:r>
        <w:rPr>
          <w:rFonts w:hint="eastAsia" w:ascii="Times New Roman" w:hAnsi="Times New Roman" w:eastAsia="仿宋_GB2312" w:cs="仿宋_GB2312"/>
          <w:b w:val="0"/>
          <w:bCs/>
          <w:i w:val="0"/>
          <w:color w:val="000000"/>
          <w:sz w:val="32"/>
          <w:szCs w:val="32"/>
        </w:rPr>
        <w:t>%。</w:t>
      </w:r>
    </w:p>
    <w:p w14:paraId="76CA62ED">
      <w:pPr>
        <w:keepNext w:val="0"/>
        <w:keepLines w:val="0"/>
        <w:pageBreakBefore w:val="0"/>
        <w:widowControl/>
        <w:numPr>
          <w:ilvl w:val="0"/>
          <w:numId w:val="1"/>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eastAsia="zh-CN"/>
        </w:rPr>
      </w:pPr>
      <w:r>
        <w:rPr>
          <w:rFonts w:hint="eastAsia" w:ascii="Times New Roman" w:hAnsi="Times New Roman" w:eastAsia="仿宋_GB2312" w:cs="仿宋_GB2312"/>
          <w:b w:val="0"/>
          <w:bCs/>
          <w:i w:val="0"/>
          <w:color w:val="000000"/>
          <w:sz w:val="32"/>
          <w:szCs w:val="32"/>
        </w:rPr>
        <w:t>绩效目标合理性：指标分值</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2.5</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83.33</w:t>
      </w:r>
      <w:r>
        <w:rPr>
          <w:rFonts w:hint="eastAsia" w:ascii="Times New Roman" w:hAnsi="Times New Roman" w:eastAsia="仿宋_GB2312" w:cs="仿宋_GB2312"/>
          <w:b w:val="0"/>
          <w:bCs/>
          <w:i w:val="0"/>
          <w:color w:val="000000"/>
          <w:sz w:val="32"/>
          <w:szCs w:val="32"/>
        </w:rPr>
        <w:t>%。扣分原因及说明：</w:t>
      </w:r>
      <w:r>
        <w:rPr>
          <w:rFonts w:hint="eastAsia" w:ascii="Times New Roman" w:hAnsi="Times New Roman" w:eastAsia="仿宋_GB2312" w:cs="仿宋_GB2312"/>
          <w:b w:val="0"/>
          <w:bCs/>
          <w:i w:val="0"/>
          <w:color w:val="000000"/>
          <w:sz w:val="32"/>
          <w:szCs w:val="32"/>
          <w:lang w:val="en-US" w:eastAsia="zh-CN"/>
        </w:rPr>
        <w:t>长虫山项目</w:t>
      </w:r>
      <w:r>
        <w:rPr>
          <w:rFonts w:hint="eastAsia" w:ascii="Times New Roman" w:hAnsi="Times New Roman" w:eastAsia="仿宋_GB2312" w:cs="仿宋_GB2312"/>
          <w:b w:val="0"/>
          <w:bCs/>
          <w:i w:val="0"/>
          <w:color w:val="000000"/>
          <w:sz w:val="32"/>
          <w:szCs w:val="32"/>
        </w:rPr>
        <w:t>预期2024年完工，因为开工日期滞后，无法达到预期产出效益和效果</w:t>
      </w:r>
      <w:r>
        <w:rPr>
          <w:rFonts w:hint="eastAsia" w:ascii="Times New Roman" w:hAnsi="Times New Roman" w:eastAsia="仿宋_GB2312" w:cs="仿宋_GB2312"/>
          <w:b w:val="0"/>
          <w:bCs/>
          <w:i w:val="0"/>
          <w:color w:val="000000"/>
          <w:sz w:val="32"/>
          <w:szCs w:val="32"/>
          <w:lang w:eastAsia="zh-CN"/>
        </w:rPr>
        <w:t>。</w:t>
      </w:r>
    </w:p>
    <w:p w14:paraId="184841F4">
      <w:pPr>
        <w:keepNext w:val="0"/>
        <w:keepLines w:val="0"/>
        <w:pageBreakBefore w:val="0"/>
        <w:widowControl/>
        <w:numPr>
          <w:ilvl w:val="0"/>
          <w:numId w:val="1"/>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eastAsia="zh-CN"/>
        </w:rPr>
      </w:pPr>
      <w:r>
        <w:rPr>
          <w:rFonts w:hint="eastAsia" w:ascii="Times New Roman" w:hAnsi="Times New Roman" w:eastAsia="仿宋_GB2312" w:cs="仿宋_GB2312"/>
          <w:b w:val="0"/>
          <w:bCs/>
          <w:i w:val="0"/>
          <w:color w:val="000000"/>
          <w:sz w:val="32"/>
          <w:szCs w:val="32"/>
        </w:rPr>
        <w:t>绩效指标明确性：指标分值3分，实际得分</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0%。</w:t>
      </w:r>
      <w:r>
        <w:rPr>
          <w:rFonts w:hint="eastAsia" w:ascii="Times New Roman" w:hAnsi="Times New Roman" w:eastAsia="仿宋_GB2312" w:cs="仿宋_GB2312"/>
          <w:b w:val="0"/>
          <w:bCs/>
          <w:i w:val="0"/>
          <w:color w:val="000000"/>
          <w:sz w:val="32"/>
          <w:szCs w:val="32"/>
          <w:lang w:val="en-US" w:eastAsia="zh-CN"/>
        </w:rPr>
        <w:t>绩效指标设置</w:t>
      </w:r>
      <w:r>
        <w:rPr>
          <w:rFonts w:hint="eastAsia" w:ascii="Times New Roman" w:hAnsi="Times New Roman" w:eastAsia="仿宋_GB2312" w:cs="仿宋_GB2312"/>
          <w:b w:val="0"/>
          <w:bCs/>
          <w:i w:val="0"/>
          <w:color w:val="000000"/>
          <w:sz w:val="32"/>
          <w:szCs w:val="32"/>
        </w:rPr>
        <w:t>清晰、可衡量</w:t>
      </w: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rPr>
        <w:t>指标值</w:t>
      </w:r>
      <w:r>
        <w:rPr>
          <w:rFonts w:hint="eastAsia" w:ascii="Times New Roman" w:hAnsi="Times New Roman" w:eastAsia="仿宋_GB2312" w:cs="仿宋_GB2312"/>
          <w:b w:val="0"/>
          <w:bCs/>
          <w:i w:val="0"/>
          <w:color w:val="000000"/>
          <w:sz w:val="32"/>
          <w:szCs w:val="32"/>
          <w:lang w:val="en-US" w:eastAsia="zh-CN"/>
        </w:rPr>
        <w:t>可</w:t>
      </w:r>
      <w:r>
        <w:rPr>
          <w:rFonts w:hint="eastAsia" w:ascii="Times New Roman" w:hAnsi="Times New Roman" w:eastAsia="仿宋_GB2312" w:cs="仿宋_GB2312"/>
          <w:b w:val="0"/>
          <w:bCs/>
          <w:i w:val="0"/>
          <w:color w:val="000000"/>
          <w:sz w:val="32"/>
          <w:szCs w:val="32"/>
        </w:rPr>
        <w:t>以体现</w:t>
      </w:r>
      <w:r>
        <w:rPr>
          <w:rFonts w:hint="eastAsia" w:ascii="Times New Roman" w:hAnsi="Times New Roman" w:eastAsia="仿宋_GB2312" w:cs="仿宋_GB2312"/>
          <w:b w:val="0"/>
          <w:bCs/>
          <w:i w:val="0"/>
          <w:color w:val="000000"/>
          <w:sz w:val="32"/>
          <w:szCs w:val="32"/>
          <w:lang w:eastAsia="zh-CN"/>
        </w:rPr>
        <w:t>。</w:t>
      </w:r>
    </w:p>
    <w:p w14:paraId="26EEC98C">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3.资金投入</w:t>
      </w:r>
    </w:p>
    <w:p w14:paraId="3210CC74">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资金投入指标，下设预算编制科学性、资金分配合理性</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个指标，指标权重</w:t>
      </w:r>
      <w:r>
        <w:rPr>
          <w:rFonts w:hint="eastAsia" w:ascii="Times New Roman" w:hAnsi="Times New Roman" w:eastAsia="仿宋_GB2312" w:cs="仿宋_GB2312"/>
          <w:b w:val="0"/>
          <w:bCs/>
          <w:i w:val="0"/>
          <w:color w:val="000000"/>
          <w:sz w:val="32"/>
          <w:szCs w:val="32"/>
          <w:lang w:val="en-US" w:eastAsia="zh-CN"/>
        </w:rPr>
        <w:t>6</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6</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w:t>
      </w:r>
    </w:p>
    <w:p w14:paraId="7C34F827">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（1）预算编制科学性：指标分值</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分，得分率100%。项目预算根据五发改投资〔2023】20号</w:t>
      </w: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rPr>
        <w:t>关于对五华区长虫山生态环境导向开发项目--长虫山生态绿道及服务配套设施建设项目的批复</w:t>
      </w: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rPr>
        <w:t>进行编制，已经过科学论证，预算额度测算依据和预算资金分配依据充分，预算内容与项目内容相匹配。</w:t>
      </w:r>
    </w:p>
    <w:p w14:paraId="39C295CC">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（2）资金分配合理性：指标分值</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%。资金分配额度合理，项目单位实际实施与预算资金批复内容一致。</w:t>
      </w:r>
    </w:p>
    <w:p w14:paraId="24D94883">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（二）过程情况分析</w:t>
      </w:r>
    </w:p>
    <w:p w14:paraId="043EAB4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过程情况包括资金管理和组织实施两方面。该项满分为</w:t>
      </w:r>
      <w:r>
        <w:rPr>
          <w:rFonts w:hint="eastAsia" w:ascii="Times New Roman" w:hAnsi="Times New Roman" w:eastAsia="仿宋_GB2312" w:cs="仿宋_GB2312"/>
          <w:b w:val="0"/>
          <w:bCs/>
          <w:i w:val="0"/>
          <w:color w:val="000000"/>
          <w:sz w:val="32"/>
          <w:szCs w:val="32"/>
          <w:lang w:val="en-US" w:eastAsia="zh-CN"/>
        </w:rPr>
        <w:t>20</w:t>
      </w:r>
      <w:r>
        <w:rPr>
          <w:rFonts w:hint="eastAsia" w:ascii="Times New Roman" w:hAnsi="Times New Roman" w:eastAsia="仿宋_GB2312" w:cs="仿宋_GB2312"/>
          <w:b w:val="0"/>
          <w:bCs/>
          <w:i w:val="0"/>
          <w:color w:val="000000"/>
          <w:sz w:val="32"/>
          <w:szCs w:val="32"/>
        </w:rPr>
        <w:t>分，重点绩效评价得分</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50</w:t>
      </w:r>
      <w:r>
        <w:rPr>
          <w:rFonts w:hint="eastAsia" w:ascii="Times New Roman" w:hAnsi="Times New Roman" w:eastAsia="仿宋_GB2312" w:cs="仿宋_GB2312"/>
          <w:b w:val="0"/>
          <w:bCs/>
          <w:i w:val="0"/>
          <w:color w:val="000000"/>
          <w:sz w:val="32"/>
          <w:szCs w:val="32"/>
        </w:rPr>
        <w:t>%，具体情况分析如下：</w:t>
      </w:r>
    </w:p>
    <w:p w14:paraId="25270922">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1.资金管理</w:t>
      </w:r>
    </w:p>
    <w:p w14:paraId="296B45EF">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资金管理下设预算执行率、资金到位率2个三级指标，指标权重</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0%。</w:t>
      </w:r>
    </w:p>
    <w:p w14:paraId="7C8B348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（1）预算执行率：指标分值</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%。截止202</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年12月31日，项目到位区级财政国有资本金注入专项资金</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万元，预算执行率</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w:t>
      </w:r>
    </w:p>
    <w:p w14:paraId="63E12208">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（2）资金到位率：指标分值</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w:t>
      </w: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rPr>
        <w:t>项目到位区级财政国有资本金注入专项资金</w:t>
      </w:r>
      <w:r>
        <w:rPr>
          <w:rFonts w:hint="eastAsia" w:ascii="Times New Roman" w:hAnsi="Times New Roman" w:eastAsia="仿宋_GB2312" w:cs="仿宋_GB2312"/>
          <w:b w:val="0"/>
          <w:bCs/>
          <w:i w:val="0"/>
          <w:color w:val="000000"/>
          <w:sz w:val="32"/>
          <w:szCs w:val="32"/>
          <w:lang w:val="en-US" w:eastAsia="zh-CN"/>
        </w:rPr>
        <w:t>0</w:t>
      </w:r>
      <w:r>
        <w:rPr>
          <w:rFonts w:hint="eastAsia" w:ascii="Times New Roman" w:hAnsi="Times New Roman" w:eastAsia="仿宋_GB2312" w:cs="仿宋_GB2312"/>
          <w:b w:val="0"/>
          <w:bCs/>
          <w:i w:val="0"/>
          <w:color w:val="000000"/>
          <w:sz w:val="32"/>
          <w:szCs w:val="32"/>
        </w:rPr>
        <w:t>万元，</w:t>
      </w:r>
      <w:r>
        <w:rPr>
          <w:rFonts w:hint="eastAsia" w:ascii="Times New Roman" w:hAnsi="Times New Roman" w:eastAsia="仿宋_GB2312" w:cs="仿宋_GB2312"/>
          <w:b w:val="0"/>
          <w:bCs/>
          <w:i w:val="0"/>
          <w:color w:val="000000"/>
          <w:sz w:val="32"/>
          <w:szCs w:val="32"/>
          <w:lang w:val="en-US" w:eastAsia="zh-CN"/>
        </w:rPr>
        <w:t>资金到位率0</w:t>
      </w:r>
      <w:r>
        <w:rPr>
          <w:rFonts w:hint="eastAsia" w:ascii="Times New Roman" w:hAnsi="Times New Roman" w:eastAsia="仿宋_GB2312" w:cs="仿宋_GB2312"/>
          <w:b w:val="0"/>
          <w:bCs/>
          <w:i w:val="0"/>
          <w:color w:val="000000"/>
          <w:sz w:val="32"/>
          <w:szCs w:val="32"/>
        </w:rPr>
        <w:t>%。</w:t>
      </w:r>
    </w:p>
    <w:p w14:paraId="29C59396">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2.组织实施</w:t>
      </w:r>
    </w:p>
    <w:p w14:paraId="79F101ED">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组织实施指标下设项目制度执行有效性、</w:t>
      </w:r>
      <w:r>
        <w:rPr>
          <w:rFonts w:hint="eastAsia" w:ascii="Times New Roman" w:hAnsi="Times New Roman" w:eastAsia="仿宋_GB2312" w:cs="仿宋_GB2312"/>
          <w:b w:val="0"/>
          <w:bCs/>
          <w:i w:val="0"/>
          <w:color w:val="000000"/>
          <w:sz w:val="32"/>
          <w:szCs w:val="32"/>
          <w:lang w:val="en-US" w:eastAsia="zh-CN"/>
        </w:rPr>
        <w:t>招标计划、管理制度健全性3</w:t>
      </w:r>
      <w:r>
        <w:rPr>
          <w:rFonts w:hint="eastAsia" w:ascii="Times New Roman" w:hAnsi="Times New Roman" w:eastAsia="仿宋_GB2312" w:cs="仿宋_GB2312"/>
          <w:b w:val="0"/>
          <w:bCs/>
          <w:i w:val="0"/>
          <w:color w:val="000000"/>
          <w:sz w:val="32"/>
          <w:szCs w:val="32"/>
        </w:rPr>
        <w:t>个三级指标，指标权重</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w:t>
      </w:r>
    </w:p>
    <w:p w14:paraId="5572E316">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（1）制度执行有效性：指标分值</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得分率100%。公司在项目管理、财务审批、招标采购、内部控制等各环节，均能严格遵循既定的《项目管理制度》《财务管理制度》《招标管理办法》《内控管理制度》等各项规定。制度的执行过程规范，记录完整，有效保障了项目实施的合规性与规范性。</w:t>
      </w:r>
    </w:p>
    <w:p w14:paraId="2C54507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rPr>
        <w:t>（2）</w:t>
      </w:r>
      <w:r>
        <w:rPr>
          <w:rFonts w:hint="eastAsia" w:ascii="Times New Roman" w:hAnsi="Times New Roman" w:eastAsia="仿宋_GB2312" w:cs="仿宋_GB2312"/>
          <w:b w:val="0"/>
          <w:bCs/>
          <w:i w:val="0"/>
          <w:color w:val="000000"/>
          <w:sz w:val="32"/>
          <w:szCs w:val="32"/>
          <w:lang w:val="en-US" w:eastAsia="zh-CN"/>
        </w:rPr>
        <w:t>招标计划</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%。在项目实施</w:t>
      </w:r>
      <w:r>
        <w:rPr>
          <w:rFonts w:hint="eastAsia" w:ascii="Times New Roman" w:hAnsi="Times New Roman" w:eastAsia="仿宋_GB2312" w:cs="仿宋_GB2312"/>
          <w:b w:val="0"/>
          <w:bCs/>
          <w:i w:val="0"/>
          <w:color w:val="000000"/>
          <w:sz w:val="32"/>
          <w:szCs w:val="32"/>
          <w:lang w:val="en-US" w:eastAsia="zh-CN"/>
        </w:rPr>
        <w:t>前</w:t>
      </w:r>
      <w:r>
        <w:rPr>
          <w:rFonts w:hint="eastAsia" w:ascii="Times New Roman" w:hAnsi="Times New Roman" w:eastAsia="仿宋_GB2312" w:cs="仿宋_GB2312"/>
          <w:b w:val="0"/>
          <w:bCs/>
          <w:i w:val="0"/>
          <w:color w:val="000000"/>
          <w:sz w:val="32"/>
          <w:szCs w:val="32"/>
        </w:rPr>
        <w:t>项目有招标计划，对后续单位选择有提前规划并予以执行</w:t>
      </w:r>
      <w:r>
        <w:rPr>
          <w:rFonts w:hint="eastAsia" w:ascii="Times New Roman" w:hAnsi="Times New Roman" w:eastAsia="仿宋_GB2312" w:cs="仿宋_GB2312"/>
          <w:b w:val="0"/>
          <w:bCs/>
          <w:i w:val="0"/>
          <w:color w:val="000000"/>
          <w:sz w:val="32"/>
          <w:szCs w:val="32"/>
          <w:lang w:eastAsia="zh-CN"/>
        </w:rPr>
        <w:t>。</w:t>
      </w:r>
    </w:p>
    <w:p w14:paraId="1281997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lang w:eastAsia="zh-CN"/>
        </w:rPr>
        <w:t>）管理制度健全性：</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分，得分率100%。国投公司制定了《财务管理制度》《内部审计制度》《内控管理制度》《项目管理制度》等，对项目施工管理、资金支出审批管理、资产管理等作了规范。</w:t>
      </w:r>
    </w:p>
    <w:p w14:paraId="1036804D">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（三）产出情况分析</w:t>
      </w:r>
    </w:p>
    <w:p w14:paraId="1D125C5C">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产出情况包括产出数量、产出质量、产出时效</w:t>
      </w:r>
      <w:r>
        <w:rPr>
          <w:rFonts w:hint="eastAsia" w:ascii="Times New Roman" w:hAnsi="Times New Roman" w:eastAsia="仿宋_GB2312" w:cs="仿宋_GB2312"/>
          <w:b w:val="0"/>
          <w:bCs/>
          <w:i w:val="0"/>
          <w:color w:val="000000"/>
          <w:sz w:val="32"/>
          <w:szCs w:val="32"/>
          <w:lang w:val="en-US" w:eastAsia="zh-CN"/>
        </w:rPr>
        <w:t>四</w:t>
      </w:r>
      <w:r>
        <w:rPr>
          <w:rFonts w:hint="eastAsia" w:ascii="Times New Roman" w:hAnsi="Times New Roman" w:eastAsia="仿宋_GB2312" w:cs="仿宋_GB2312"/>
          <w:b w:val="0"/>
          <w:bCs/>
          <w:i w:val="0"/>
          <w:color w:val="000000"/>
          <w:sz w:val="32"/>
          <w:szCs w:val="32"/>
        </w:rPr>
        <w:t>个方面。该项满分为</w:t>
      </w:r>
      <w:r>
        <w:rPr>
          <w:rFonts w:hint="eastAsia" w:ascii="Times New Roman" w:hAnsi="Times New Roman" w:eastAsia="仿宋_GB2312" w:cs="仿宋_GB2312"/>
          <w:b w:val="0"/>
          <w:bCs/>
          <w:i w:val="0"/>
          <w:color w:val="000000"/>
          <w:sz w:val="32"/>
          <w:szCs w:val="32"/>
          <w:lang w:val="en-US" w:eastAsia="zh-CN"/>
        </w:rPr>
        <w:t>30</w:t>
      </w:r>
      <w:r>
        <w:rPr>
          <w:rFonts w:hint="eastAsia" w:ascii="Times New Roman" w:hAnsi="Times New Roman" w:eastAsia="仿宋_GB2312" w:cs="仿宋_GB2312"/>
          <w:b w:val="0"/>
          <w:bCs/>
          <w:i w:val="0"/>
          <w:color w:val="000000"/>
          <w:sz w:val="32"/>
          <w:szCs w:val="32"/>
        </w:rPr>
        <w:t>分，重点绩效评价得分</w:t>
      </w:r>
      <w:r>
        <w:rPr>
          <w:rFonts w:hint="eastAsia" w:ascii="Times New Roman" w:hAnsi="Times New Roman" w:eastAsia="仿宋_GB2312" w:cs="仿宋_GB2312"/>
          <w:b w:val="0"/>
          <w:bCs/>
          <w:i w:val="0"/>
          <w:color w:val="000000"/>
          <w:sz w:val="32"/>
          <w:szCs w:val="32"/>
          <w:lang w:val="en-US" w:eastAsia="zh-CN"/>
        </w:rPr>
        <w:t>28</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93</w:t>
      </w:r>
      <w:r>
        <w:rPr>
          <w:rFonts w:hint="eastAsia" w:ascii="Times New Roman" w:hAnsi="Times New Roman" w:eastAsia="仿宋_GB2312" w:cs="仿宋_GB2312"/>
          <w:b w:val="0"/>
          <w:bCs/>
          <w:i w:val="0"/>
          <w:color w:val="000000"/>
          <w:sz w:val="32"/>
          <w:szCs w:val="32"/>
        </w:rPr>
        <w:t>.</w:t>
      </w:r>
      <w:r>
        <w:rPr>
          <w:rFonts w:hint="eastAsia" w:ascii="Times New Roman" w:hAnsi="Times New Roman" w:eastAsia="仿宋_GB2312" w:cs="仿宋_GB2312"/>
          <w:b w:val="0"/>
          <w:bCs/>
          <w:i w:val="0"/>
          <w:color w:val="000000"/>
          <w:sz w:val="32"/>
          <w:szCs w:val="32"/>
          <w:lang w:val="en-US" w:eastAsia="zh-CN"/>
        </w:rPr>
        <w:t>33</w:t>
      </w:r>
      <w:r>
        <w:rPr>
          <w:rFonts w:hint="eastAsia" w:ascii="Times New Roman" w:hAnsi="Times New Roman" w:eastAsia="仿宋_GB2312" w:cs="仿宋_GB2312"/>
          <w:b w:val="0"/>
          <w:bCs/>
          <w:i w:val="0"/>
          <w:color w:val="000000"/>
          <w:sz w:val="32"/>
          <w:szCs w:val="32"/>
        </w:rPr>
        <w:t>%，具体情况分析如下：</w:t>
      </w:r>
    </w:p>
    <w:p w14:paraId="0B49A4D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1.产出数量情况</w:t>
      </w:r>
    </w:p>
    <w:p w14:paraId="1631F2C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产出数量指标下设管网工程</w:t>
      </w:r>
      <w:r>
        <w:rPr>
          <w:rFonts w:hint="eastAsia" w:ascii="Times New Roman" w:hAnsi="Times New Roman" w:eastAsia="仿宋_GB2312" w:cs="仿宋_GB2312"/>
          <w:b w:val="0"/>
          <w:bCs/>
          <w:i w:val="0"/>
          <w:color w:val="000000"/>
          <w:sz w:val="32"/>
          <w:szCs w:val="32"/>
          <w:lang w:eastAsia="zh-CN"/>
        </w:rPr>
        <w:t>、桥梁下部桩基础、异地补绿的验收</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个三级指标，指标权重</w:t>
      </w:r>
      <w:r>
        <w:rPr>
          <w:rFonts w:hint="eastAsia" w:ascii="Times New Roman" w:hAnsi="Times New Roman" w:eastAsia="仿宋_GB2312" w:cs="仿宋_GB2312"/>
          <w:b w:val="0"/>
          <w:bCs/>
          <w:i w:val="0"/>
          <w:color w:val="000000"/>
          <w:sz w:val="32"/>
          <w:szCs w:val="32"/>
          <w:lang w:val="en-US" w:eastAsia="zh-CN"/>
        </w:rPr>
        <w:t>6</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6</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w:t>
      </w:r>
    </w:p>
    <w:p w14:paraId="4FFC5E9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rPr>
        <w:t>（1）管网工程完成情况：指标分值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w:t>
      </w:r>
      <w:r>
        <w:rPr>
          <w:rFonts w:hint="eastAsia" w:ascii="Times New Roman" w:hAnsi="Times New Roman" w:eastAsia="仿宋_GB2312" w:cs="仿宋_GB2312"/>
          <w:b w:val="0"/>
          <w:bCs/>
          <w:i w:val="0"/>
          <w:color w:val="000000"/>
          <w:sz w:val="32"/>
          <w:szCs w:val="32"/>
          <w:lang w:val="en-US" w:eastAsia="zh-CN"/>
        </w:rPr>
        <w:t>管网工程通道段落完成比例100%，（包含强弱电管线、消防管道、自来水管道），完成路面沥青恢复。</w:t>
      </w:r>
    </w:p>
    <w:p w14:paraId="5A86DB4B">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（2）桥梁下部桩基础：指标分值2分，实际得分2分，得分率100%。桩基础完成100%，钢柱吊装完成33颗，现场堆放待吊装58颗，厂家完成33颗。</w:t>
      </w:r>
    </w:p>
    <w:p w14:paraId="3F8F65D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（3）</w:t>
      </w:r>
      <w:r>
        <w:rPr>
          <w:rFonts w:hint="eastAsia" w:ascii="Times New Roman" w:hAnsi="Times New Roman" w:eastAsia="仿宋_GB2312" w:cs="仿宋_GB2312"/>
          <w:b w:val="0"/>
          <w:bCs/>
          <w:i w:val="0"/>
          <w:color w:val="000000"/>
          <w:sz w:val="32"/>
          <w:szCs w:val="32"/>
          <w:lang w:eastAsia="zh-CN"/>
        </w:rPr>
        <w:t>异地补绿的验收</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分，得分率100%。现场道路恢复小砖铺设已完成，混凝土板浇筑完成100米</w:t>
      </w: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rPr>
        <w:t>异地补绿已完成验收。</w:t>
      </w:r>
    </w:p>
    <w:p w14:paraId="266542C8">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2.产出质量情况</w:t>
      </w:r>
    </w:p>
    <w:p w14:paraId="7C31EF5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产出质量指标下设月度质量巡查通报</w:t>
      </w:r>
      <w:r>
        <w:rPr>
          <w:rFonts w:hint="eastAsia" w:ascii="Times New Roman" w:hAnsi="Times New Roman" w:eastAsia="仿宋_GB2312" w:cs="仿宋_GB2312"/>
          <w:b w:val="0"/>
          <w:bCs/>
          <w:i w:val="0"/>
          <w:color w:val="000000"/>
          <w:sz w:val="32"/>
          <w:szCs w:val="32"/>
          <w:lang w:eastAsia="zh-CN"/>
        </w:rPr>
        <w:t>、施工方案编审情况、施工日志、安全生产例会召开情况、安全生产检查情况、隐患排查治理情况、安全事故发生起数、项目安全生产日常监管资料、项目质量管理体系办法</w:t>
      </w:r>
      <w:r>
        <w:rPr>
          <w:rFonts w:hint="eastAsia" w:ascii="Times New Roman" w:hAnsi="Times New Roman" w:eastAsia="仿宋_GB2312" w:cs="仿宋_GB2312"/>
          <w:b w:val="0"/>
          <w:bCs/>
          <w:i w:val="0"/>
          <w:color w:val="000000"/>
          <w:sz w:val="32"/>
          <w:szCs w:val="32"/>
          <w:lang w:val="en-US" w:eastAsia="zh-CN"/>
        </w:rPr>
        <w:t>9</w:t>
      </w:r>
      <w:r>
        <w:rPr>
          <w:rFonts w:hint="eastAsia" w:ascii="Times New Roman" w:hAnsi="Times New Roman" w:eastAsia="仿宋_GB2312" w:cs="仿宋_GB2312"/>
          <w:b w:val="0"/>
          <w:bCs/>
          <w:i w:val="0"/>
          <w:color w:val="000000"/>
          <w:sz w:val="32"/>
          <w:szCs w:val="32"/>
        </w:rPr>
        <w:t>个三级指标，指标权重</w:t>
      </w:r>
      <w:r>
        <w:rPr>
          <w:rFonts w:hint="eastAsia" w:ascii="Times New Roman" w:hAnsi="Times New Roman" w:eastAsia="仿宋_GB2312" w:cs="仿宋_GB2312"/>
          <w:b w:val="0"/>
          <w:bCs/>
          <w:i w:val="0"/>
          <w:color w:val="000000"/>
          <w:sz w:val="32"/>
          <w:szCs w:val="32"/>
          <w:lang w:val="en-US" w:eastAsia="zh-CN"/>
        </w:rPr>
        <w:t>20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20</w:t>
      </w:r>
      <w:r>
        <w:rPr>
          <w:rFonts w:hint="eastAsia" w:ascii="Times New Roman" w:hAnsi="Times New Roman" w:eastAsia="仿宋_GB2312" w:cs="仿宋_GB2312"/>
          <w:b w:val="0"/>
          <w:bCs/>
          <w:i w:val="0"/>
          <w:color w:val="000000"/>
          <w:sz w:val="32"/>
          <w:szCs w:val="32"/>
        </w:rPr>
        <w:t>分，得分率100%。</w:t>
      </w:r>
    </w:p>
    <w:p w14:paraId="67E116D6">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月度质量巡查通报：指标分值</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分，得分率100%。</w:t>
      </w:r>
    </w:p>
    <w:p w14:paraId="70E6A5A0">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施工方案编审情况</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710A6A88">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施工日志</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2ABF7491">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安全生产例会召开情况</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4B195C3F">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安全生产检查情况</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0A4F5496">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隐患排查治理情况</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41845800">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安全事故发生起数</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3CC878CB">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项目安全生产日常监管资料</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490FB11A">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eastAsia="zh-CN"/>
        </w:rPr>
        <w:t>项目质量管理体系办法</w:t>
      </w:r>
      <w:r>
        <w:rPr>
          <w:rFonts w:hint="eastAsia" w:ascii="Times New Roman" w:hAnsi="Times New Roman" w:eastAsia="仿宋_GB2312" w:cs="仿宋_GB2312"/>
          <w:b w:val="0"/>
          <w:bCs/>
          <w:i w:val="0"/>
          <w:color w:val="000000"/>
          <w:sz w:val="32"/>
          <w:szCs w:val="32"/>
        </w:rPr>
        <w:t>：指标分值</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分，得分率100%。</w:t>
      </w:r>
    </w:p>
    <w:p w14:paraId="4419BF2C">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3.产出时效及成本情况</w:t>
      </w:r>
    </w:p>
    <w:p w14:paraId="3F2B380E">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rPr>
        <w:t>产出时效指标下设项目建设完成及时性1个三级指标，指标权重</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50</w:t>
      </w:r>
      <w:r>
        <w:rPr>
          <w:rFonts w:hint="eastAsia" w:ascii="Times New Roman" w:hAnsi="Times New Roman" w:eastAsia="仿宋_GB2312" w:cs="仿宋_GB2312"/>
          <w:b w:val="0"/>
          <w:bCs/>
          <w:i w:val="0"/>
          <w:color w:val="000000"/>
          <w:sz w:val="32"/>
          <w:szCs w:val="32"/>
        </w:rPr>
        <w:t>%。项目的工程总承包合同约定施工工期</w:t>
      </w:r>
      <w:r>
        <w:rPr>
          <w:rFonts w:hint="eastAsia" w:ascii="Times New Roman" w:hAnsi="Times New Roman" w:eastAsia="仿宋_GB2312" w:cs="仿宋_GB2312"/>
          <w:b w:val="0"/>
          <w:bCs/>
          <w:i w:val="0"/>
          <w:color w:val="000000"/>
          <w:sz w:val="32"/>
          <w:szCs w:val="32"/>
          <w:lang w:val="en-US" w:eastAsia="zh-CN"/>
        </w:rPr>
        <w:t>365</w:t>
      </w:r>
      <w:r>
        <w:rPr>
          <w:rFonts w:hint="eastAsia" w:ascii="Times New Roman" w:hAnsi="Times New Roman" w:eastAsia="仿宋_GB2312" w:cs="仿宋_GB2312"/>
          <w:b w:val="0"/>
          <w:bCs/>
          <w:i w:val="0"/>
          <w:color w:val="000000"/>
          <w:sz w:val="32"/>
          <w:szCs w:val="32"/>
        </w:rPr>
        <w:t>日历天，</w:t>
      </w:r>
      <w:r>
        <w:rPr>
          <w:rFonts w:hint="eastAsia" w:ascii="Times New Roman" w:hAnsi="Times New Roman" w:eastAsia="仿宋_GB2312" w:cs="仿宋_GB2312"/>
          <w:b w:val="0"/>
          <w:bCs/>
          <w:i w:val="0"/>
          <w:color w:val="000000"/>
          <w:sz w:val="32"/>
          <w:szCs w:val="32"/>
          <w:lang w:val="en-US" w:eastAsia="zh-CN"/>
        </w:rPr>
        <w:t>原计划开工起始日期为2023年12月1日至2024年11月30日</w:t>
      </w:r>
      <w:r>
        <w:rPr>
          <w:rFonts w:hint="eastAsia" w:ascii="Times New Roman" w:hAnsi="Times New Roman" w:eastAsia="仿宋_GB2312" w:cs="仿宋_GB2312"/>
          <w:b w:val="0"/>
          <w:bCs/>
          <w:i w:val="0"/>
          <w:color w:val="000000"/>
          <w:sz w:val="32"/>
          <w:szCs w:val="32"/>
        </w:rPr>
        <w:t>，</w:t>
      </w:r>
      <w:r>
        <w:rPr>
          <w:rFonts w:hint="eastAsia" w:ascii="Times New Roman" w:hAnsi="Times New Roman" w:eastAsia="仿宋_GB2312" w:cs="仿宋_GB2312"/>
          <w:b w:val="0"/>
          <w:bCs/>
          <w:i w:val="0"/>
          <w:color w:val="000000"/>
          <w:sz w:val="32"/>
          <w:szCs w:val="32"/>
          <w:lang w:val="en-US" w:eastAsia="zh-CN"/>
        </w:rPr>
        <w:t>实际取得开工令的时间为2024年11月，因为开工日期滞后，无法达到预期产出效益和效果。</w:t>
      </w:r>
    </w:p>
    <w:p w14:paraId="37DA33B2">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3" w:firstLineChars="200"/>
        <w:jc w:val="left"/>
        <w:textAlignment w:val="auto"/>
        <w:outlineLvl w:val="1"/>
        <w:rPr>
          <w:rFonts w:hint="eastAsia" w:ascii="Times New Roman" w:hAnsi="Times New Roman" w:eastAsia="楷体_GB2312" w:cs="楷体_GB2312"/>
          <w:b/>
          <w:i w:val="0"/>
          <w:color w:val="000000"/>
          <w:sz w:val="32"/>
          <w:szCs w:val="32"/>
        </w:rPr>
      </w:pPr>
      <w:r>
        <w:rPr>
          <w:rFonts w:hint="eastAsia" w:ascii="Times New Roman" w:hAnsi="Times New Roman" w:eastAsia="楷体_GB2312" w:cs="楷体_GB2312"/>
          <w:b/>
          <w:i w:val="0"/>
          <w:color w:val="000000"/>
          <w:sz w:val="32"/>
          <w:szCs w:val="32"/>
        </w:rPr>
        <w:t>（四）效益情况分析</w:t>
      </w:r>
    </w:p>
    <w:p w14:paraId="66ABD436">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效益情况包括社会效益、可持续影响、</w:t>
      </w:r>
      <w:r>
        <w:rPr>
          <w:rFonts w:hint="eastAsia" w:ascii="Times New Roman" w:hAnsi="Times New Roman" w:eastAsia="仿宋_GB2312" w:cs="仿宋_GB2312"/>
          <w:b w:val="0"/>
          <w:bCs/>
          <w:i w:val="0"/>
          <w:color w:val="000000"/>
          <w:sz w:val="32"/>
          <w:szCs w:val="32"/>
          <w:lang w:val="en-US" w:eastAsia="zh-CN"/>
        </w:rPr>
        <w:t>生态效益、</w:t>
      </w:r>
      <w:r>
        <w:rPr>
          <w:rFonts w:hint="eastAsia" w:ascii="Times New Roman" w:hAnsi="Times New Roman" w:eastAsia="仿宋_GB2312" w:cs="仿宋_GB2312"/>
          <w:b w:val="0"/>
          <w:bCs/>
          <w:i w:val="0"/>
          <w:color w:val="000000"/>
          <w:sz w:val="32"/>
          <w:szCs w:val="32"/>
        </w:rPr>
        <w:t>满意度</w:t>
      </w: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个方面。该项满分为30分，重点绩效评价得分</w:t>
      </w:r>
      <w:r>
        <w:rPr>
          <w:rFonts w:hint="eastAsia" w:ascii="Times New Roman" w:hAnsi="Times New Roman" w:eastAsia="仿宋_GB2312" w:cs="仿宋_GB2312"/>
          <w:b w:val="0"/>
          <w:bCs/>
          <w:i w:val="0"/>
          <w:color w:val="000000"/>
          <w:sz w:val="32"/>
          <w:szCs w:val="32"/>
          <w:lang w:val="en-US" w:eastAsia="zh-CN"/>
        </w:rPr>
        <w:t>27.5</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83.33</w:t>
      </w:r>
      <w:r>
        <w:rPr>
          <w:rFonts w:hint="eastAsia" w:ascii="Times New Roman" w:hAnsi="Times New Roman" w:eastAsia="仿宋_GB2312" w:cs="仿宋_GB2312"/>
          <w:b w:val="0"/>
          <w:bCs/>
          <w:i w:val="0"/>
          <w:color w:val="000000"/>
          <w:sz w:val="32"/>
          <w:szCs w:val="32"/>
        </w:rPr>
        <w:t>%，具体情况分析如下：</w:t>
      </w:r>
    </w:p>
    <w:p w14:paraId="03262F7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1.社会效益指标</w:t>
      </w:r>
    </w:p>
    <w:p w14:paraId="55E8D2F2">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下设旅游基础设施配套、旅游生态融合效果</w:t>
      </w: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个三级指标，指标权重</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%。具体情况分析如下：</w:t>
      </w:r>
    </w:p>
    <w:p w14:paraId="47C0FA93">
      <w:pPr>
        <w:keepNext w:val="0"/>
        <w:keepLines w:val="0"/>
        <w:pageBreakBefore w:val="0"/>
        <w:widowControl/>
        <w:numPr>
          <w:ilvl w:val="0"/>
          <w:numId w:val="3"/>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eastAsia="zh-CN"/>
        </w:rPr>
      </w:pPr>
      <w:r>
        <w:rPr>
          <w:rFonts w:hint="eastAsia" w:ascii="Times New Roman" w:hAnsi="Times New Roman" w:eastAsia="仿宋_GB2312" w:cs="仿宋_GB2312"/>
          <w:b w:val="0"/>
          <w:bCs/>
          <w:i w:val="0"/>
          <w:color w:val="000000"/>
          <w:sz w:val="32"/>
          <w:szCs w:val="32"/>
        </w:rPr>
        <w:t>旅游基础设施配套：指标分值</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w:t>
      </w:r>
      <w:r>
        <w:rPr>
          <w:rFonts w:hint="eastAsia" w:ascii="Times New Roman" w:hAnsi="Times New Roman" w:eastAsia="仿宋_GB2312" w:cs="仿宋_GB2312"/>
          <w:b w:val="0"/>
          <w:bCs/>
          <w:i w:val="0"/>
          <w:color w:val="000000"/>
          <w:sz w:val="32"/>
          <w:szCs w:val="32"/>
        </w:rPr>
        <w:t>0%。本项目建设内容包括浮空栈道系统、地面慢行系统、城市家具、生态景观绿化、标识导视、综合管网、照明系统、公用工程、其他配套设施等</w:t>
      </w:r>
      <w:r>
        <w:rPr>
          <w:rFonts w:hint="eastAsia" w:ascii="Times New Roman" w:hAnsi="Times New Roman" w:eastAsia="仿宋_GB2312" w:cs="仿宋_GB2312"/>
          <w:b w:val="0"/>
          <w:bCs/>
          <w:i w:val="0"/>
          <w:color w:val="000000"/>
          <w:sz w:val="32"/>
          <w:szCs w:val="32"/>
          <w:lang w:eastAsia="zh-CN"/>
        </w:rPr>
        <w:t>，</w:t>
      </w:r>
      <w:r>
        <w:rPr>
          <w:rFonts w:hint="eastAsia" w:ascii="Times New Roman" w:hAnsi="Times New Roman" w:eastAsia="仿宋_GB2312" w:cs="仿宋_GB2312"/>
          <w:b w:val="0"/>
          <w:bCs/>
          <w:i w:val="0"/>
          <w:color w:val="000000"/>
          <w:sz w:val="32"/>
          <w:szCs w:val="32"/>
          <w:lang w:val="en-US" w:eastAsia="zh-CN"/>
        </w:rPr>
        <w:t>截止2025年工程仍未竣工验收，预计可达成原定目标。</w:t>
      </w:r>
    </w:p>
    <w:p w14:paraId="3A381DAC">
      <w:pPr>
        <w:keepNext w:val="0"/>
        <w:keepLines w:val="0"/>
        <w:pageBreakBefore w:val="0"/>
        <w:widowControl/>
        <w:numPr>
          <w:ilvl w:val="0"/>
          <w:numId w:val="3"/>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eastAsia="zh-CN"/>
        </w:rPr>
      </w:pPr>
      <w:r>
        <w:rPr>
          <w:rFonts w:hint="eastAsia" w:ascii="Times New Roman" w:hAnsi="Times New Roman" w:eastAsia="仿宋_GB2312" w:cs="仿宋_GB2312"/>
          <w:b w:val="0"/>
          <w:bCs/>
          <w:i w:val="0"/>
          <w:color w:val="000000"/>
          <w:sz w:val="32"/>
          <w:szCs w:val="32"/>
        </w:rPr>
        <w:t>旅游生态融合效果：指标分值</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分，实际得分</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w:t>
      </w:r>
      <w:r>
        <w:rPr>
          <w:rFonts w:hint="eastAsia" w:ascii="Times New Roman" w:hAnsi="Times New Roman" w:eastAsia="仿宋_GB2312" w:cs="仿宋_GB2312"/>
          <w:b w:val="0"/>
          <w:bCs/>
          <w:i w:val="0"/>
          <w:color w:val="000000"/>
          <w:sz w:val="32"/>
          <w:szCs w:val="32"/>
          <w:lang w:val="en-US" w:eastAsia="zh-CN"/>
        </w:rPr>
        <w:t>长虫山生态绿道及服务配套设施建设项目的实施，按照低灵敏度开发建设的要求，实施生态绿道等配套设施的建设，同时兼顾景观绿化的补植和提升、实施裸露山体补植等生态修复工程、构建山体截排水体系及消防辅助工程，在提升旅游便利度的同时，提高了长虫山生态涵养能力，符合生态文明建设的相关要求。</w:t>
      </w:r>
    </w:p>
    <w:p w14:paraId="6C78DC4F">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2.可持续影响</w:t>
      </w:r>
    </w:p>
    <w:p w14:paraId="27CCB120">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rPr>
        <w:t>可持续影响指标下设建立长效管理机制1个三级指标，指标权重5分，实际得分</w:t>
      </w:r>
      <w:r>
        <w:rPr>
          <w:rFonts w:hint="eastAsia" w:ascii="Times New Roman" w:hAnsi="Times New Roman" w:eastAsia="仿宋_GB2312" w:cs="仿宋_GB2312"/>
          <w:b w:val="0"/>
          <w:bCs/>
          <w:i w:val="0"/>
          <w:color w:val="000000"/>
          <w:sz w:val="32"/>
          <w:szCs w:val="32"/>
          <w:lang w:val="en-US" w:eastAsia="zh-CN"/>
        </w:rPr>
        <w:t>5</w:t>
      </w:r>
      <w:r>
        <w:rPr>
          <w:rFonts w:hint="eastAsia" w:ascii="Times New Roman" w:hAnsi="Times New Roman" w:eastAsia="仿宋_GB2312" w:cs="仿宋_GB2312"/>
          <w:b w:val="0"/>
          <w:bCs/>
          <w:i w:val="0"/>
          <w:color w:val="000000"/>
          <w:sz w:val="32"/>
          <w:szCs w:val="32"/>
        </w:rPr>
        <w:t>分，得分率</w:t>
      </w:r>
      <w:r>
        <w:rPr>
          <w:rFonts w:hint="eastAsia" w:ascii="Times New Roman" w:hAnsi="Times New Roman" w:eastAsia="仿宋_GB2312" w:cs="仿宋_GB2312"/>
          <w:b w:val="0"/>
          <w:bCs/>
          <w:i w:val="0"/>
          <w:color w:val="000000"/>
          <w:sz w:val="32"/>
          <w:szCs w:val="32"/>
          <w:lang w:val="en-US" w:eastAsia="zh-CN"/>
        </w:rPr>
        <w:t>100</w:t>
      </w:r>
      <w:r>
        <w:rPr>
          <w:rFonts w:hint="eastAsia" w:ascii="Times New Roman" w:hAnsi="Times New Roman" w:eastAsia="仿宋_GB2312" w:cs="仿宋_GB2312"/>
          <w:b w:val="0"/>
          <w:bCs/>
          <w:i w:val="0"/>
          <w:color w:val="000000"/>
          <w:sz w:val="32"/>
          <w:szCs w:val="32"/>
        </w:rPr>
        <w:t>%。项目合同约定了质量保修范围和内容，对</w:t>
      </w:r>
      <w:r>
        <w:rPr>
          <w:rFonts w:hint="eastAsia" w:ascii="Times New Roman" w:hAnsi="Times New Roman" w:eastAsia="仿宋_GB2312" w:cs="仿宋_GB2312"/>
          <w:b w:val="0"/>
          <w:bCs/>
          <w:i w:val="0"/>
          <w:color w:val="000000"/>
          <w:sz w:val="32"/>
          <w:szCs w:val="32"/>
          <w:lang w:val="en-US" w:eastAsia="zh-CN"/>
        </w:rPr>
        <w:t>绿化养护的方式、道路维护的方式和设施维护的方式进行了明确。</w:t>
      </w:r>
    </w:p>
    <w:p w14:paraId="67C941DA">
      <w:pPr>
        <w:keepNext w:val="0"/>
        <w:keepLines w:val="0"/>
        <w:pageBreakBefore w:val="0"/>
        <w:widowControl/>
        <w:numPr>
          <w:ilvl w:val="0"/>
          <w:numId w:val="0"/>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3.生态效益</w:t>
      </w:r>
    </w:p>
    <w:p w14:paraId="3B6FF2F2">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生态效益指标下设建立环保措施1个三级指标，指标权重5分，实际得分2.5分，得分率100%。施工期产生的固体废弃物是按照建筑部令139 号《城市建筑垃圾管理规定》进行处理，但因项目暂未制定项目完工后采取植被恢复措施及方案，该项扣除2.5分。</w:t>
      </w:r>
    </w:p>
    <w:p w14:paraId="4E83CA4E">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lang w:val="en-US" w:eastAsia="zh-CN"/>
        </w:rPr>
        <w:t>4</w:t>
      </w:r>
      <w:r>
        <w:rPr>
          <w:rFonts w:hint="eastAsia" w:ascii="Times New Roman" w:hAnsi="Times New Roman" w:eastAsia="仿宋_GB2312" w:cs="仿宋_GB2312"/>
          <w:b w:val="0"/>
          <w:bCs/>
          <w:i w:val="0"/>
          <w:color w:val="000000"/>
          <w:sz w:val="32"/>
          <w:szCs w:val="32"/>
        </w:rPr>
        <w:t>.综合满意度</w:t>
      </w:r>
    </w:p>
    <w:p w14:paraId="7CAB128F">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Times New Roman" w:hAnsi="Times New Roman" w:eastAsia="仿宋_GB2312" w:cs="仿宋_GB2312"/>
          <w:b w:val="0"/>
          <w:bCs/>
          <w:i w:val="0"/>
          <w:color w:val="000000"/>
          <w:sz w:val="32"/>
          <w:szCs w:val="32"/>
        </w:rPr>
      </w:pPr>
      <w:r>
        <w:rPr>
          <w:rFonts w:hint="eastAsia" w:ascii="Times New Roman" w:hAnsi="Times New Roman" w:eastAsia="仿宋_GB2312" w:cs="仿宋_GB2312"/>
          <w:b w:val="0"/>
          <w:bCs/>
          <w:i w:val="0"/>
          <w:color w:val="000000"/>
          <w:sz w:val="32"/>
          <w:szCs w:val="32"/>
        </w:rPr>
        <w:t>综合满意度：指标分值10分，实际得分10分，得分率100%。本次重点绩效评价</w:t>
      </w:r>
      <w:r>
        <w:rPr>
          <w:rFonts w:hint="eastAsia" w:ascii="Times New Roman" w:hAnsi="Times New Roman" w:eastAsia="仿宋_GB2312" w:cs="仿宋_GB2312"/>
          <w:b w:val="0"/>
          <w:bCs/>
          <w:i w:val="0"/>
          <w:color w:val="000000"/>
          <w:sz w:val="32"/>
          <w:szCs w:val="32"/>
          <w:lang w:val="en-US" w:eastAsia="zh-CN"/>
        </w:rPr>
        <w:t>发出20份问卷调查，综合满意度大于90%</w:t>
      </w:r>
      <w:r>
        <w:rPr>
          <w:rFonts w:hint="eastAsia" w:ascii="Times New Roman" w:hAnsi="Times New Roman" w:eastAsia="仿宋_GB2312" w:cs="仿宋_GB2312"/>
          <w:b w:val="0"/>
          <w:bCs/>
          <w:i w:val="0"/>
          <w:color w:val="000000"/>
          <w:sz w:val="32"/>
          <w:szCs w:val="32"/>
        </w:rPr>
        <w:t>。</w:t>
      </w:r>
    </w:p>
    <w:p w14:paraId="4B1EEE6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3" w:firstLineChars="200"/>
        <w:jc w:val="left"/>
        <w:textAlignment w:val="auto"/>
        <w:outlineLvl w:val="0"/>
        <w:rPr>
          <w:rFonts w:hint="eastAsia" w:ascii="Times New Roman" w:hAnsi="Times New Roman" w:eastAsia="黑体" w:cs="黑体"/>
          <w:b/>
          <w:i w:val="0"/>
          <w:color w:val="000000"/>
          <w:sz w:val="32"/>
          <w:szCs w:val="32"/>
        </w:rPr>
      </w:pPr>
      <w:r>
        <w:rPr>
          <w:rFonts w:hint="eastAsia" w:ascii="Times New Roman" w:hAnsi="Times New Roman" w:eastAsia="黑体" w:cs="黑体"/>
          <w:b/>
          <w:i w:val="0"/>
          <w:color w:val="000000"/>
          <w:sz w:val="32"/>
          <w:szCs w:val="32"/>
        </w:rPr>
        <w:t>五、主要经验及做法</w:t>
      </w:r>
    </w:p>
    <w:p w14:paraId="110AE9C1">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1.</w:t>
      </w:r>
      <w:r>
        <w:rPr>
          <w:rFonts w:hint="eastAsia" w:ascii="Times New Roman" w:hAnsi="Times New Roman" w:eastAsia="仿宋_GB2312" w:cs="仿宋_GB2312"/>
          <w:b w:val="0"/>
          <w:bCs/>
          <w:i w:val="0"/>
          <w:color w:val="000000"/>
          <w:sz w:val="32"/>
          <w:szCs w:val="32"/>
        </w:rPr>
        <w:t>科学规划：项目前期进行了充分的调研和论证，制定了科学合理的规划设计方案。</w:t>
      </w:r>
    </w:p>
    <w:p w14:paraId="06F7290B">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b w:val="0"/>
          <w:bCs/>
          <w:sz w:val="32"/>
          <w:szCs w:val="32"/>
        </w:rPr>
      </w:pPr>
      <w:r>
        <w:rPr>
          <w:rFonts w:hint="eastAsia" w:ascii="Times New Roman" w:hAnsi="Times New Roman" w:eastAsia="仿宋_GB2312" w:cs="仿宋_GB2312"/>
          <w:b w:val="0"/>
          <w:bCs/>
          <w:i w:val="0"/>
          <w:color w:val="000000"/>
          <w:sz w:val="32"/>
          <w:szCs w:val="32"/>
          <w:lang w:val="en-US" w:eastAsia="zh-CN"/>
        </w:rPr>
        <w:t>2.</w:t>
      </w:r>
      <w:r>
        <w:rPr>
          <w:rFonts w:hint="eastAsia" w:ascii="Times New Roman" w:hAnsi="Times New Roman" w:eastAsia="仿宋_GB2312" w:cs="仿宋_GB2312"/>
          <w:b w:val="0"/>
          <w:bCs/>
          <w:i w:val="0"/>
          <w:color w:val="000000"/>
          <w:sz w:val="32"/>
          <w:szCs w:val="32"/>
        </w:rPr>
        <w:t>严格管理：项目实施过程中，建立了完善的管理制度和监督机制，确保项目质量和安全。</w:t>
      </w:r>
    </w:p>
    <w:p w14:paraId="1CD365AB">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b w:val="0"/>
          <w:bCs/>
          <w:i w:val="0"/>
          <w:color w:val="000000"/>
          <w:sz w:val="32"/>
          <w:szCs w:val="32"/>
          <w:lang w:val="en-US" w:eastAsia="zh-CN"/>
        </w:rPr>
        <w:t>3.</w:t>
      </w:r>
      <w:r>
        <w:rPr>
          <w:rFonts w:hint="eastAsia" w:ascii="Times New Roman" w:hAnsi="Times New Roman" w:eastAsia="仿宋_GB2312" w:cs="仿宋_GB2312"/>
          <w:b w:val="0"/>
          <w:bCs/>
          <w:i w:val="0"/>
          <w:color w:val="000000"/>
          <w:sz w:val="32"/>
          <w:szCs w:val="32"/>
        </w:rPr>
        <w:t>多方协作：</w:t>
      </w:r>
      <w:r>
        <w:rPr>
          <w:rFonts w:hint="eastAsia" w:ascii="Times New Roman" w:hAnsi="Times New Roman" w:eastAsia="仿宋_GB2312" w:cs="仿宋_GB2312"/>
          <w:b w:val="0"/>
          <w:i w:val="0"/>
          <w:color w:val="000000"/>
          <w:sz w:val="32"/>
          <w:szCs w:val="32"/>
        </w:rPr>
        <w:t>项目涉及多个部门和单位，通过加强沟通协调和协作配合，形成了工作合力。</w:t>
      </w:r>
    </w:p>
    <w:p w14:paraId="48557DFE">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3" w:firstLineChars="200"/>
        <w:jc w:val="left"/>
        <w:textAlignment w:val="auto"/>
        <w:outlineLvl w:val="0"/>
        <w:rPr>
          <w:rFonts w:hint="eastAsia" w:ascii="Times New Roman" w:hAnsi="Times New Roman" w:eastAsia="黑体" w:cs="黑体"/>
          <w:b/>
          <w:i w:val="0"/>
          <w:color w:val="000000"/>
          <w:sz w:val="32"/>
          <w:szCs w:val="32"/>
        </w:rPr>
      </w:pPr>
      <w:r>
        <w:rPr>
          <w:rFonts w:hint="eastAsia" w:ascii="Times New Roman" w:hAnsi="Times New Roman" w:eastAsia="黑体" w:cs="黑体"/>
          <w:b/>
          <w:i w:val="0"/>
          <w:color w:val="000000"/>
          <w:sz w:val="32"/>
          <w:szCs w:val="32"/>
        </w:rPr>
        <w:t>六、存在的问题及原因分析</w:t>
      </w:r>
    </w:p>
    <w:p w14:paraId="7A045D4D">
      <w:pPr>
        <w:keepNext w:val="0"/>
        <w:keepLines w:val="0"/>
        <w:pageBreakBefore w:val="0"/>
        <w:widowControl/>
        <w:kinsoku/>
        <w:wordWrap/>
        <w:overflowPunct/>
        <w:topLinePunct w:val="0"/>
        <w:autoSpaceDE/>
        <w:autoSpaceDN/>
        <w:bidi w:val="0"/>
        <w:adjustRightInd/>
        <w:snapToGrid/>
        <w:spacing w:before="199" w:after="199" w:line="560" w:lineRule="exact"/>
        <w:ind w:firstLine="640" w:firstLineChars="200"/>
        <w:jc w:val="left"/>
        <w:textAlignment w:val="auto"/>
        <w:outlineLvl w:val="0"/>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1.前期审批环节耗时较长：该项目涉及军事用地，直至2024年7月方取得国安局批复批复，2024年11月4日取得开工令，导致项目实际启动时间晚于原计划。</w:t>
      </w:r>
    </w:p>
    <w:p w14:paraId="0D961FED">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1"/>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2.客观环境制约施工进度：项目所在地每年12月1日至次年6月15日为森林防火封山期，期间禁止施工。开山后，又因客流量大，重型机械设备进场及大面积施工作业受到限制，有效施工周期被严重压缩。</w:t>
      </w:r>
    </w:p>
    <w:p w14:paraId="788358DB">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1"/>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3.综合因素导致工期延长：上述前期审批、施工窗口期受限、资金筹措方面的困难等多重困难相互叠加，最终影响了项目的整体实施进度，导致项目总工期较原计划有所延长。</w:t>
      </w:r>
    </w:p>
    <w:p w14:paraId="3276F97B">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3" w:firstLineChars="200"/>
        <w:jc w:val="left"/>
        <w:textAlignment w:val="auto"/>
        <w:outlineLvl w:val="0"/>
        <w:rPr>
          <w:rFonts w:hint="eastAsia" w:ascii="Times New Roman" w:hAnsi="Times New Roman" w:eastAsia="黑体" w:cs="黑体"/>
          <w:b/>
          <w:i w:val="0"/>
          <w:color w:val="000000"/>
          <w:sz w:val="32"/>
          <w:szCs w:val="32"/>
        </w:rPr>
      </w:pPr>
      <w:r>
        <w:rPr>
          <w:rFonts w:hint="eastAsia" w:ascii="Times New Roman" w:hAnsi="Times New Roman" w:eastAsia="黑体" w:cs="黑体"/>
          <w:b/>
          <w:i w:val="0"/>
          <w:color w:val="000000"/>
          <w:sz w:val="32"/>
          <w:szCs w:val="32"/>
        </w:rPr>
        <w:t>七、有关建议</w:t>
      </w:r>
    </w:p>
    <w:p w14:paraId="532CAB4C">
      <w:pPr>
        <w:keepNext w:val="0"/>
        <w:keepLines w:val="0"/>
        <w:pageBreakBefore w:val="0"/>
        <w:widowControl w:val="0"/>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国投公司已充分认识到前期工作中的不足，并将在今后工作中吸取经验、引以为鉴，具体从以下方面加强管理：</w:t>
      </w:r>
    </w:p>
    <w:p w14:paraId="248A425D">
      <w:pPr>
        <w:keepNext w:val="0"/>
        <w:keepLines w:val="0"/>
        <w:pageBreakBefore w:val="0"/>
        <w:widowControl w:val="0"/>
        <w:numPr>
          <w:ilvl w:val="0"/>
          <w:numId w:val="0"/>
        </w:numPr>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1.强化特殊项目前期预判与沟通：对于涉及军事、国安等特殊用地性质的项目，今后将提前开展政策与审批路径研究，主动与相关部门建立联系，争取在项目筹划阶段即明确关键环节与时限要求，尽可能为后续手续办理预留充足时间、规避被动延误。</w:t>
      </w:r>
    </w:p>
    <w:p w14:paraId="0A1C1ACC">
      <w:pPr>
        <w:keepNext w:val="0"/>
        <w:keepLines w:val="0"/>
        <w:pageBreakBefore w:val="0"/>
        <w:widowControl w:val="0"/>
        <w:numPr>
          <w:ilvl w:val="0"/>
          <w:numId w:val="0"/>
        </w:numPr>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2.科学评估并主动适应客观环境制约：在今后的项目策划中，将充分考虑如森林防火期、旅游旺季、气候条件等客观限制因素，在编制计划时即合理预估有效施工周期，优化施工组织设计，做好工期预案，避免因环境因素导致进度严重滞后。</w:t>
      </w:r>
    </w:p>
    <w:p w14:paraId="6473DAF2">
      <w:pPr>
        <w:keepNext w:val="0"/>
        <w:keepLines w:val="0"/>
        <w:pageBreakBefore w:val="0"/>
        <w:widowControl w:val="0"/>
        <w:numPr>
          <w:ilvl w:val="0"/>
          <w:numId w:val="0"/>
        </w:numPr>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i w:val="0"/>
          <w:color w:val="000000"/>
          <w:sz w:val="32"/>
          <w:szCs w:val="32"/>
          <w:lang w:val="en-US" w:eastAsia="zh-CN"/>
        </w:rPr>
      </w:pPr>
      <w:r>
        <w:rPr>
          <w:rFonts w:hint="eastAsia" w:ascii="Times New Roman" w:hAnsi="Times New Roman" w:eastAsia="仿宋_GB2312" w:cs="仿宋_GB2312"/>
          <w:b w:val="0"/>
          <w:bCs/>
          <w:i w:val="0"/>
          <w:color w:val="000000"/>
          <w:sz w:val="32"/>
          <w:szCs w:val="32"/>
          <w:lang w:val="en-US" w:eastAsia="zh-CN"/>
        </w:rPr>
        <w:t>3.加强资金统筹与协调保障：针对项目推进中可能出现的资金衔接问题，公司将进一步完善内部资金调度机制，同时积极与上级单位、合作方及金融机构保持常态对接，提前规划资金到位节奏，拓宽合规筹资渠道，保障项目可持续推进。</w:t>
      </w:r>
    </w:p>
    <w:p w14:paraId="4081B6F6">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color w:val="000000"/>
          <w:sz w:val="32"/>
          <w:szCs w:val="32"/>
        </w:rPr>
      </w:pPr>
    </w:p>
    <w:p w14:paraId="2BAE87A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附件</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1.长虫山项目支出</w:t>
      </w:r>
    </w:p>
    <w:p w14:paraId="76D6EB84">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1916" w:leftChars="760" w:hanging="320" w:hangingChars="100"/>
        <w:jc w:val="left"/>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lang w:val="en-US" w:eastAsia="zh-CN"/>
        </w:rPr>
        <w:t>2.</w:t>
      </w:r>
      <w:r>
        <w:rPr>
          <w:rFonts w:hint="eastAsia" w:ascii="Times New Roman" w:hAnsi="Times New Roman" w:eastAsia="仿宋_GB2312" w:cs="仿宋_GB2312"/>
          <w:color w:val="000000"/>
          <w:sz w:val="32"/>
          <w:szCs w:val="32"/>
        </w:rPr>
        <w:t>五华区长虫山生态环境导向开发项目-长虫山生态绿道及服务配套设施建设项目合同协议书</w:t>
      </w:r>
    </w:p>
    <w:p w14:paraId="00424402">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1916" w:leftChars="760" w:hanging="320" w:hangingChars="100"/>
        <w:jc w:val="left"/>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3.长虫山生态绿道及服务配套设施建设项目问卷调查报告</w:t>
      </w:r>
    </w:p>
    <w:p w14:paraId="4AEF602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1916" w:leftChars="760" w:hanging="320" w:hangingChars="100"/>
        <w:jc w:val="left"/>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4.关于对五华区长虫山生态环境导向开发项目--长虫山生态绿道及服务配套设施建设项目的批复</w:t>
      </w:r>
    </w:p>
    <w:p w14:paraId="1B790978">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1916" w:leftChars="760" w:hanging="320" w:hangingChars="100"/>
        <w:jc w:val="left"/>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rPr>
        <w:t>5.关于研究五华区长虫山生态环境导向开发建设项目相关事宜专题会议纪要</w:t>
      </w:r>
    </w:p>
    <w:p w14:paraId="39EC46DD">
      <w:pPr>
        <w:keepNext w:val="0"/>
        <w:keepLines w:val="0"/>
        <w:pageBreakBefore w:val="0"/>
        <w:widowControl w:val="0"/>
        <w:numPr>
          <w:ilvl w:val="-1"/>
          <w:numId w:val="0"/>
        </w:numPr>
        <w:kinsoku/>
        <w:wordWrap/>
        <w:overflowPunct/>
        <w:topLinePunct w:val="0"/>
        <w:autoSpaceDE/>
        <w:autoSpaceDN/>
        <w:bidi w:val="0"/>
        <w:adjustRightInd/>
        <w:snapToGrid/>
        <w:spacing w:before="0" w:after="0" w:line="560" w:lineRule="exact"/>
        <w:ind w:firstLine="1600" w:firstLineChars="500"/>
        <w:jc w:val="left"/>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lang w:val="en-US" w:eastAsia="zh-CN"/>
        </w:rPr>
        <w:t>6.</w:t>
      </w:r>
      <w:r>
        <w:rPr>
          <w:rFonts w:hint="eastAsia" w:ascii="Times New Roman" w:hAnsi="Times New Roman" w:eastAsia="仿宋_GB2312" w:cs="仿宋_GB2312"/>
          <w:color w:val="000000"/>
          <w:sz w:val="32"/>
          <w:szCs w:val="32"/>
        </w:rPr>
        <w:t>绩效评价清单资料汇总(施工单位)</w:t>
      </w:r>
    </w:p>
    <w:p w14:paraId="026C3011">
      <w:pPr>
        <w:keepNext w:val="0"/>
        <w:keepLines w:val="0"/>
        <w:pageBreakBefore w:val="0"/>
        <w:widowControl w:val="0"/>
        <w:numPr>
          <w:ilvl w:val="0"/>
          <w:numId w:val="0"/>
        </w:numPr>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Times New Roman" w:hAnsi="Times New Roman" w:eastAsia="仿宋_GB2312" w:cs="仿宋_GB2312"/>
          <w:b w:val="0"/>
          <w:bCs/>
          <w:i w:val="0"/>
          <w:color w:val="000000"/>
          <w:sz w:val="32"/>
          <w:szCs w:val="32"/>
          <w:lang w:val="en-US" w:eastAsia="zh-CN"/>
        </w:rPr>
      </w:pPr>
    </w:p>
    <w:p w14:paraId="074A179F">
      <w:pPr>
        <w:keepNext w:val="0"/>
        <w:keepLines w:val="0"/>
        <w:pageBreakBefore w:val="0"/>
        <w:kinsoku/>
        <w:wordWrap/>
        <w:overflowPunct/>
        <w:topLinePunct w:val="0"/>
        <w:autoSpaceDE/>
        <w:autoSpaceDN/>
        <w:bidi w:val="0"/>
        <w:adjustRightInd/>
        <w:snapToGrid/>
        <w:spacing w:before="269" w:after="269" w:line="560" w:lineRule="exact"/>
        <w:ind w:left="0" w:leftChars="0" w:firstLine="640" w:firstLineChars="200"/>
        <w:jc w:val="right"/>
        <w:rPr>
          <w:rFonts w:hint="eastAsia" w:ascii="Times New Roman" w:hAnsi="Times New Roman" w:eastAsia="仿宋_GB2312" w:cs="仿宋_GB2312"/>
          <w:sz w:val="32"/>
          <w:szCs w:val="32"/>
        </w:rPr>
      </w:pPr>
      <w:r>
        <w:rPr>
          <w:rFonts w:hint="eastAsia" w:ascii="Times New Roman" w:hAnsi="Times New Roman" w:eastAsia="仿宋_GB2312" w:cs="仿宋_GB2312"/>
          <w:b w:val="0"/>
          <w:i w:val="0"/>
          <w:color w:val="000000"/>
          <w:sz w:val="32"/>
          <w:szCs w:val="32"/>
        </w:rPr>
        <w:t>昆明市五华区国有资产投资经营管理有限公司</w:t>
      </w:r>
    </w:p>
    <w:p w14:paraId="1DB1FD5D">
      <w:pPr>
        <w:keepNext w:val="0"/>
        <w:keepLines w:val="0"/>
        <w:pageBreakBefore w:val="0"/>
        <w:kinsoku/>
        <w:wordWrap/>
        <w:overflowPunct/>
        <w:topLinePunct w:val="0"/>
        <w:autoSpaceDE/>
        <w:autoSpaceDN/>
        <w:bidi w:val="0"/>
        <w:adjustRightInd/>
        <w:snapToGrid/>
        <w:spacing w:before="269" w:after="269" w:line="560" w:lineRule="exact"/>
        <w:ind w:left="0" w:leftChars="0" w:firstLine="640" w:firstLineChars="200"/>
        <w:jc w:val="right"/>
        <w:rPr>
          <w:rFonts w:hint="eastAsia" w:ascii="Times New Roman" w:hAnsi="Times New Roman" w:eastAsia="仿宋_GB2312" w:cs="仿宋_GB2312"/>
          <w:sz w:val="32"/>
          <w:szCs w:val="32"/>
        </w:rPr>
      </w:pPr>
      <w:r>
        <w:rPr>
          <w:rFonts w:hint="eastAsia" w:ascii="Times New Roman" w:hAnsi="Times New Roman" w:eastAsia="仿宋_GB2312" w:cs="仿宋_GB2312"/>
          <w:b w:val="0"/>
          <w:i w:val="0"/>
          <w:color w:val="000000"/>
          <w:sz w:val="32"/>
          <w:szCs w:val="32"/>
        </w:rPr>
        <w:t>202</w:t>
      </w:r>
      <w:r>
        <w:rPr>
          <w:rFonts w:hint="eastAsia" w:ascii="Times New Roman" w:hAnsi="Times New Roman" w:eastAsia="仿宋_GB2312" w:cs="仿宋_GB2312"/>
          <w:b w:val="0"/>
          <w:i w:val="0"/>
          <w:color w:val="000000"/>
          <w:sz w:val="32"/>
          <w:szCs w:val="32"/>
          <w:lang w:val="en-US" w:eastAsia="zh-CN"/>
        </w:rPr>
        <w:t>6</w:t>
      </w:r>
      <w:r>
        <w:rPr>
          <w:rFonts w:hint="eastAsia" w:ascii="Times New Roman" w:hAnsi="Times New Roman" w:eastAsia="仿宋_GB2312" w:cs="仿宋_GB2312"/>
          <w:b w:val="0"/>
          <w:i w:val="0"/>
          <w:color w:val="000000"/>
          <w:sz w:val="32"/>
          <w:szCs w:val="32"/>
        </w:rPr>
        <w:t>年</w:t>
      </w:r>
      <w:r>
        <w:rPr>
          <w:rFonts w:hint="eastAsia" w:ascii="Times New Roman" w:hAnsi="Times New Roman" w:eastAsia="仿宋_GB2312" w:cs="仿宋_GB2312"/>
          <w:b w:val="0"/>
          <w:i w:val="0"/>
          <w:color w:val="000000"/>
          <w:sz w:val="32"/>
          <w:szCs w:val="32"/>
          <w:lang w:val="en-US" w:eastAsia="zh-CN"/>
        </w:rPr>
        <w:t>3</w:t>
      </w:r>
      <w:r>
        <w:rPr>
          <w:rFonts w:hint="eastAsia" w:ascii="Times New Roman" w:hAnsi="Times New Roman" w:eastAsia="仿宋_GB2312" w:cs="仿宋_GB2312"/>
          <w:b w:val="0"/>
          <w:i w:val="0"/>
          <w:color w:val="000000"/>
          <w:sz w:val="32"/>
          <w:szCs w:val="32"/>
        </w:rPr>
        <w:t>月</w:t>
      </w:r>
      <w:r>
        <w:rPr>
          <w:rFonts w:hint="eastAsia" w:ascii="Times New Roman" w:hAnsi="Times New Roman" w:eastAsia="仿宋_GB2312" w:cs="仿宋_GB2312"/>
          <w:b w:val="0"/>
          <w:i w:val="0"/>
          <w:color w:val="000000"/>
          <w:sz w:val="32"/>
          <w:szCs w:val="32"/>
          <w:lang w:val="en-US" w:eastAsia="zh-CN"/>
        </w:rPr>
        <w:t>27</w:t>
      </w:r>
      <w:r>
        <w:rPr>
          <w:rFonts w:hint="eastAsia" w:ascii="Times New Roman" w:hAnsi="Times New Roman" w:eastAsia="仿宋_GB2312" w:cs="仿宋_GB2312"/>
          <w:b w:val="0"/>
          <w:i w:val="0"/>
          <w:color w:val="000000"/>
          <w:sz w:val="32"/>
          <w:szCs w:val="32"/>
        </w:rPr>
        <w:t>日</w:t>
      </w:r>
    </w:p>
    <w:p w14:paraId="15E85FAE">
      <w:pPr>
        <w:keepNext w:val="0"/>
        <w:keepLines w:val="0"/>
        <w:pageBreakBefore w:val="0"/>
        <w:kinsoku/>
        <w:wordWrap/>
        <w:overflowPunct/>
        <w:topLinePunct w:val="0"/>
        <w:autoSpaceDE/>
        <w:autoSpaceDN/>
        <w:bidi w:val="0"/>
        <w:adjustRightInd/>
        <w:snapToGrid/>
        <w:spacing w:before="269" w:after="269" w:line="560" w:lineRule="exact"/>
        <w:ind w:left="0" w:leftChars="0" w:firstLine="420" w:firstLineChars="200"/>
        <w:jc w:val="left"/>
        <w:rPr>
          <w:rFonts w:hint="eastAsia" w:ascii="Times New Roman" w:hAnsi="Times New Roman" w:eastAsia="仿宋_GB2312" w:cs="仿宋_GB2312"/>
        </w:rPr>
      </w:pPr>
    </w:p>
    <w:p w14:paraId="666E7450">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43392D05">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5C07F587">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333DEEC8">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75ACC3C9">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2E8406D2">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1502AFCC">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002B153A">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43079424">
      <w:pPr>
        <w:pStyle w:val="6"/>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Times New Roman" w:hAnsi="Times New Roman" w:eastAsia="仿宋_GB2312" w:cs="仿宋_GB2312"/>
          <w:lang w:eastAsia="zh-CN"/>
        </w:rPr>
      </w:pPr>
    </w:p>
    <w:p w14:paraId="057F6EE2">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Times New Roman" w:hAnsi="Times New Roman" w:eastAsia="仿宋_GB2312" w:cs="仿宋_GB2312"/>
          <w:color w:val="auto"/>
          <w:sz w:val="32"/>
          <w:szCs w:val="32"/>
          <w:lang w:eastAsia="zh-CN"/>
        </w:rPr>
      </w:pPr>
    </w:p>
    <w:p w14:paraId="201EE2F0">
      <w:pPr>
        <w:keepNext w:val="0"/>
        <w:keepLines w:val="0"/>
        <w:pageBreakBefore w:val="0"/>
        <w:kinsoku/>
        <w:wordWrap/>
        <w:overflowPunct/>
        <w:topLinePunct w:val="0"/>
        <w:autoSpaceDE/>
        <w:autoSpaceDN/>
        <w:bidi w:val="0"/>
        <w:adjustRightInd/>
        <w:snapToGrid/>
        <w:spacing w:line="560" w:lineRule="exact"/>
        <w:ind w:left="0" w:leftChars="0" w:firstLine="420" w:firstLineChars="200"/>
        <w:rPr>
          <w:rFonts w:hint="eastAsia" w:ascii="Times New Roman" w:hAnsi="Times New Roman" w:eastAsia="仿宋_GB2312" w:cs="仿宋_GB2312"/>
        </w:rPr>
      </w:pPr>
    </w:p>
    <w:sectPr>
      <w:headerReference r:id="rId3" w:type="default"/>
      <w:footerReference r:id="rId4" w:type="default"/>
      <w:footerReference r:id="rId5" w:type="even"/>
      <w:pgSz w:w="11906" w:h="16838"/>
      <w:pgMar w:top="2098" w:right="1531" w:bottom="1984" w:left="153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7E61F">
    <w:pPr>
      <w:pStyle w:val="4"/>
      <w:wordWrap w:val="0"/>
      <w:jc w:val="right"/>
      <w:rPr>
        <w:rFonts w:hint="default" w:ascii="仿宋_GB2312" w:eastAsia="仿宋_GB2312"/>
        <w:sz w:val="28"/>
        <w:szCs w:val="28"/>
        <w:lang w:val="en-US" w:eastAsia="zh-CN"/>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1</w:t>
    </w:r>
    <w:r>
      <w:rPr>
        <w:rFonts w:hint="eastAsia" w:ascii="仿宋_GB2312" w:eastAsia="仿宋_GB2312"/>
        <w:sz w:val="28"/>
        <w:szCs w:val="28"/>
      </w:rPr>
      <w:fldChar w:fldCharType="end"/>
    </w:r>
    <w:r>
      <w:rPr>
        <w:rFonts w:hint="eastAsia" w:ascii="仿宋_GB2312" w:eastAsia="仿宋_GB2312"/>
        <w:sz w:val="28"/>
        <w:szCs w:val="28"/>
      </w:rPr>
      <w:t>—</w:t>
    </w:r>
    <w:r>
      <w:rPr>
        <w:rFonts w:hint="eastAsia" w:ascii="仿宋_GB2312" w:eastAsia="仿宋_GB2312"/>
        <w:sz w:val="28"/>
        <w:szCs w:val="28"/>
        <w:lang w:val="en-US" w:eastAsia="zh-CN"/>
      </w:rPr>
      <w:t xml:space="preserve">  </w:t>
    </w:r>
  </w:p>
  <w:p w14:paraId="2E94773E">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C2AA">
    <w:pPr>
      <w:pStyle w:val="4"/>
      <w:ind w:firstLine="280" w:firstLineChars="100"/>
      <w:rPr>
        <w:rFonts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2</w:t>
    </w:r>
    <w:r>
      <w:rPr>
        <w:rFonts w:hint="eastAsia" w:ascii="仿宋_GB2312" w:eastAsia="仿宋_GB2312"/>
        <w:sz w:val="28"/>
        <w:szCs w:val="28"/>
      </w:rPr>
      <w:fldChar w:fldCharType="end"/>
    </w:r>
    <w:r>
      <w:rPr>
        <w:rFonts w:hint="eastAsia" w:ascii="仿宋_GB2312" w:eastAsia="仿宋_GB2312"/>
        <w:sz w:val="28"/>
        <w:szCs w:val="28"/>
      </w:rPr>
      <w:t>—</w:t>
    </w:r>
  </w:p>
  <w:p w14:paraId="5656A81C">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E10CD">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791411"/>
    <w:multiLevelType w:val="singleLevel"/>
    <w:tmpl w:val="D8791411"/>
    <w:lvl w:ilvl="0" w:tentative="0">
      <w:start w:val="1"/>
      <w:numFmt w:val="decimal"/>
      <w:suff w:val="nothing"/>
      <w:lvlText w:val="（%1）"/>
      <w:lvlJc w:val="left"/>
    </w:lvl>
  </w:abstractNum>
  <w:abstractNum w:abstractNumId="1">
    <w:nsid w:val="DA77A391"/>
    <w:multiLevelType w:val="singleLevel"/>
    <w:tmpl w:val="DA77A391"/>
    <w:lvl w:ilvl="0" w:tentative="0">
      <w:start w:val="1"/>
      <w:numFmt w:val="decimal"/>
      <w:suff w:val="nothing"/>
      <w:lvlText w:val="（%1）"/>
      <w:lvlJc w:val="left"/>
    </w:lvl>
  </w:abstractNum>
  <w:abstractNum w:abstractNumId="2">
    <w:nsid w:val="333C932F"/>
    <w:multiLevelType w:val="singleLevel"/>
    <w:tmpl w:val="333C932F"/>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wZDU2MDEwNDA1OGQ2ZmMyYzNmYjYwZjc5OTg5NjcifQ=="/>
  </w:docVars>
  <w:rsids>
    <w:rsidRoot w:val="67B73AF1"/>
    <w:rsid w:val="1073405E"/>
    <w:rsid w:val="13BF0513"/>
    <w:rsid w:val="140C2170"/>
    <w:rsid w:val="2FA21214"/>
    <w:rsid w:val="30CB1766"/>
    <w:rsid w:val="36306DF5"/>
    <w:rsid w:val="36B22973"/>
    <w:rsid w:val="3ECF50CB"/>
    <w:rsid w:val="502F3E41"/>
    <w:rsid w:val="51EF7344"/>
    <w:rsid w:val="53346DB2"/>
    <w:rsid w:val="67B73AF1"/>
    <w:rsid w:val="6B226F0A"/>
    <w:rsid w:val="6B7D2A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line="560" w:lineRule="exact"/>
      <w:ind w:firstLine="640"/>
      <w:outlineLvl w:val="1"/>
    </w:pPr>
    <w:rPr>
      <w:rFonts w:eastAsia="黑体"/>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rPr>
      <w:rFonts w:ascii="Calibri" w:hAnsi="Calibri" w:eastAsia="宋体" w:cs="Times New Roman"/>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3"/>
    <w:qFormat/>
    <w:uiPriority w:val="0"/>
    <w:pPr>
      <w:snapToGrid/>
      <w:spacing w:line="520" w:lineRule="exact"/>
      <w:ind w:firstLine="0" w:firstLineChars="0"/>
      <w:jc w:val="center"/>
    </w:pPr>
    <w:rPr>
      <w:rFonts w:ascii="Times New Roman" w:hAnsi="Times New Roman"/>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昆明市五华区党政机关单位</Company>
  <Pages>18</Pages>
  <Words>6506</Words>
  <Characters>6899</Characters>
  <Lines>0</Lines>
  <Paragraphs>0</Paragraphs>
  <TotalTime>0</TotalTime>
  <ScaleCrop>false</ScaleCrop>
  <LinksUpToDate>false</LinksUpToDate>
  <CharactersWithSpaces>6908</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2026-02-06T01:00:00Z</dcterms:created>
  <dc:creator>尤粉华</dc:creator>
  <cp:lastModifiedBy>yx</cp:lastModifiedBy>
  <dcterms:modified xsi:type="dcterms:W3CDTF">2026-03-30T08:18:42Z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2C6ABBDCD5614EEC859B32215904CCB0_13</vt:lpwstr>
  </property>
  <property fmtid="{D5CDD505-2E9C-101B-9397-08002B2CF9AE}" pid="4" name="KSOTemplateDocerSaveRecord">
    <vt:lpwstr>eyJoZGlkIjoiNGRmYzJlMWM4NjIyZjUyNjhjNTI3YzBhOTc0M2QyMjUiLCJ1c2VySWQiOiI1NjMyODYzMDcifQ==</vt:lpwstr>
  </property>
</Properties>
</file>