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A8068">
      <w:pPr>
        <w:keepNext w:val="0"/>
        <w:keepLines w:val="0"/>
        <w:pageBreakBefore w:val="0"/>
        <w:widowControl/>
        <w:kinsoku/>
        <w:wordWrap/>
        <w:overflowPunct/>
        <w:topLinePunct w:val="0"/>
        <w:autoSpaceDE/>
        <w:autoSpaceDN/>
        <w:bidi w:val="0"/>
        <w:adjustRightInd/>
        <w:snapToGrid/>
        <w:spacing w:after="0" w:line="560" w:lineRule="exact"/>
        <w:ind w:left="0" w:leftChars="0" w:right="0" w:rightChars="0" w:firstLine="640" w:firstLineChars="200"/>
        <w:textAlignment w:val="auto"/>
        <w:outlineLvl w:val="0"/>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eastAsia="zh-CN"/>
        </w:rPr>
        <w:t>附件</w:t>
      </w:r>
      <w:r>
        <w:rPr>
          <w:rFonts w:hint="eastAsia" w:ascii="仿宋_GB2312" w:hAnsi="仿宋_GB2312" w:eastAsia="仿宋_GB2312" w:cs="仿宋_GB2312"/>
          <w:color w:val="auto"/>
          <w:spacing w:val="0"/>
          <w:sz w:val="32"/>
          <w:szCs w:val="32"/>
          <w:lang w:val="en-US" w:eastAsia="zh-CN"/>
        </w:rPr>
        <w:t>8：</w:t>
      </w:r>
    </w:p>
    <w:p w14:paraId="5BD2E654">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880" w:firstLineChars="200"/>
        <w:jc w:val="center"/>
        <w:textAlignment w:val="auto"/>
        <w:outlineLvl w:val="0"/>
        <w:rPr>
          <w:rFonts w:hint="eastAsia" w:ascii="方正小标宋简体" w:hAnsi="方正小标宋简体" w:eastAsia="方正小标宋简体" w:cs="方正小标宋简体"/>
          <w:spacing w:val="0"/>
          <w:sz w:val="44"/>
          <w:szCs w:val="44"/>
        </w:rPr>
      </w:pPr>
      <w:r>
        <w:rPr>
          <w:rFonts w:hint="eastAsia" w:ascii="方正小标宋简体" w:hAnsi="方正小标宋简体" w:eastAsia="方正小标宋简体" w:cs="方正小标宋简体"/>
          <w:color w:val="auto"/>
          <w:spacing w:val="0"/>
          <w:sz w:val="44"/>
          <w:szCs w:val="44"/>
        </w:rPr>
        <w:t>项目支出绩效评价报告</w:t>
      </w:r>
    </w:p>
    <w:p w14:paraId="04D8E2E4">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auto"/>
          <w:spacing w:val="0"/>
          <w:sz w:val="32"/>
          <w:szCs w:val="32"/>
        </w:rPr>
      </w:pPr>
    </w:p>
    <w:p w14:paraId="0BAE7A3C">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一、基本情况</w:t>
      </w:r>
    </w:p>
    <w:p w14:paraId="795AC226">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（一）项目概况</w:t>
      </w:r>
    </w:p>
    <w:p w14:paraId="0204093D">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napToGrid w:val="0"/>
          <w:spacing w:val="0"/>
          <w:sz w:val="32"/>
          <w:szCs w:val="32"/>
        </w:rPr>
      </w:pPr>
      <w:r>
        <w:rPr>
          <w:rFonts w:hint="eastAsia" w:ascii="仿宋_GB2312" w:hAnsi="仿宋_GB2312" w:eastAsia="仿宋_GB2312" w:cs="仿宋_GB2312"/>
          <w:spacing w:val="0"/>
          <w:sz w:val="32"/>
          <w:szCs w:val="32"/>
        </w:rPr>
        <w:t>昆明市五华区国有资产投资经营管理有限公司（以下简称“国投公司”）</w:t>
      </w:r>
      <w:r>
        <w:rPr>
          <w:rFonts w:hint="eastAsia" w:ascii="仿宋_GB2312" w:hAnsi="仿宋_GB2312" w:eastAsia="仿宋_GB2312" w:cs="仿宋_GB2312"/>
          <w:snapToGrid w:val="0"/>
          <w:spacing w:val="0"/>
          <w:sz w:val="32"/>
          <w:szCs w:val="32"/>
        </w:rPr>
        <w:t>于2004年4月21日，根据昆明市人民政府《关于对成立昆明市五华区国有资产投资经营管理有限公司有关问题的批复》（昆政复〔2004〕12号），依照《中华人民共和国公司法》等有关规定和报批程序成立，</w:t>
      </w:r>
      <w:r>
        <w:rPr>
          <w:rFonts w:hint="eastAsia" w:ascii="仿宋_GB2312" w:hAnsi="仿宋_GB2312" w:eastAsia="仿宋_GB2312" w:cs="仿宋_GB2312"/>
          <w:snapToGrid w:val="0"/>
          <w:spacing w:val="0"/>
          <w:kern w:val="0"/>
          <w:sz w:val="32"/>
          <w:szCs w:val="32"/>
        </w:rPr>
        <w:t>注册资本为14112万元，</w:t>
      </w:r>
      <w:r>
        <w:rPr>
          <w:rFonts w:hint="eastAsia" w:ascii="仿宋_GB2312" w:hAnsi="仿宋_GB2312" w:eastAsia="仿宋_GB2312" w:cs="仿宋_GB2312"/>
          <w:snapToGrid w:val="0"/>
          <w:spacing w:val="0"/>
          <w:sz w:val="32"/>
          <w:szCs w:val="32"/>
        </w:rPr>
        <w:t>公司类型为有限责任公司（国有独资），出资人为五华区人民政府，公司注册地址为云南省昆明市五华区华山东路12号。</w:t>
      </w:r>
    </w:p>
    <w:p w14:paraId="73F7C256">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napToGrid w:val="0"/>
          <w:spacing w:val="0"/>
          <w:kern w:val="0"/>
          <w:sz w:val="32"/>
          <w:szCs w:val="32"/>
          <w:lang w:val="en-US" w:eastAsia="zh-CN"/>
        </w:rPr>
      </w:pPr>
      <w:r>
        <w:rPr>
          <w:rFonts w:hint="eastAsia" w:ascii="仿宋_GB2312" w:hAnsi="仿宋_GB2312" w:eastAsia="仿宋_GB2312" w:cs="仿宋_GB2312"/>
          <w:snapToGrid w:val="0"/>
          <w:spacing w:val="0"/>
          <w:kern w:val="0"/>
          <w:sz w:val="32"/>
          <w:szCs w:val="32"/>
          <w:lang w:val="en-US" w:eastAsia="zh-CN"/>
        </w:rPr>
        <w:t>作为昆明市五华区政府城市建设投融资和城市资源经营主体，五华区国投公司的主要职能是受昆明市五华区人民政府委托，负责实施城乡基础设施、环保设施和社会事业领域项目建设及政府重大建设项目的投融资；负责投资建设形成的存量国有资产运作；负责城市特许经营资源的管理和运作；负责地方政府交办的其他建设投融资职能；接受委托进行物业管理；房地产开发及经营。</w:t>
      </w:r>
    </w:p>
    <w:p w14:paraId="6AF831E0">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为缓解资金压力并确保国投公司的正常运营，财政部门计划在2025年拨付5000万元国有资本金，用于公司的日常开支。该笔资金用于支持国投公司日常经营性支出，包括但不限于：员工薪酬福利、办公及水电能耗、设备设施维护、场地租赁、项目挂牌与评估费用、固定资产投资以及必要的融资成本支出等。</w:t>
      </w:r>
    </w:p>
    <w:p w14:paraId="12318283">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lang w:val="en-US" w:eastAsia="zh-CN"/>
        </w:rPr>
        <w:t>二</w:t>
      </w: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rPr>
        <w:t>项目绩效目标。</w:t>
      </w:r>
    </w:p>
    <w:p w14:paraId="28083C9C">
      <w:pPr>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FF"/>
          <w:spacing w:val="0"/>
          <w:sz w:val="32"/>
          <w:szCs w:val="32"/>
          <w:lang w:val="en-US" w:eastAsia="zh-CN"/>
        </w:rPr>
      </w:pPr>
      <w:r>
        <w:rPr>
          <w:rFonts w:hint="eastAsia" w:ascii="仿宋_GB2312" w:hAnsi="仿宋_GB2312" w:eastAsia="仿宋_GB2312" w:cs="仿宋_GB2312"/>
          <w:spacing w:val="0"/>
          <w:sz w:val="32"/>
          <w:szCs w:val="32"/>
          <w:lang w:val="en-US" w:eastAsia="zh-CN"/>
        </w:rPr>
        <w:t>优化资产结构，提升有效资产效益，降低资产空置率。推进在建项目进度，确保项目如期交付使用。挖掘固投项目潜力，完成固投任务指标。拓展融资渠道，保障债务链接。积极配合招商引资，认真谋划项目推介。做好市民信访、群众投诉受理工作。内控建设上发力，健全完善现代企业管理制度。</w:t>
      </w:r>
      <w:r>
        <w:rPr>
          <w:rFonts w:hint="eastAsia" w:ascii="仿宋_GB2312" w:hAnsi="仿宋_GB2312" w:eastAsia="仿宋_GB2312" w:cs="仿宋_GB2312"/>
          <w:color w:val="auto"/>
          <w:spacing w:val="0"/>
          <w:sz w:val="32"/>
          <w:szCs w:val="32"/>
          <w:lang w:val="en-US" w:eastAsia="zh-CN"/>
        </w:rPr>
        <w:t>预计25年营业收入指标增长10%；国有资产保值增值率超过100%；本息偿还率达到100%；相比上年实现纳税金额增加；固定资产投资完成率100%。</w:t>
      </w:r>
    </w:p>
    <w:p w14:paraId="13FE1358">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lang w:val="en-US" w:eastAsia="zh-CN"/>
        </w:rPr>
        <w:t>三</w:t>
      </w: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rPr>
        <w:t>项目组织管理情况。</w:t>
      </w:r>
    </w:p>
    <w:p w14:paraId="7F1FEDEE">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pacing w:val="0"/>
          <w:kern w:val="0"/>
          <w:sz w:val="32"/>
          <w:szCs w:val="32"/>
          <w:lang w:val="en-US" w:eastAsia="zh-CN" w:bidi="ar"/>
        </w:rPr>
      </w:pPr>
      <w:r>
        <w:rPr>
          <w:rFonts w:hint="eastAsia" w:ascii="仿宋_GB2312" w:hAnsi="仿宋_GB2312" w:eastAsia="仿宋_GB2312" w:cs="仿宋_GB2312"/>
          <w:color w:val="000000"/>
          <w:spacing w:val="0"/>
          <w:kern w:val="0"/>
          <w:sz w:val="32"/>
          <w:szCs w:val="32"/>
          <w:lang w:val="en-US" w:eastAsia="zh-CN" w:bidi="ar"/>
        </w:rPr>
        <w:t>根据公司“三定”工作方案，公司职能部门分为：</w:t>
      </w:r>
    </w:p>
    <w:p w14:paraId="3E0FF155">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1.党群人事部。统筹公司的党建、工会、群团、人事规划和人力资源管理工作。</w:t>
      </w:r>
    </w:p>
    <w:p w14:paraId="5659B7C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2.行政管理部。统筹公司的收发文与会议管理、行政外联、办公区域管理、后勤服务、档案管理、宣传管理、信息化管理、保密管理等工作。</w:t>
      </w:r>
    </w:p>
    <w:p w14:paraId="1B5BAA02">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3.纪检监察部。公司履行党的纪律检查、行为作风监察的日常办事机构，监督、管控公司经营活动中的违法违纪风险。</w:t>
      </w:r>
    </w:p>
    <w:p w14:paraId="73CA0790">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4.财融管理部。统筹公司财务管理、资金运作的监管、融资规划与执行。</w:t>
      </w:r>
    </w:p>
    <w:p w14:paraId="4B9B45B7">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5.风控审计部。公司合规管理、风险控制、法务审计的管理部门，负责制定和监督合规管理、企业风险管理策略，评估预警风险，建立内部控制体系，进行内部法务、合同、审计和风险管理，确保企业合规运营，预防和控制风险，保障公司经营安全。</w:t>
      </w:r>
    </w:p>
    <w:p w14:paraId="4E05929D">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pacing w:val="0"/>
          <w:kern w:val="0"/>
          <w:sz w:val="32"/>
          <w:szCs w:val="32"/>
          <w:lang w:val="en-US" w:eastAsia="zh-CN" w:bidi="ar"/>
        </w:rPr>
      </w:pPr>
      <w:r>
        <w:rPr>
          <w:rFonts w:hint="eastAsia" w:ascii="仿宋_GB2312" w:hAnsi="仿宋_GB2312" w:eastAsia="仿宋_GB2312" w:cs="仿宋_GB2312"/>
          <w:color w:val="000000"/>
          <w:spacing w:val="0"/>
          <w:kern w:val="0"/>
          <w:sz w:val="32"/>
          <w:szCs w:val="32"/>
          <w:lang w:val="en-US" w:eastAsia="zh-CN" w:bidi="ar"/>
        </w:rPr>
        <w:t>6.经营发展部。负责公司战略管理与经营目标管理、投资管理。</w:t>
      </w:r>
    </w:p>
    <w:p w14:paraId="417800B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7.项目管理部。负责招投标管理、合同管理、造价管理、成本控制、工程管理、土地一级开发及前期规划报件。</w:t>
      </w:r>
    </w:p>
    <w:p w14:paraId="0C72694C">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pacing w:val="0"/>
          <w:sz w:val="32"/>
          <w:szCs w:val="32"/>
        </w:rPr>
      </w:pPr>
      <w:r>
        <w:rPr>
          <w:rFonts w:hint="eastAsia" w:ascii="仿宋_GB2312" w:hAnsi="仿宋_GB2312" w:eastAsia="仿宋_GB2312" w:cs="仿宋_GB2312"/>
          <w:color w:val="000000"/>
          <w:spacing w:val="0"/>
          <w:kern w:val="0"/>
          <w:sz w:val="32"/>
          <w:szCs w:val="32"/>
          <w:lang w:val="en-US" w:eastAsia="zh-CN" w:bidi="ar"/>
        </w:rPr>
        <w:t>8.资产运营部。资产管理、招商引资、运营监管，确保国有资产的保值增值，提高资产使用效益，并保障资产的安全与完整。</w:t>
      </w:r>
    </w:p>
    <w:p w14:paraId="7DF67D1F">
      <w:pPr>
        <w:keepNext w:val="0"/>
        <w:keepLines w:val="0"/>
        <w:pageBreakBefore w:val="0"/>
        <w:widowControl w:val="0"/>
        <w:kinsoku/>
        <w:wordWrap/>
        <w:overflowPunct/>
        <w:topLinePunct w:val="0"/>
        <w:autoSpaceDE/>
        <w:autoSpaceDN/>
        <w:bidi w:val="0"/>
        <w:adjustRightInd/>
        <w:snapToGrid/>
        <w:spacing w:after="0" w:line="560" w:lineRule="exact"/>
        <w:ind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二、绩效评价工作开展情况</w:t>
      </w:r>
    </w:p>
    <w:p w14:paraId="4B1A36CA">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（一）</w:t>
      </w:r>
      <w:r>
        <w:rPr>
          <w:rFonts w:hint="eastAsia" w:ascii="楷体_GB2312" w:hAnsi="楷体_GB2312" w:eastAsia="楷体_GB2312" w:cs="楷体_GB2312"/>
          <w:color w:val="auto"/>
          <w:spacing w:val="0"/>
          <w:sz w:val="32"/>
          <w:szCs w:val="32"/>
        </w:rPr>
        <w:t>绩效评价目的、对象和范围</w:t>
      </w:r>
      <w:r>
        <w:rPr>
          <w:rFonts w:hint="eastAsia" w:ascii="仿宋_GB2312" w:hAnsi="仿宋_GB2312" w:eastAsia="仿宋_GB2312" w:cs="仿宋_GB2312"/>
          <w:color w:val="auto"/>
          <w:spacing w:val="0"/>
          <w:sz w:val="32"/>
          <w:szCs w:val="32"/>
        </w:rPr>
        <w:t>。</w:t>
      </w:r>
    </w:p>
    <w:p w14:paraId="5C287F8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pacing w:val="0"/>
          <w:kern w:val="0"/>
          <w:sz w:val="32"/>
          <w:szCs w:val="32"/>
          <w:lang w:val="en-US" w:eastAsia="zh-CN" w:bidi="ar"/>
        </w:rPr>
      </w:pPr>
      <w:r>
        <w:rPr>
          <w:rFonts w:hint="eastAsia" w:ascii="仿宋_GB2312" w:hAnsi="仿宋_GB2312" w:eastAsia="仿宋_GB2312" w:cs="仿宋_GB2312"/>
          <w:color w:val="000000"/>
          <w:spacing w:val="0"/>
          <w:kern w:val="0"/>
          <w:sz w:val="32"/>
          <w:szCs w:val="32"/>
          <w:lang w:val="en-US" w:eastAsia="zh-CN" w:bidi="ar"/>
        </w:rPr>
        <w:t>评价目的：通过绩效评价，全面了解国投日常运营项目支出绩效情况，总结经验教训，为后续项目管理和资金使用提供参考。</w:t>
      </w:r>
    </w:p>
    <w:p w14:paraId="68DF1F6B">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pacing w:val="0"/>
          <w:kern w:val="0"/>
          <w:sz w:val="32"/>
          <w:szCs w:val="32"/>
          <w:lang w:val="en-US" w:eastAsia="zh-CN" w:bidi="ar"/>
        </w:rPr>
      </w:pPr>
      <w:r>
        <w:rPr>
          <w:rFonts w:hint="eastAsia" w:ascii="仿宋_GB2312" w:hAnsi="仿宋_GB2312" w:eastAsia="仿宋_GB2312" w:cs="仿宋_GB2312"/>
          <w:color w:val="000000"/>
          <w:spacing w:val="0"/>
          <w:kern w:val="0"/>
          <w:sz w:val="32"/>
          <w:szCs w:val="32"/>
          <w:lang w:val="en-US" w:eastAsia="zh-CN" w:bidi="ar"/>
        </w:rPr>
        <w:t>评价对象：2025年度国投公司“国有资本金注入-国投日常经营”项目。</w:t>
      </w:r>
    </w:p>
    <w:p w14:paraId="729F981E">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pacing w:val="0"/>
          <w:kern w:val="0"/>
          <w:sz w:val="32"/>
          <w:szCs w:val="32"/>
          <w:lang w:val="en-US" w:eastAsia="zh-CN" w:bidi="ar"/>
        </w:rPr>
      </w:pPr>
      <w:r>
        <w:rPr>
          <w:rFonts w:hint="eastAsia" w:ascii="仿宋_GB2312" w:hAnsi="仿宋_GB2312" w:eastAsia="仿宋_GB2312" w:cs="仿宋_GB2312"/>
          <w:color w:val="000000"/>
          <w:spacing w:val="0"/>
          <w:kern w:val="0"/>
          <w:sz w:val="32"/>
          <w:szCs w:val="32"/>
          <w:lang w:val="en-US" w:eastAsia="zh-CN" w:bidi="ar"/>
        </w:rPr>
        <w:t>评价范围：覆盖项目资金的管理与使用全过程、产生的经济效益、社会效益及可持续影响。</w:t>
      </w:r>
    </w:p>
    <w:p w14:paraId="7A82B060">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（二）绩效评价原则、依据、评价指标体系（附表说明）、评价方法、评价标准、评价抽样等。</w:t>
      </w:r>
    </w:p>
    <w:p w14:paraId="04CE8ED1">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000000"/>
          <w:spacing w:val="0"/>
          <w:kern w:val="0"/>
          <w:sz w:val="32"/>
          <w:szCs w:val="32"/>
          <w:lang w:val="en-US" w:eastAsia="zh-CN" w:bidi="ar"/>
        </w:rPr>
      </w:pPr>
      <w:r>
        <w:rPr>
          <w:rFonts w:hint="eastAsia" w:ascii="仿宋_GB2312" w:hAnsi="仿宋_GB2312" w:eastAsia="仿宋_GB2312" w:cs="仿宋_GB2312"/>
          <w:color w:val="auto"/>
          <w:spacing w:val="0"/>
          <w:sz w:val="32"/>
          <w:szCs w:val="32"/>
        </w:rPr>
        <w:t>评价原则：</w:t>
      </w:r>
      <w:r>
        <w:rPr>
          <w:rFonts w:hint="eastAsia" w:ascii="仿宋_GB2312" w:hAnsi="仿宋_GB2312" w:eastAsia="仿宋_GB2312" w:cs="仿宋_GB2312"/>
          <w:color w:val="000000"/>
          <w:spacing w:val="0"/>
          <w:kern w:val="0"/>
          <w:sz w:val="32"/>
          <w:szCs w:val="32"/>
          <w:lang w:val="en-US" w:eastAsia="zh-CN" w:bidi="ar"/>
        </w:rPr>
        <w:t>遵循科学、公正、公平、公开的原则，确保评价结果客观真实。</w:t>
      </w:r>
    </w:p>
    <w:p w14:paraId="15A605C6">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评价依据：公国家及地方相关财政资金管理办法、公司内部管理制度、项目申报材料、财务会计资料、业务合同台账及相关政策文件。</w:t>
      </w:r>
    </w:p>
    <w:p w14:paraId="77A2BF43">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评价指标体系：从项目</w:t>
      </w:r>
      <w:r>
        <w:rPr>
          <w:rFonts w:hint="eastAsia" w:ascii="仿宋_GB2312" w:hAnsi="仿宋_GB2312" w:eastAsia="仿宋_GB2312" w:cs="仿宋_GB2312"/>
          <w:color w:val="auto"/>
          <w:spacing w:val="0"/>
          <w:sz w:val="32"/>
          <w:szCs w:val="32"/>
          <w:lang w:val="en-US" w:eastAsia="zh-CN"/>
        </w:rPr>
        <w:t>过程</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val="en-US" w:eastAsia="zh-CN"/>
        </w:rPr>
        <w:t>项目产出</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val="en-US" w:eastAsia="zh-CN"/>
        </w:rPr>
        <w:t>项目效益、</w:t>
      </w:r>
      <w:r>
        <w:rPr>
          <w:rFonts w:hint="eastAsia" w:ascii="仿宋_GB2312" w:hAnsi="仿宋_GB2312" w:eastAsia="仿宋_GB2312" w:cs="仿宋_GB2312"/>
          <w:color w:val="auto"/>
          <w:spacing w:val="0"/>
          <w:sz w:val="32"/>
          <w:szCs w:val="32"/>
        </w:rPr>
        <w:t>项目可持续性、问卷调查</w:t>
      </w:r>
      <w:r>
        <w:rPr>
          <w:rFonts w:hint="eastAsia" w:ascii="仿宋_GB2312" w:hAnsi="仿宋_GB2312" w:eastAsia="仿宋_GB2312" w:cs="仿宋_GB2312"/>
          <w:color w:val="auto"/>
          <w:spacing w:val="0"/>
          <w:sz w:val="32"/>
          <w:szCs w:val="32"/>
          <w:lang w:val="en-US" w:eastAsia="zh-CN"/>
        </w:rPr>
        <w:t>5</w:t>
      </w:r>
      <w:r>
        <w:rPr>
          <w:rFonts w:hint="eastAsia" w:ascii="仿宋_GB2312" w:hAnsi="仿宋_GB2312" w:eastAsia="仿宋_GB2312" w:cs="仿宋_GB2312"/>
          <w:color w:val="auto"/>
          <w:spacing w:val="0"/>
          <w:sz w:val="32"/>
          <w:szCs w:val="32"/>
        </w:rPr>
        <w:t>个方面构建评价指标体系，具体包括国有资产保值增值率、经济成本指标、失业人员就业、企业可持续发展等指标。</w:t>
      </w:r>
    </w:p>
    <w:p w14:paraId="58F6952A">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评价方法：采用资料审查、现场勘查、问卷调查等方法进行评价。</w:t>
      </w:r>
    </w:p>
    <w:p w14:paraId="6B945D3F">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评价标准：以计划标准</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历史标准等为主要参考，结合项目预期目标进行量化评分。</w:t>
      </w:r>
    </w:p>
    <w:p w14:paraId="51F1CC1C">
      <w:pPr>
        <w:keepNext w:val="0"/>
        <w:keepLines w:val="0"/>
        <w:pageBreakBefore w:val="0"/>
        <w:widowControl w:val="0"/>
        <w:kinsoku/>
        <w:wordWrap/>
        <w:overflowPunct/>
        <w:topLinePunct w:val="0"/>
        <w:autoSpaceDE/>
        <w:autoSpaceDN/>
        <w:bidi w:val="0"/>
        <w:adjustRightInd/>
        <w:snapToGrid/>
        <w:spacing w:after="0" w:line="560" w:lineRule="exact"/>
        <w:ind w:left="0" w:leftChars="0" w:right="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评价抽样：对关键业务资料、财务凭证、合同文件等进行抽样核查，对相关管理人员及服务对象进行访谈与问卷调查，确保评价样本的代表性。</w:t>
      </w:r>
    </w:p>
    <w:p w14:paraId="0B8105DA">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（三）绩效评价工作过程。</w:t>
      </w:r>
    </w:p>
    <w:p w14:paraId="7880EE06">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spacing w:val="0"/>
          <w:sz w:val="32"/>
          <w:szCs w:val="32"/>
        </w:rPr>
      </w:pPr>
      <w:r>
        <w:rPr>
          <w:rFonts w:hint="eastAsia" w:ascii="仿宋_GB2312" w:hAnsi="仿宋_GB2312" w:eastAsia="仿宋_GB2312" w:cs="仿宋_GB2312"/>
          <w:b w:val="0"/>
          <w:bCs/>
          <w:i w:val="0"/>
          <w:color w:val="000000"/>
          <w:spacing w:val="0"/>
          <w:sz w:val="32"/>
          <w:szCs w:val="32"/>
          <w:lang w:val="en-US" w:eastAsia="zh-CN"/>
        </w:rPr>
        <w:t>1.</w:t>
      </w:r>
      <w:r>
        <w:rPr>
          <w:rFonts w:hint="eastAsia" w:ascii="仿宋_GB2312" w:hAnsi="仿宋_GB2312" w:eastAsia="仿宋_GB2312" w:cs="仿宋_GB2312"/>
          <w:b w:val="0"/>
          <w:bCs/>
          <w:i w:val="0"/>
          <w:color w:val="000000"/>
          <w:spacing w:val="0"/>
          <w:sz w:val="32"/>
          <w:szCs w:val="32"/>
        </w:rPr>
        <w:t>准备阶段：成立评价工作小组，制定评价工作方案，明确评价目标、范围、方法和步骤。</w:t>
      </w:r>
    </w:p>
    <w:p w14:paraId="4F44E5A2">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spacing w:val="0"/>
          <w:sz w:val="32"/>
          <w:szCs w:val="32"/>
        </w:rPr>
      </w:pPr>
      <w:r>
        <w:rPr>
          <w:rFonts w:hint="eastAsia" w:ascii="仿宋_GB2312" w:hAnsi="仿宋_GB2312" w:eastAsia="仿宋_GB2312" w:cs="仿宋_GB2312"/>
          <w:b w:val="0"/>
          <w:bCs/>
          <w:i w:val="0"/>
          <w:color w:val="000000"/>
          <w:spacing w:val="0"/>
          <w:sz w:val="32"/>
          <w:szCs w:val="32"/>
          <w:lang w:val="en-US" w:eastAsia="zh-CN"/>
        </w:rPr>
        <w:t>2.</w:t>
      </w:r>
      <w:r>
        <w:rPr>
          <w:rFonts w:hint="eastAsia" w:ascii="仿宋_GB2312" w:hAnsi="仿宋_GB2312" w:eastAsia="仿宋_GB2312" w:cs="仿宋_GB2312"/>
          <w:b w:val="0"/>
          <w:bCs/>
          <w:i w:val="0"/>
          <w:color w:val="000000"/>
          <w:spacing w:val="0"/>
          <w:sz w:val="32"/>
          <w:szCs w:val="32"/>
        </w:rPr>
        <w:t>实施阶段：收集项目相关资料，进行现场勘查和问卷调查，组织专家评审，对项目绩效进行全面评价。</w:t>
      </w:r>
    </w:p>
    <w:p w14:paraId="7DD17B6A">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spacing w:val="0"/>
          <w:sz w:val="32"/>
          <w:szCs w:val="32"/>
        </w:rPr>
      </w:pPr>
      <w:r>
        <w:rPr>
          <w:rFonts w:hint="eastAsia" w:ascii="仿宋_GB2312" w:hAnsi="仿宋_GB2312" w:eastAsia="仿宋_GB2312" w:cs="仿宋_GB2312"/>
          <w:b w:val="0"/>
          <w:bCs/>
          <w:i w:val="0"/>
          <w:color w:val="000000"/>
          <w:spacing w:val="0"/>
          <w:sz w:val="32"/>
          <w:szCs w:val="32"/>
          <w:lang w:val="en-US" w:eastAsia="zh-CN"/>
        </w:rPr>
        <w:t>3.</w:t>
      </w:r>
      <w:r>
        <w:rPr>
          <w:rFonts w:hint="eastAsia" w:ascii="仿宋_GB2312" w:hAnsi="仿宋_GB2312" w:eastAsia="仿宋_GB2312" w:cs="仿宋_GB2312"/>
          <w:b w:val="0"/>
          <w:bCs/>
          <w:i w:val="0"/>
          <w:color w:val="000000"/>
          <w:spacing w:val="0"/>
          <w:sz w:val="32"/>
          <w:szCs w:val="32"/>
        </w:rPr>
        <w:t>分析阶段：对评价数据进行整理和分析，形成评价结论。</w:t>
      </w:r>
    </w:p>
    <w:p w14:paraId="24F016CF">
      <w:pPr>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bCs/>
          <w:i w:val="0"/>
          <w:color w:val="000000"/>
          <w:spacing w:val="0"/>
          <w:sz w:val="32"/>
          <w:szCs w:val="32"/>
          <w:lang w:val="en-US" w:eastAsia="zh-CN"/>
        </w:rPr>
        <w:t>4.</w:t>
      </w:r>
      <w:r>
        <w:rPr>
          <w:rFonts w:hint="eastAsia" w:ascii="仿宋_GB2312" w:hAnsi="仿宋_GB2312" w:eastAsia="仿宋_GB2312" w:cs="仿宋_GB2312"/>
          <w:b w:val="0"/>
          <w:bCs/>
          <w:i w:val="0"/>
          <w:color w:val="000000"/>
          <w:spacing w:val="0"/>
          <w:sz w:val="32"/>
          <w:szCs w:val="32"/>
        </w:rPr>
        <w:t>报告阶段：</w:t>
      </w:r>
      <w:r>
        <w:rPr>
          <w:rFonts w:hint="eastAsia" w:ascii="仿宋_GB2312" w:hAnsi="仿宋_GB2312" w:eastAsia="仿宋_GB2312" w:cs="仿宋_GB2312"/>
          <w:b w:val="0"/>
          <w:i w:val="0"/>
          <w:color w:val="000000"/>
          <w:spacing w:val="0"/>
          <w:sz w:val="32"/>
          <w:szCs w:val="32"/>
        </w:rPr>
        <w:t>撰写绩效评价报告，提出改进建议。</w:t>
      </w:r>
    </w:p>
    <w:p w14:paraId="5E9D5483">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三、综合评价情况及评价结论</w:t>
      </w:r>
    </w:p>
    <w:p w14:paraId="59C963FB">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（一）绩效评价综合结论。</w:t>
      </w:r>
    </w:p>
    <w:p w14:paraId="2F7AA7ED">
      <w:pPr>
        <w:keepNext w:val="0"/>
        <w:keepLines w:val="0"/>
        <w:pageBreakBefore w:val="0"/>
        <w:widowControl/>
        <w:kinsoku/>
        <w:wordWrap/>
        <w:overflowPunct/>
        <w:topLinePunct w:val="0"/>
        <w:autoSpaceDE/>
        <w:autoSpaceDN/>
        <w:bidi w:val="0"/>
        <w:adjustRightInd/>
        <w:snapToGrid/>
        <w:spacing w:before="269" w:after="269" w:line="560" w:lineRule="exact"/>
        <w:ind w:left="0" w:leftChars="0" w:firstLine="640" w:firstLineChars="200"/>
        <w:jc w:val="left"/>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000000"/>
          <w:spacing w:val="0"/>
          <w:kern w:val="0"/>
          <w:sz w:val="32"/>
          <w:szCs w:val="32"/>
          <w:lang w:val="en-US" w:eastAsia="zh-CN" w:bidi="ar"/>
        </w:rPr>
        <w:t>国有资本金注入-国投日常经营”项目</w:t>
      </w:r>
      <w:r>
        <w:rPr>
          <w:rFonts w:hint="eastAsia" w:ascii="仿宋_GB2312" w:hAnsi="仿宋_GB2312" w:eastAsia="仿宋_GB2312" w:cs="仿宋_GB2312"/>
          <w:b w:val="0"/>
          <w:i w:val="0"/>
          <w:color w:val="000000"/>
          <w:spacing w:val="0"/>
          <w:sz w:val="32"/>
          <w:szCs w:val="32"/>
        </w:rPr>
        <w:t>支出绩效评价综合得分为</w:t>
      </w:r>
      <w:r>
        <w:rPr>
          <w:rFonts w:hint="eastAsia" w:ascii="仿宋_GB2312" w:hAnsi="仿宋_GB2312" w:eastAsia="仿宋_GB2312" w:cs="仿宋_GB2312"/>
          <w:b w:val="0"/>
          <w:i w:val="0"/>
          <w:color w:val="auto"/>
          <w:spacing w:val="0"/>
          <w:sz w:val="32"/>
          <w:szCs w:val="32"/>
          <w:lang w:val="en-US" w:eastAsia="zh-CN"/>
        </w:rPr>
        <w:t>86.98</w:t>
      </w:r>
      <w:r>
        <w:rPr>
          <w:rFonts w:hint="eastAsia" w:ascii="仿宋_GB2312" w:hAnsi="仿宋_GB2312" w:eastAsia="仿宋_GB2312" w:cs="仿宋_GB2312"/>
          <w:b w:val="0"/>
          <w:i w:val="0"/>
          <w:color w:val="000000"/>
          <w:spacing w:val="0"/>
          <w:sz w:val="32"/>
          <w:szCs w:val="32"/>
        </w:rPr>
        <w:t>分（满分100分），评价等级为“</w:t>
      </w:r>
      <w:r>
        <w:rPr>
          <w:rFonts w:hint="eastAsia" w:ascii="仿宋_GB2312" w:hAnsi="仿宋_GB2312" w:eastAsia="仿宋_GB2312" w:cs="仿宋_GB2312"/>
          <w:b w:val="0"/>
          <w:i w:val="0"/>
          <w:color w:val="000000"/>
          <w:spacing w:val="0"/>
          <w:sz w:val="32"/>
          <w:szCs w:val="32"/>
          <w:lang w:val="en-US" w:eastAsia="zh-CN"/>
        </w:rPr>
        <w:t>良好</w:t>
      </w:r>
      <w:r>
        <w:rPr>
          <w:rFonts w:hint="eastAsia" w:ascii="仿宋_GB2312" w:hAnsi="仿宋_GB2312" w:eastAsia="仿宋_GB2312" w:cs="仿宋_GB2312"/>
          <w:b w:val="0"/>
          <w:i w:val="0"/>
          <w:color w:val="000000"/>
          <w:spacing w:val="0"/>
          <w:sz w:val="32"/>
          <w:szCs w:val="32"/>
        </w:rPr>
        <w:t>”</w:t>
      </w:r>
      <w:bookmarkStart w:id="0" w:name="_GoBack"/>
      <w:bookmarkEnd w:id="0"/>
      <w:r>
        <w:rPr>
          <w:rFonts w:hint="eastAsia" w:ascii="仿宋_GB2312" w:hAnsi="仿宋_GB2312" w:eastAsia="仿宋_GB2312" w:cs="仿宋_GB2312"/>
          <w:b w:val="0"/>
          <w:i w:val="0"/>
          <w:color w:val="000000"/>
          <w:spacing w:val="0"/>
          <w:sz w:val="32"/>
          <w:szCs w:val="32"/>
        </w:rPr>
        <w:t>。项目在资金使用合规性、等方面表现良好，社会效益显著。</w:t>
      </w:r>
    </w:p>
    <w:p w14:paraId="4A225C8C">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kern w:val="2"/>
          <w:sz w:val="32"/>
          <w:szCs w:val="32"/>
          <w:lang w:val="en-US" w:eastAsia="zh-CN" w:bidi="ar-SA"/>
        </w:rPr>
        <w:t>（二）</w:t>
      </w:r>
      <w:r>
        <w:rPr>
          <w:rFonts w:hint="eastAsia" w:ascii="楷体_GB2312" w:hAnsi="楷体_GB2312" w:eastAsia="楷体_GB2312" w:cs="楷体_GB2312"/>
          <w:color w:val="auto"/>
          <w:spacing w:val="0"/>
          <w:sz w:val="32"/>
          <w:szCs w:val="32"/>
        </w:rPr>
        <w:t>绩效目标实现情况等。</w:t>
      </w:r>
    </w:p>
    <w:p w14:paraId="52A39EAB">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 xml:space="preserve">   在财政资金未注入的客观条件下，国投公司通过自身努力，部分核心绩效目标仍取得积极进展：</w:t>
      </w:r>
    </w:p>
    <w:p w14:paraId="0209FC9D">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经济效益目标：营业收入、利润总额、纳税金额等关键指标实现同比增长，企业保持盈利，债务本息按时偿还，展现出较强的内生增长能力和财务稳健性。</w:t>
      </w:r>
    </w:p>
    <w:p w14:paraId="3BEA7FC4">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资产管理目标：国有资产实现保值增值，运营效能持续提升。</w:t>
      </w:r>
    </w:p>
    <w:p w14:paraId="308114F4">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社会效益目标：在促进就业、履行社会责任方面表现良好，综合满意度调查结果优秀。</w:t>
      </w:r>
    </w:p>
    <w:p w14:paraId="19BCE3E9">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lang w:val="en-US" w:eastAsia="zh-CN"/>
        </w:rPr>
        <w:t>四、</w:t>
      </w:r>
      <w:r>
        <w:rPr>
          <w:rFonts w:hint="eastAsia" w:ascii="黑体" w:hAnsi="黑体" w:eastAsia="黑体" w:cs="黑体"/>
          <w:color w:val="auto"/>
          <w:spacing w:val="0"/>
          <w:sz w:val="32"/>
          <w:szCs w:val="32"/>
        </w:rPr>
        <w:t>绩效评价指标分析</w:t>
      </w:r>
    </w:p>
    <w:p w14:paraId="76D60F2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根据《</w:t>
      </w:r>
      <w:r>
        <w:rPr>
          <w:rFonts w:hint="eastAsia" w:ascii="仿宋_GB2312" w:hAnsi="仿宋_GB2312" w:eastAsia="仿宋_GB2312" w:cs="仿宋_GB2312"/>
          <w:color w:val="000000"/>
          <w:spacing w:val="0"/>
          <w:kern w:val="0"/>
          <w:sz w:val="32"/>
          <w:szCs w:val="32"/>
          <w:lang w:val="en-US" w:eastAsia="zh-CN" w:bidi="ar"/>
        </w:rPr>
        <w:t>国有资本金注入-国投日常经营”项目</w:t>
      </w:r>
      <w:r>
        <w:rPr>
          <w:rFonts w:hint="eastAsia" w:ascii="仿宋_GB2312" w:hAnsi="仿宋_GB2312" w:eastAsia="仿宋_GB2312" w:cs="仿宋_GB2312"/>
          <w:b w:val="0"/>
          <w:bCs/>
          <w:i w:val="0"/>
          <w:color w:val="000000"/>
          <w:spacing w:val="0"/>
          <w:sz w:val="32"/>
          <w:szCs w:val="32"/>
        </w:rPr>
        <w:t>》表格内容，</w:t>
      </w:r>
      <w:r>
        <w:rPr>
          <w:rFonts w:hint="eastAsia" w:ascii="仿宋_GB2312" w:hAnsi="仿宋_GB2312" w:eastAsia="仿宋_GB2312" w:cs="仿宋_GB2312"/>
          <w:b w:val="0"/>
          <w:i w:val="0"/>
          <w:color w:val="000000"/>
          <w:spacing w:val="0"/>
          <w:sz w:val="32"/>
          <w:szCs w:val="32"/>
          <w:lang w:val="en-US" w:eastAsia="zh-CN"/>
        </w:rPr>
        <w:t>投日常运营经营</w:t>
      </w:r>
      <w:r>
        <w:rPr>
          <w:rFonts w:hint="eastAsia" w:ascii="仿宋_GB2312" w:hAnsi="仿宋_GB2312" w:eastAsia="仿宋_GB2312" w:cs="仿宋_GB2312"/>
          <w:b w:val="0"/>
          <w:i w:val="0"/>
          <w:color w:val="000000"/>
          <w:spacing w:val="0"/>
          <w:sz w:val="32"/>
          <w:szCs w:val="32"/>
        </w:rPr>
        <w:t>项目</w:t>
      </w:r>
      <w:r>
        <w:rPr>
          <w:rFonts w:hint="eastAsia" w:ascii="仿宋_GB2312" w:hAnsi="仿宋_GB2312" w:eastAsia="仿宋_GB2312" w:cs="仿宋_GB2312"/>
          <w:b w:val="0"/>
          <w:bCs/>
          <w:i w:val="0"/>
          <w:color w:val="000000"/>
          <w:spacing w:val="0"/>
          <w:sz w:val="32"/>
          <w:szCs w:val="32"/>
          <w:lang w:val="en-US" w:eastAsia="zh-CN"/>
        </w:rPr>
        <w:t>自评总分90分</w:t>
      </w:r>
      <w:r>
        <w:rPr>
          <w:rFonts w:hint="eastAsia" w:ascii="仿宋_GB2312" w:hAnsi="仿宋_GB2312" w:eastAsia="仿宋_GB2312" w:cs="仿宋_GB2312"/>
          <w:b w:val="0"/>
          <w:bCs/>
          <w:i w:val="0"/>
          <w:color w:val="000000"/>
          <w:spacing w:val="0"/>
          <w:sz w:val="32"/>
          <w:szCs w:val="32"/>
          <w:lang w:eastAsia="zh-CN"/>
        </w:rPr>
        <w:t>，</w:t>
      </w:r>
      <w:r>
        <w:rPr>
          <w:rFonts w:hint="eastAsia" w:ascii="仿宋_GB2312" w:hAnsi="仿宋_GB2312" w:eastAsia="仿宋_GB2312" w:cs="仿宋_GB2312"/>
          <w:b w:val="0"/>
          <w:bCs/>
          <w:i w:val="0"/>
          <w:color w:val="000000"/>
          <w:spacing w:val="0"/>
          <w:sz w:val="32"/>
          <w:szCs w:val="32"/>
        </w:rPr>
        <w:t>以下是对各绩效评价指标的详细分析：</w:t>
      </w:r>
    </w:p>
    <w:p w14:paraId="3EEC5F9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lang w:val="en-US" w:eastAsia="zh-CN"/>
        </w:rPr>
        <w:t>过程</w:t>
      </w:r>
      <w:r>
        <w:rPr>
          <w:rFonts w:hint="eastAsia" w:ascii="仿宋_GB2312" w:hAnsi="仿宋_GB2312" w:eastAsia="仿宋_GB2312" w:cs="仿宋_GB2312"/>
          <w:b w:val="0"/>
          <w:bCs/>
          <w:i w:val="0"/>
          <w:color w:val="000000"/>
          <w:spacing w:val="0"/>
          <w:sz w:val="32"/>
          <w:szCs w:val="32"/>
        </w:rPr>
        <w:t>指标（总分</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分）</w:t>
      </w:r>
    </w:p>
    <w:p w14:paraId="75BB744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lang w:val="en-US" w:eastAsia="zh-CN"/>
        </w:rPr>
        <w:t>产出</w:t>
      </w:r>
      <w:r>
        <w:rPr>
          <w:rFonts w:hint="eastAsia" w:ascii="仿宋_GB2312" w:hAnsi="仿宋_GB2312" w:eastAsia="仿宋_GB2312" w:cs="仿宋_GB2312"/>
          <w:b w:val="0"/>
          <w:bCs/>
          <w:i w:val="0"/>
          <w:color w:val="000000"/>
          <w:spacing w:val="0"/>
          <w:sz w:val="32"/>
          <w:szCs w:val="32"/>
        </w:rPr>
        <w:t>指标（总分</w:t>
      </w:r>
      <w:r>
        <w:rPr>
          <w:rFonts w:hint="eastAsia" w:ascii="仿宋_GB2312" w:hAnsi="仿宋_GB2312" w:eastAsia="仿宋_GB2312" w:cs="仿宋_GB2312"/>
          <w:b w:val="0"/>
          <w:bCs/>
          <w:i w:val="0"/>
          <w:color w:val="000000"/>
          <w:spacing w:val="0"/>
          <w:sz w:val="32"/>
          <w:szCs w:val="32"/>
          <w:lang w:val="en-US" w:eastAsia="zh-CN"/>
        </w:rPr>
        <w:t>50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46.98</w:t>
      </w:r>
      <w:r>
        <w:rPr>
          <w:rFonts w:hint="eastAsia" w:ascii="仿宋_GB2312" w:hAnsi="仿宋_GB2312" w:eastAsia="仿宋_GB2312" w:cs="仿宋_GB2312"/>
          <w:b w:val="0"/>
          <w:bCs/>
          <w:i w:val="0"/>
          <w:color w:val="000000"/>
          <w:spacing w:val="0"/>
          <w:sz w:val="32"/>
          <w:szCs w:val="32"/>
        </w:rPr>
        <w:t>分）</w:t>
      </w:r>
    </w:p>
    <w:p w14:paraId="2D14AB5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bCs/>
          <w:i w:val="0"/>
          <w:color w:val="000000"/>
          <w:spacing w:val="0"/>
          <w:sz w:val="32"/>
          <w:szCs w:val="32"/>
          <w:lang w:val="en-US" w:eastAsia="zh-CN"/>
        </w:rPr>
        <w:t>效益</w:t>
      </w:r>
      <w:r>
        <w:rPr>
          <w:rFonts w:hint="eastAsia" w:ascii="仿宋_GB2312" w:hAnsi="仿宋_GB2312" w:eastAsia="仿宋_GB2312" w:cs="仿宋_GB2312"/>
          <w:b w:val="0"/>
          <w:bCs/>
          <w:i w:val="0"/>
          <w:color w:val="000000"/>
          <w:spacing w:val="0"/>
          <w:sz w:val="32"/>
          <w:szCs w:val="32"/>
        </w:rPr>
        <w:t>指标（总分</w:t>
      </w:r>
      <w:r>
        <w:rPr>
          <w:rFonts w:hint="eastAsia" w:ascii="仿宋_GB2312" w:hAnsi="仿宋_GB2312" w:eastAsia="仿宋_GB2312" w:cs="仿宋_GB2312"/>
          <w:b w:val="0"/>
          <w:bCs/>
          <w:i w:val="0"/>
          <w:color w:val="000000"/>
          <w:spacing w:val="0"/>
          <w:sz w:val="32"/>
          <w:szCs w:val="32"/>
          <w:lang w:val="en-US" w:eastAsia="zh-CN"/>
        </w:rPr>
        <w:t>40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40</w:t>
      </w:r>
      <w:r>
        <w:rPr>
          <w:rFonts w:hint="eastAsia" w:ascii="仿宋_GB2312" w:hAnsi="仿宋_GB2312" w:eastAsia="仿宋_GB2312" w:cs="仿宋_GB2312"/>
          <w:b w:val="0"/>
          <w:bCs/>
          <w:i w:val="0"/>
          <w:color w:val="000000"/>
          <w:spacing w:val="0"/>
          <w:sz w:val="32"/>
          <w:szCs w:val="32"/>
        </w:rPr>
        <w:t>分）</w:t>
      </w:r>
    </w:p>
    <w:p w14:paraId="3CDAA29E">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w:t>
      </w:r>
      <w:r>
        <w:rPr>
          <w:rFonts w:hint="eastAsia" w:ascii="楷体_GB2312" w:hAnsi="楷体_GB2312" w:eastAsia="楷体_GB2312" w:cs="楷体_GB2312"/>
          <w:color w:val="auto"/>
          <w:spacing w:val="0"/>
          <w:sz w:val="32"/>
          <w:szCs w:val="32"/>
          <w:lang w:val="en-US" w:eastAsia="zh-CN"/>
        </w:rPr>
        <w:t>一</w:t>
      </w:r>
      <w:r>
        <w:rPr>
          <w:rFonts w:hint="eastAsia" w:ascii="楷体_GB2312" w:hAnsi="楷体_GB2312" w:eastAsia="楷体_GB2312" w:cs="楷体_GB2312"/>
          <w:color w:val="auto"/>
          <w:spacing w:val="0"/>
          <w:sz w:val="32"/>
          <w:szCs w:val="32"/>
        </w:rPr>
        <w:t>）项目过程情况分析。</w:t>
      </w:r>
    </w:p>
    <w:p w14:paraId="043EAB4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过程情况包括资金管理和组织实施两方面。该项满分为</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分，重点绩效评价得分</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%，本维度得分为零，直接原因是财政资金未能按计划拨付至项目单位，导致既定的资金管理流程和预算无法执行</w:t>
      </w:r>
      <w:r>
        <w:rPr>
          <w:rFonts w:hint="eastAsia" w:ascii="仿宋_GB2312" w:hAnsi="仿宋_GB2312" w:eastAsia="仿宋_GB2312" w:cs="仿宋_GB2312"/>
          <w:b w:val="0"/>
          <w:bCs/>
          <w:i w:val="0"/>
          <w:color w:val="000000"/>
          <w:spacing w:val="0"/>
          <w:sz w:val="32"/>
          <w:szCs w:val="32"/>
          <w:lang w:eastAsia="zh-CN"/>
        </w:rPr>
        <w:t>，</w:t>
      </w:r>
      <w:r>
        <w:rPr>
          <w:rFonts w:hint="eastAsia" w:ascii="仿宋_GB2312" w:hAnsi="仿宋_GB2312" w:eastAsia="仿宋_GB2312" w:cs="仿宋_GB2312"/>
          <w:b w:val="0"/>
          <w:bCs/>
          <w:i w:val="0"/>
          <w:color w:val="000000"/>
          <w:spacing w:val="0"/>
          <w:sz w:val="32"/>
          <w:szCs w:val="32"/>
        </w:rPr>
        <w:t>具体情况分析如下：</w:t>
      </w:r>
    </w:p>
    <w:p w14:paraId="296B45EF">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资金管理下设预算执行率、资金到位率2个三级指标，指标权重</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0%。</w:t>
      </w:r>
    </w:p>
    <w:p w14:paraId="7C8B348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（1）预算执行率：指标分值</w:t>
      </w:r>
      <w:r>
        <w:rPr>
          <w:rFonts w:hint="eastAsia" w:ascii="仿宋_GB2312" w:hAnsi="仿宋_GB2312" w:eastAsia="仿宋_GB2312" w:cs="仿宋_GB2312"/>
          <w:b w:val="0"/>
          <w:bCs/>
          <w:i w:val="0"/>
          <w:color w:val="000000"/>
          <w:spacing w:val="0"/>
          <w:sz w:val="32"/>
          <w:szCs w:val="32"/>
          <w:lang w:val="en-US" w:eastAsia="zh-CN"/>
        </w:rPr>
        <w:t>5</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%。截止202</w:t>
      </w:r>
      <w:r>
        <w:rPr>
          <w:rFonts w:hint="eastAsia" w:ascii="仿宋_GB2312" w:hAnsi="仿宋_GB2312" w:eastAsia="仿宋_GB2312" w:cs="仿宋_GB2312"/>
          <w:b w:val="0"/>
          <w:bCs/>
          <w:i w:val="0"/>
          <w:color w:val="000000"/>
          <w:spacing w:val="0"/>
          <w:sz w:val="32"/>
          <w:szCs w:val="32"/>
          <w:lang w:val="en-US" w:eastAsia="zh-CN"/>
        </w:rPr>
        <w:t>5</w:t>
      </w:r>
      <w:r>
        <w:rPr>
          <w:rFonts w:hint="eastAsia" w:ascii="仿宋_GB2312" w:hAnsi="仿宋_GB2312" w:eastAsia="仿宋_GB2312" w:cs="仿宋_GB2312"/>
          <w:b w:val="0"/>
          <w:bCs/>
          <w:i w:val="0"/>
          <w:color w:val="000000"/>
          <w:spacing w:val="0"/>
          <w:sz w:val="32"/>
          <w:szCs w:val="32"/>
        </w:rPr>
        <w:t>年12月31日，项目到位区级财政国有资本金注入专项资金</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万元，预算执行率</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w:t>
      </w:r>
    </w:p>
    <w:p w14:paraId="5ED07B6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bCs/>
          <w:i w:val="0"/>
          <w:color w:val="000000"/>
          <w:spacing w:val="0"/>
          <w:sz w:val="32"/>
          <w:szCs w:val="32"/>
        </w:rPr>
        <w:t>（2）资金到位率：指标分值</w:t>
      </w:r>
      <w:r>
        <w:rPr>
          <w:rFonts w:hint="eastAsia" w:ascii="仿宋_GB2312" w:hAnsi="仿宋_GB2312" w:eastAsia="仿宋_GB2312" w:cs="仿宋_GB2312"/>
          <w:b w:val="0"/>
          <w:bCs/>
          <w:i w:val="0"/>
          <w:color w:val="000000"/>
          <w:spacing w:val="0"/>
          <w:sz w:val="32"/>
          <w:szCs w:val="32"/>
          <w:lang w:val="en-US" w:eastAsia="zh-CN"/>
        </w:rPr>
        <w:t>5</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w:t>
      </w:r>
      <w:r>
        <w:rPr>
          <w:rFonts w:hint="eastAsia" w:ascii="仿宋_GB2312" w:hAnsi="仿宋_GB2312" w:eastAsia="仿宋_GB2312" w:cs="仿宋_GB2312"/>
          <w:b w:val="0"/>
          <w:bCs/>
          <w:i w:val="0"/>
          <w:color w:val="000000"/>
          <w:spacing w:val="0"/>
          <w:sz w:val="32"/>
          <w:szCs w:val="32"/>
          <w:lang w:eastAsia="zh-CN"/>
        </w:rPr>
        <w:t>，</w:t>
      </w:r>
      <w:r>
        <w:rPr>
          <w:rFonts w:hint="eastAsia" w:ascii="仿宋_GB2312" w:hAnsi="仿宋_GB2312" w:eastAsia="仿宋_GB2312" w:cs="仿宋_GB2312"/>
          <w:b w:val="0"/>
          <w:bCs/>
          <w:i w:val="0"/>
          <w:color w:val="000000"/>
          <w:spacing w:val="0"/>
          <w:sz w:val="32"/>
          <w:szCs w:val="32"/>
        </w:rPr>
        <w:t>项目到位区级财政国有资本金注入专项资金</w:t>
      </w:r>
      <w:r>
        <w:rPr>
          <w:rFonts w:hint="eastAsia" w:ascii="仿宋_GB2312" w:hAnsi="仿宋_GB2312" w:eastAsia="仿宋_GB2312" w:cs="仿宋_GB2312"/>
          <w:b w:val="0"/>
          <w:bCs/>
          <w:i w:val="0"/>
          <w:color w:val="000000"/>
          <w:spacing w:val="0"/>
          <w:sz w:val="32"/>
          <w:szCs w:val="32"/>
          <w:lang w:val="en-US" w:eastAsia="zh-CN"/>
        </w:rPr>
        <w:t>0</w:t>
      </w:r>
      <w:r>
        <w:rPr>
          <w:rFonts w:hint="eastAsia" w:ascii="仿宋_GB2312" w:hAnsi="仿宋_GB2312" w:eastAsia="仿宋_GB2312" w:cs="仿宋_GB2312"/>
          <w:b w:val="0"/>
          <w:bCs/>
          <w:i w:val="0"/>
          <w:color w:val="000000"/>
          <w:spacing w:val="0"/>
          <w:sz w:val="32"/>
          <w:szCs w:val="32"/>
        </w:rPr>
        <w:t>万元，</w:t>
      </w:r>
      <w:r>
        <w:rPr>
          <w:rFonts w:hint="eastAsia" w:ascii="仿宋_GB2312" w:hAnsi="仿宋_GB2312" w:eastAsia="仿宋_GB2312" w:cs="仿宋_GB2312"/>
          <w:b w:val="0"/>
          <w:bCs/>
          <w:i w:val="0"/>
          <w:color w:val="000000"/>
          <w:spacing w:val="0"/>
          <w:sz w:val="32"/>
          <w:szCs w:val="32"/>
          <w:lang w:val="en-US" w:eastAsia="zh-CN"/>
        </w:rPr>
        <w:t>资金到位率0</w:t>
      </w:r>
      <w:r>
        <w:rPr>
          <w:rFonts w:hint="eastAsia" w:ascii="仿宋_GB2312" w:hAnsi="仿宋_GB2312" w:eastAsia="仿宋_GB2312" w:cs="仿宋_GB2312"/>
          <w:b w:val="0"/>
          <w:bCs/>
          <w:i w:val="0"/>
          <w:color w:val="000000"/>
          <w:spacing w:val="0"/>
          <w:sz w:val="32"/>
          <w:szCs w:val="32"/>
        </w:rPr>
        <w:t>%。项目所需财政资金全额未到位，资金到位率为0。资金缺口完全由企业自筹资金弥补。</w:t>
      </w:r>
    </w:p>
    <w:p w14:paraId="77B39B91">
      <w:pPr>
        <w:keepNext w:val="0"/>
        <w:keepLines w:val="0"/>
        <w:pageBreakBefore w:val="0"/>
        <w:widowControl w:val="0"/>
        <w:numPr>
          <w:ilvl w:val="0"/>
          <w:numId w:val="1"/>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项目产出情况分析。</w:t>
      </w:r>
    </w:p>
    <w:p w14:paraId="1D125C5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产出情况包括产出数量、产出质量、产出时效</w:t>
      </w:r>
      <w:r>
        <w:rPr>
          <w:rFonts w:hint="eastAsia" w:ascii="仿宋_GB2312" w:hAnsi="仿宋_GB2312" w:eastAsia="仿宋_GB2312" w:cs="仿宋_GB2312"/>
          <w:b w:val="0"/>
          <w:bCs/>
          <w:i w:val="0"/>
          <w:color w:val="000000"/>
          <w:spacing w:val="0"/>
          <w:sz w:val="32"/>
          <w:szCs w:val="32"/>
          <w:lang w:eastAsia="zh-CN"/>
        </w:rPr>
        <w:t>、成本指标</w:t>
      </w:r>
      <w:r>
        <w:rPr>
          <w:rFonts w:hint="eastAsia" w:ascii="仿宋_GB2312" w:hAnsi="仿宋_GB2312" w:eastAsia="仿宋_GB2312" w:cs="仿宋_GB2312"/>
          <w:b w:val="0"/>
          <w:bCs/>
          <w:i w:val="0"/>
          <w:color w:val="000000"/>
          <w:spacing w:val="0"/>
          <w:sz w:val="32"/>
          <w:szCs w:val="32"/>
          <w:lang w:val="en-US" w:eastAsia="zh-CN"/>
        </w:rPr>
        <w:t>四</w:t>
      </w:r>
      <w:r>
        <w:rPr>
          <w:rFonts w:hint="eastAsia" w:ascii="仿宋_GB2312" w:hAnsi="仿宋_GB2312" w:eastAsia="仿宋_GB2312" w:cs="仿宋_GB2312"/>
          <w:b w:val="0"/>
          <w:bCs/>
          <w:i w:val="0"/>
          <w:color w:val="000000"/>
          <w:spacing w:val="0"/>
          <w:sz w:val="32"/>
          <w:szCs w:val="32"/>
        </w:rPr>
        <w:t>个方面。该项满分为</w:t>
      </w:r>
      <w:r>
        <w:rPr>
          <w:rFonts w:hint="eastAsia" w:ascii="仿宋_GB2312" w:hAnsi="仿宋_GB2312" w:eastAsia="仿宋_GB2312" w:cs="仿宋_GB2312"/>
          <w:b w:val="0"/>
          <w:bCs/>
          <w:i w:val="0"/>
          <w:color w:val="000000"/>
          <w:spacing w:val="0"/>
          <w:sz w:val="32"/>
          <w:szCs w:val="32"/>
          <w:lang w:val="en-US" w:eastAsia="zh-CN"/>
        </w:rPr>
        <w:t>50</w:t>
      </w:r>
      <w:r>
        <w:rPr>
          <w:rFonts w:hint="eastAsia" w:ascii="仿宋_GB2312" w:hAnsi="仿宋_GB2312" w:eastAsia="仿宋_GB2312" w:cs="仿宋_GB2312"/>
          <w:b w:val="0"/>
          <w:bCs/>
          <w:i w:val="0"/>
          <w:color w:val="000000"/>
          <w:spacing w:val="0"/>
          <w:sz w:val="32"/>
          <w:szCs w:val="32"/>
        </w:rPr>
        <w:t>分，重点绩效评价得分</w:t>
      </w:r>
      <w:r>
        <w:rPr>
          <w:rFonts w:hint="eastAsia" w:ascii="仿宋_GB2312" w:hAnsi="仿宋_GB2312" w:eastAsia="仿宋_GB2312" w:cs="仿宋_GB2312"/>
          <w:b w:val="0"/>
          <w:bCs/>
          <w:i w:val="0"/>
          <w:color w:val="000000"/>
          <w:spacing w:val="0"/>
          <w:sz w:val="32"/>
          <w:szCs w:val="32"/>
          <w:lang w:val="en-US" w:eastAsia="zh-CN"/>
        </w:rPr>
        <w:t>46.98</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93.96</w:t>
      </w:r>
      <w:r>
        <w:rPr>
          <w:rFonts w:hint="eastAsia" w:ascii="仿宋_GB2312" w:hAnsi="仿宋_GB2312" w:eastAsia="仿宋_GB2312" w:cs="仿宋_GB2312"/>
          <w:b w:val="0"/>
          <w:bCs/>
          <w:i w:val="0"/>
          <w:color w:val="000000"/>
          <w:spacing w:val="0"/>
          <w:sz w:val="32"/>
          <w:szCs w:val="32"/>
        </w:rPr>
        <w:t>%，具体情况分析如下：</w:t>
      </w:r>
    </w:p>
    <w:p w14:paraId="0B49A4D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2"/>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1.产出数量情况</w:t>
      </w:r>
    </w:p>
    <w:p w14:paraId="1631F2C1">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auto"/>
          <w:spacing w:val="0"/>
          <w:sz w:val="32"/>
          <w:szCs w:val="32"/>
        </w:rPr>
      </w:pPr>
      <w:r>
        <w:rPr>
          <w:rFonts w:hint="eastAsia" w:ascii="仿宋_GB2312" w:hAnsi="仿宋_GB2312" w:eastAsia="仿宋_GB2312" w:cs="仿宋_GB2312"/>
          <w:b w:val="0"/>
          <w:bCs/>
          <w:i w:val="0"/>
          <w:color w:val="auto"/>
          <w:spacing w:val="0"/>
          <w:sz w:val="32"/>
          <w:szCs w:val="32"/>
        </w:rPr>
        <w:t>产出数量指标下设企业经营收入与上年数相比</w:t>
      </w:r>
      <w:r>
        <w:rPr>
          <w:rFonts w:hint="eastAsia" w:ascii="仿宋_GB2312" w:hAnsi="仿宋_GB2312" w:eastAsia="仿宋_GB2312" w:cs="仿宋_GB2312"/>
          <w:b w:val="0"/>
          <w:bCs/>
          <w:i w:val="0"/>
          <w:color w:val="auto"/>
          <w:spacing w:val="0"/>
          <w:sz w:val="32"/>
          <w:szCs w:val="32"/>
          <w:lang w:eastAsia="zh-CN"/>
        </w:rPr>
        <w:t>、营业收入增长、利润总额</w:t>
      </w:r>
      <w:r>
        <w:rPr>
          <w:rFonts w:hint="eastAsia" w:ascii="仿宋_GB2312" w:hAnsi="仿宋_GB2312" w:eastAsia="仿宋_GB2312" w:cs="仿宋_GB2312"/>
          <w:b w:val="0"/>
          <w:bCs/>
          <w:i w:val="0"/>
          <w:color w:val="auto"/>
          <w:spacing w:val="0"/>
          <w:sz w:val="32"/>
          <w:szCs w:val="32"/>
          <w:lang w:val="en-US" w:eastAsia="zh-CN"/>
        </w:rPr>
        <w:t>3</w:t>
      </w:r>
      <w:r>
        <w:rPr>
          <w:rFonts w:hint="eastAsia" w:ascii="仿宋_GB2312" w:hAnsi="仿宋_GB2312" w:eastAsia="仿宋_GB2312" w:cs="仿宋_GB2312"/>
          <w:b w:val="0"/>
          <w:bCs/>
          <w:i w:val="0"/>
          <w:color w:val="auto"/>
          <w:spacing w:val="0"/>
          <w:sz w:val="32"/>
          <w:szCs w:val="32"/>
        </w:rPr>
        <w:t>个三级指标，企业经营收入与上年数相比是否增长、12345热线投诉办结率、利润总额三项指标均实现同比增长，全面完成设定目标，公司业务规模和盈利规模持续扩大。指标权重</w:t>
      </w:r>
      <w:r>
        <w:rPr>
          <w:rFonts w:hint="eastAsia" w:ascii="仿宋_GB2312" w:hAnsi="仿宋_GB2312" w:eastAsia="仿宋_GB2312" w:cs="仿宋_GB2312"/>
          <w:b w:val="0"/>
          <w:bCs/>
          <w:i w:val="0"/>
          <w:color w:val="auto"/>
          <w:spacing w:val="0"/>
          <w:sz w:val="32"/>
          <w:szCs w:val="32"/>
          <w:lang w:val="en-US" w:eastAsia="zh-CN"/>
        </w:rPr>
        <w:t>18</w:t>
      </w:r>
      <w:r>
        <w:rPr>
          <w:rFonts w:hint="eastAsia" w:ascii="仿宋_GB2312" w:hAnsi="仿宋_GB2312" w:eastAsia="仿宋_GB2312" w:cs="仿宋_GB2312"/>
          <w:b w:val="0"/>
          <w:bCs/>
          <w:i w:val="0"/>
          <w:color w:val="auto"/>
          <w:spacing w:val="0"/>
          <w:sz w:val="32"/>
          <w:szCs w:val="32"/>
        </w:rPr>
        <w:t>分，实际得分</w:t>
      </w:r>
      <w:r>
        <w:rPr>
          <w:rFonts w:hint="eastAsia" w:ascii="仿宋_GB2312" w:hAnsi="仿宋_GB2312" w:eastAsia="仿宋_GB2312" w:cs="仿宋_GB2312"/>
          <w:b w:val="0"/>
          <w:bCs/>
          <w:i w:val="0"/>
          <w:color w:val="auto"/>
          <w:spacing w:val="0"/>
          <w:sz w:val="32"/>
          <w:szCs w:val="32"/>
          <w:lang w:val="en-US" w:eastAsia="zh-CN"/>
        </w:rPr>
        <w:t>14.98</w:t>
      </w:r>
      <w:r>
        <w:rPr>
          <w:rFonts w:hint="eastAsia" w:ascii="仿宋_GB2312" w:hAnsi="仿宋_GB2312" w:eastAsia="仿宋_GB2312" w:cs="仿宋_GB2312"/>
          <w:b w:val="0"/>
          <w:bCs/>
          <w:i w:val="0"/>
          <w:color w:val="auto"/>
          <w:spacing w:val="0"/>
          <w:sz w:val="32"/>
          <w:szCs w:val="32"/>
        </w:rPr>
        <w:t>分，得分率</w:t>
      </w:r>
      <w:r>
        <w:rPr>
          <w:rFonts w:hint="eastAsia" w:ascii="仿宋_GB2312" w:hAnsi="仿宋_GB2312" w:eastAsia="仿宋_GB2312" w:cs="仿宋_GB2312"/>
          <w:b w:val="0"/>
          <w:bCs/>
          <w:i w:val="0"/>
          <w:color w:val="auto"/>
          <w:spacing w:val="0"/>
          <w:sz w:val="32"/>
          <w:szCs w:val="32"/>
          <w:lang w:val="en-US" w:eastAsia="zh-CN"/>
        </w:rPr>
        <w:t>100</w:t>
      </w:r>
      <w:r>
        <w:rPr>
          <w:rFonts w:hint="eastAsia" w:ascii="仿宋_GB2312" w:hAnsi="仿宋_GB2312" w:eastAsia="仿宋_GB2312" w:cs="仿宋_GB2312"/>
          <w:b w:val="0"/>
          <w:bCs/>
          <w:i w:val="0"/>
          <w:color w:val="auto"/>
          <w:spacing w:val="0"/>
          <w:sz w:val="32"/>
          <w:szCs w:val="32"/>
        </w:rPr>
        <w:t>%。</w:t>
      </w:r>
    </w:p>
    <w:p w14:paraId="08831A42">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auto"/>
          <w:spacing w:val="0"/>
          <w:sz w:val="32"/>
          <w:szCs w:val="32"/>
          <w:lang w:val="en-US" w:eastAsia="zh-CN"/>
        </w:rPr>
      </w:pPr>
      <w:r>
        <w:rPr>
          <w:rFonts w:hint="eastAsia" w:ascii="仿宋_GB2312" w:hAnsi="仿宋_GB2312" w:eastAsia="仿宋_GB2312" w:cs="仿宋_GB2312"/>
          <w:b w:val="0"/>
          <w:bCs/>
          <w:i w:val="0"/>
          <w:color w:val="auto"/>
          <w:spacing w:val="0"/>
          <w:sz w:val="32"/>
          <w:szCs w:val="32"/>
        </w:rPr>
        <w:t>企业经营收入与上年数相比是否增长：指标分值</w:t>
      </w:r>
      <w:r>
        <w:rPr>
          <w:rFonts w:hint="eastAsia" w:ascii="仿宋_GB2312" w:hAnsi="仿宋_GB2312" w:eastAsia="仿宋_GB2312" w:cs="仿宋_GB2312"/>
          <w:b w:val="0"/>
          <w:bCs/>
          <w:i w:val="0"/>
          <w:color w:val="auto"/>
          <w:spacing w:val="0"/>
          <w:sz w:val="32"/>
          <w:szCs w:val="32"/>
          <w:lang w:val="en-US" w:eastAsia="zh-CN"/>
        </w:rPr>
        <w:t>6</w:t>
      </w:r>
      <w:r>
        <w:rPr>
          <w:rFonts w:hint="eastAsia" w:ascii="仿宋_GB2312" w:hAnsi="仿宋_GB2312" w:eastAsia="仿宋_GB2312" w:cs="仿宋_GB2312"/>
          <w:b w:val="0"/>
          <w:bCs/>
          <w:i w:val="0"/>
          <w:color w:val="auto"/>
          <w:spacing w:val="0"/>
          <w:sz w:val="32"/>
          <w:szCs w:val="32"/>
        </w:rPr>
        <w:t>分，实际得分</w:t>
      </w:r>
      <w:r>
        <w:rPr>
          <w:rFonts w:hint="eastAsia" w:ascii="仿宋_GB2312" w:hAnsi="仿宋_GB2312" w:eastAsia="仿宋_GB2312" w:cs="仿宋_GB2312"/>
          <w:b w:val="0"/>
          <w:bCs/>
          <w:i w:val="0"/>
          <w:color w:val="auto"/>
          <w:spacing w:val="0"/>
          <w:sz w:val="32"/>
          <w:szCs w:val="32"/>
          <w:lang w:val="en-US" w:eastAsia="zh-CN"/>
        </w:rPr>
        <w:t>6</w:t>
      </w:r>
      <w:r>
        <w:rPr>
          <w:rFonts w:hint="eastAsia" w:ascii="仿宋_GB2312" w:hAnsi="仿宋_GB2312" w:eastAsia="仿宋_GB2312" w:cs="仿宋_GB2312"/>
          <w:b w:val="0"/>
          <w:bCs/>
          <w:i w:val="0"/>
          <w:color w:val="auto"/>
          <w:spacing w:val="0"/>
          <w:sz w:val="32"/>
          <w:szCs w:val="32"/>
        </w:rPr>
        <w:t>分，得分率</w:t>
      </w:r>
      <w:r>
        <w:rPr>
          <w:rFonts w:hint="eastAsia" w:ascii="仿宋_GB2312" w:hAnsi="仿宋_GB2312" w:eastAsia="仿宋_GB2312" w:cs="仿宋_GB2312"/>
          <w:b w:val="0"/>
          <w:bCs/>
          <w:i w:val="0"/>
          <w:color w:val="auto"/>
          <w:spacing w:val="0"/>
          <w:sz w:val="32"/>
          <w:szCs w:val="32"/>
          <w:lang w:val="en-US" w:eastAsia="zh-CN"/>
        </w:rPr>
        <w:t>100</w:t>
      </w:r>
      <w:r>
        <w:rPr>
          <w:rFonts w:hint="eastAsia" w:ascii="仿宋_GB2312" w:hAnsi="仿宋_GB2312" w:eastAsia="仿宋_GB2312" w:cs="仿宋_GB2312"/>
          <w:b w:val="0"/>
          <w:bCs/>
          <w:i w:val="0"/>
          <w:color w:val="auto"/>
          <w:spacing w:val="0"/>
          <w:sz w:val="32"/>
          <w:szCs w:val="32"/>
        </w:rPr>
        <w:t>%。</w:t>
      </w:r>
      <w:r>
        <w:rPr>
          <w:rFonts w:hint="eastAsia" w:ascii="仿宋_GB2312" w:hAnsi="仿宋_GB2312" w:eastAsia="仿宋_GB2312" w:cs="仿宋_GB2312"/>
          <w:b w:val="0"/>
          <w:bCs/>
          <w:i w:val="0"/>
          <w:color w:val="auto"/>
          <w:spacing w:val="0"/>
          <w:sz w:val="32"/>
          <w:szCs w:val="32"/>
          <w:lang w:val="en-US" w:eastAsia="zh-CN"/>
        </w:rPr>
        <w:t>2024年国投财务报表营业收入为9030.09万元，2025年国投财务报表营业收入为10635.31万元，国投营业收入实现增长。</w:t>
      </w:r>
    </w:p>
    <w:p w14:paraId="19F36645">
      <w:pPr>
        <w:keepNext w:val="0"/>
        <w:keepLines w:val="0"/>
        <w:pageBreakBefore w:val="0"/>
        <w:widowControl/>
        <w:numPr>
          <w:ilvl w:val="0"/>
          <w:numId w:val="2"/>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auto"/>
          <w:spacing w:val="0"/>
          <w:sz w:val="32"/>
          <w:szCs w:val="32"/>
          <w:lang w:val="en-US" w:eastAsia="zh-CN"/>
        </w:rPr>
      </w:pPr>
      <w:r>
        <w:rPr>
          <w:rFonts w:hint="eastAsia" w:ascii="仿宋_GB2312" w:hAnsi="仿宋_GB2312" w:eastAsia="仿宋_GB2312" w:cs="仿宋_GB2312"/>
          <w:b w:val="0"/>
          <w:bCs/>
          <w:i w:val="0"/>
          <w:color w:val="auto"/>
          <w:spacing w:val="0"/>
          <w:sz w:val="32"/>
          <w:szCs w:val="32"/>
          <w:lang w:val="en-US" w:eastAsia="zh-CN"/>
        </w:rPr>
        <w:t>（2）</w:t>
      </w:r>
      <w:r>
        <w:rPr>
          <w:rFonts w:hint="eastAsia" w:ascii="仿宋_GB2312" w:hAnsi="仿宋_GB2312" w:eastAsia="仿宋_GB2312" w:cs="仿宋_GB2312"/>
          <w:b w:val="0"/>
          <w:bCs/>
          <w:i w:val="0"/>
          <w:color w:val="auto"/>
          <w:spacing w:val="0"/>
          <w:sz w:val="32"/>
          <w:szCs w:val="32"/>
          <w:lang w:eastAsia="zh-CN"/>
        </w:rPr>
        <w:t>12345热线投诉办结率</w:t>
      </w:r>
      <w:r>
        <w:rPr>
          <w:rFonts w:hint="eastAsia" w:ascii="仿宋_GB2312" w:hAnsi="仿宋_GB2312" w:eastAsia="仿宋_GB2312" w:cs="仿宋_GB2312"/>
          <w:b w:val="0"/>
          <w:bCs/>
          <w:i w:val="0"/>
          <w:color w:val="auto"/>
          <w:spacing w:val="0"/>
          <w:sz w:val="32"/>
          <w:szCs w:val="32"/>
          <w:lang w:val="en-US" w:eastAsia="zh-CN"/>
        </w:rPr>
        <w:t>：指标分值6分，实际得分6分，得分率100%。2025年度度办理12345热线投诉753件，</w:t>
      </w:r>
      <w:r>
        <w:rPr>
          <w:rFonts w:hint="eastAsia" w:ascii="仿宋_GB2312" w:hAnsi="仿宋_GB2312" w:eastAsia="仿宋_GB2312" w:cs="仿宋_GB2312"/>
          <w:b w:val="0"/>
          <w:bCs/>
          <w:i w:val="0"/>
          <w:color w:val="auto"/>
          <w:spacing w:val="0"/>
          <w:kern w:val="2"/>
          <w:sz w:val="32"/>
          <w:szCs w:val="32"/>
          <w:lang w:val="en-US" w:eastAsia="zh-CN" w:bidi="ar-SA"/>
        </w:rPr>
        <w:t>均全部办结，结案率100%，回复满意率100%。</w:t>
      </w:r>
    </w:p>
    <w:p w14:paraId="2235D208">
      <w:pPr>
        <w:pStyle w:val="4"/>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9"/>
        <w:rPr>
          <w:rFonts w:hint="eastAsia" w:ascii="仿宋_GB2312" w:hAnsi="仿宋_GB2312" w:eastAsia="仿宋_GB2312" w:cs="仿宋_GB2312"/>
          <w:b w:val="0"/>
          <w:bCs/>
          <w:i w:val="0"/>
          <w:color w:val="000000"/>
          <w:spacing w:val="0"/>
          <w:sz w:val="32"/>
          <w:szCs w:val="32"/>
          <w:lang w:val="en-US" w:eastAsia="zh-CN"/>
          <w14:textFill>
            <w14:gradFill>
              <w14:gsLst>
                <w14:gs w14:pos="100000">
                  <w14:srgbClr w14:val="FF1744"/>
                </w14:gs>
                <w14:gs w14:pos="0">
                  <w14:srgbClr w14:val="FF8A80"/>
                </w14:gs>
              </w14:gsLst>
              <w14:path w14:path="circle">
                <w14:fillToRect w14:l="100000" w14:t="100000"/>
              </w14:path>
            </w14:gradFill>
          </w14:textFill>
        </w:rPr>
      </w:pPr>
      <w:r>
        <w:rPr>
          <w:rFonts w:hint="eastAsia" w:ascii="仿宋_GB2312" w:hAnsi="仿宋_GB2312" w:eastAsia="仿宋_GB2312" w:cs="仿宋_GB2312"/>
          <w:b w:val="0"/>
          <w:bCs/>
          <w:i w:val="0"/>
          <w:color w:val="auto"/>
          <w:spacing w:val="0"/>
          <w:sz w:val="32"/>
          <w:szCs w:val="32"/>
          <w:lang w:val="en-US" w:eastAsia="zh-CN"/>
        </w:rPr>
        <w:t xml:space="preserve">    （3）</w:t>
      </w:r>
      <w:r>
        <w:rPr>
          <w:rFonts w:hint="eastAsia" w:ascii="仿宋_GB2312" w:hAnsi="仿宋_GB2312" w:eastAsia="仿宋_GB2312" w:cs="仿宋_GB2312"/>
          <w:b w:val="0"/>
          <w:bCs/>
          <w:i w:val="0"/>
          <w:color w:val="auto"/>
          <w:spacing w:val="0"/>
          <w:sz w:val="32"/>
          <w:szCs w:val="32"/>
          <w:lang w:eastAsia="zh-CN"/>
        </w:rPr>
        <w:t>固定资产投资完成率</w:t>
      </w:r>
      <w:r>
        <w:rPr>
          <w:rFonts w:hint="eastAsia" w:ascii="仿宋_GB2312" w:hAnsi="仿宋_GB2312" w:eastAsia="仿宋_GB2312" w:cs="仿宋_GB2312"/>
          <w:b w:val="0"/>
          <w:bCs/>
          <w:i w:val="0"/>
          <w:color w:val="auto"/>
          <w:spacing w:val="0"/>
          <w:sz w:val="32"/>
          <w:szCs w:val="32"/>
        </w:rPr>
        <w:t>：指标分值</w:t>
      </w:r>
      <w:r>
        <w:rPr>
          <w:rFonts w:hint="eastAsia" w:ascii="仿宋_GB2312" w:hAnsi="仿宋_GB2312" w:eastAsia="仿宋_GB2312" w:cs="仿宋_GB2312"/>
          <w:b w:val="0"/>
          <w:bCs/>
          <w:i w:val="0"/>
          <w:color w:val="auto"/>
          <w:spacing w:val="0"/>
          <w:sz w:val="32"/>
          <w:szCs w:val="32"/>
          <w:lang w:val="en-US" w:eastAsia="zh-CN"/>
        </w:rPr>
        <w:t>6</w:t>
      </w:r>
      <w:r>
        <w:rPr>
          <w:rFonts w:hint="eastAsia" w:ascii="仿宋_GB2312" w:hAnsi="仿宋_GB2312" w:eastAsia="仿宋_GB2312" w:cs="仿宋_GB2312"/>
          <w:b w:val="0"/>
          <w:bCs/>
          <w:i w:val="0"/>
          <w:color w:val="auto"/>
          <w:spacing w:val="0"/>
          <w:sz w:val="32"/>
          <w:szCs w:val="32"/>
        </w:rPr>
        <w:t>分，实际得分</w:t>
      </w:r>
      <w:r>
        <w:rPr>
          <w:rFonts w:hint="eastAsia" w:ascii="仿宋_GB2312" w:hAnsi="仿宋_GB2312" w:eastAsia="仿宋_GB2312" w:cs="仿宋_GB2312"/>
          <w:b w:val="0"/>
          <w:bCs/>
          <w:i w:val="0"/>
          <w:color w:val="auto"/>
          <w:spacing w:val="0"/>
          <w:sz w:val="32"/>
          <w:szCs w:val="32"/>
          <w:lang w:val="en-US" w:eastAsia="zh-CN"/>
        </w:rPr>
        <w:t>2.98</w:t>
      </w:r>
      <w:r>
        <w:rPr>
          <w:rFonts w:hint="eastAsia" w:ascii="仿宋_GB2312" w:hAnsi="仿宋_GB2312" w:eastAsia="仿宋_GB2312" w:cs="仿宋_GB2312"/>
          <w:b w:val="0"/>
          <w:bCs/>
          <w:i w:val="0"/>
          <w:color w:val="auto"/>
          <w:spacing w:val="0"/>
          <w:sz w:val="32"/>
          <w:szCs w:val="32"/>
        </w:rPr>
        <w:t>分，得分率</w:t>
      </w:r>
      <w:r>
        <w:rPr>
          <w:rFonts w:hint="eastAsia" w:ascii="仿宋_GB2312" w:hAnsi="仿宋_GB2312" w:eastAsia="仿宋_GB2312" w:cs="仿宋_GB2312"/>
          <w:b w:val="0"/>
          <w:bCs/>
          <w:i w:val="0"/>
          <w:color w:val="auto"/>
          <w:spacing w:val="0"/>
          <w:sz w:val="32"/>
          <w:szCs w:val="32"/>
          <w:lang w:val="en-US" w:eastAsia="zh-CN"/>
        </w:rPr>
        <w:t>49.7</w:t>
      </w:r>
      <w:r>
        <w:rPr>
          <w:rFonts w:hint="eastAsia" w:ascii="仿宋_GB2312" w:hAnsi="仿宋_GB2312" w:eastAsia="仿宋_GB2312" w:cs="仿宋_GB2312"/>
          <w:b w:val="0"/>
          <w:bCs/>
          <w:i w:val="0"/>
          <w:color w:val="auto"/>
          <w:spacing w:val="0"/>
          <w:sz w:val="32"/>
          <w:szCs w:val="32"/>
        </w:rPr>
        <w:t>%。</w:t>
      </w:r>
      <w:r>
        <w:rPr>
          <w:rFonts w:hint="eastAsia" w:ascii="仿宋_GB2312" w:hAnsi="仿宋_GB2312" w:eastAsia="仿宋_GB2312" w:cs="仿宋_GB2312"/>
          <w:b w:val="0"/>
          <w:bCs/>
          <w:i w:val="0"/>
          <w:color w:val="auto"/>
          <w:spacing w:val="0"/>
          <w:kern w:val="2"/>
          <w:sz w:val="32"/>
          <w:szCs w:val="32"/>
          <w:lang w:val="en-US" w:eastAsia="zh-CN" w:bidi="ar-SA"/>
        </w:rPr>
        <w:t>2025年度固定资产投资任务目标为26亿元，截止10月，累计完成12.92亿元，完成全年任务49.7%。其中，中国保利昆明春湖国际生态休闲度假区项目一期完成0.05亿元；五华区长虫山生态环境导向开发项目完成0.6488 亿元；五华区昭宗片区城中村改造项目完成11.1397亿元；五华区毓英公园及配套设施建设项目完成1.002亿元；昆明市天主教爱国会配建办公楼项目完成0.0797亿元。</w:t>
      </w:r>
    </w:p>
    <w:p w14:paraId="266542C8">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2"/>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2.产出质量情况</w:t>
      </w:r>
    </w:p>
    <w:p w14:paraId="7C31EF59">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产出质量指标下设国有资产保值增值率</w:t>
      </w:r>
      <w:r>
        <w:rPr>
          <w:rFonts w:hint="eastAsia" w:ascii="仿宋_GB2312" w:hAnsi="仿宋_GB2312" w:eastAsia="仿宋_GB2312" w:cs="仿宋_GB2312"/>
          <w:b w:val="0"/>
          <w:bCs/>
          <w:i w:val="0"/>
          <w:color w:val="000000"/>
          <w:spacing w:val="0"/>
          <w:sz w:val="32"/>
          <w:szCs w:val="32"/>
          <w:lang w:eastAsia="zh-CN"/>
        </w:rPr>
        <w:t>、本息偿还率</w:t>
      </w:r>
      <w:r>
        <w:rPr>
          <w:rFonts w:hint="eastAsia" w:ascii="仿宋_GB2312" w:hAnsi="仿宋_GB2312" w:eastAsia="仿宋_GB2312" w:cs="仿宋_GB2312"/>
          <w:b w:val="0"/>
          <w:bCs/>
          <w:i w:val="0"/>
          <w:color w:val="000000"/>
          <w:spacing w:val="0"/>
          <w:sz w:val="32"/>
          <w:szCs w:val="32"/>
          <w:lang w:val="en-US" w:eastAsia="zh-CN"/>
        </w:rPr>
        <w:t>2</w:t>
      </w:r>
      <w:r>
        <w:rPr>
          <w:rFonts w:hint="eastAsia" w:ascii="仿宋_GB2312" w:hAnsi="仿宋_GB2312" w:eastAsia="仿宋_GB2312" w:cs="仿宋_GB2312"/>
          <w:b w:val="0"/>
          <w:bCs/>
          <w:i w:val="0"/>
          <w:color w:val="000000"/>
          <w:spacing w:val="0"/>
          <w:sz w:val="32"/>
          <w:szCs w:val="32"/>
        </w:rPr>
        <w:t>个三级指标，指标权重</w:t>
      </w:r>
      <w:r>
        <w:rPr>
          <w:rFonts w:hint="eastAsia" w:ascii="仿宋_GB2312" w:hAnsi="仿宋_GB2312" w:eastAsia="仿宋_GB2312" w:cs="仿宋_GB2312"/>
          <w:b w:val="0"/>
          <w:bCs/>
          <w:i w:val="0"/>
          <w:color w:val="000000"/>
          <w:spacing w:val="0"/>
          <w:sz w:val="32"/>
          <w:szCs w:val="32"/>
          <w:lang w:val="en-US" w:eastAsia="zh-CN"/>
        </w:rPr>
        <w:t>12</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12</w:t>
      </w:r>
      <w:r>
        <w:rPr>
          <w:rFonts w:hint="eastAsia" w:ascii="仿宋_GB2312" w:hAnsi="仿宋_GB2312" w:eastAsia="仿宋_GB2312" w:cs="仿宋_GB2312"/>
          <w:b w:val="0"/>
          <w:bCs/>
          <w:i w:val="0"/>
          <w:color w:val="000000"/>
          <w:spacing w:val="0"/>
          <w:sz w:val="32"/>
          <w:szCs w:val="32"/>
        </w:rPr>
        <w:t>分，得分率100%。</w:t>
      </w:r>
    </w:p>
    <w:p w14:paraId="67E116D6">
      <w:pPr>
        <w:keepNext w:val="0"/>
        <w:keepLines w:val="0"/>
        <w:pageBreakBefore w:val="0"/>
        <w:widowControl/>
        <w:numPr>
          <w:ilvl w:val="0"/>
          <w:numId w:val="3"/>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国有资产保值增值率：指标分值</w:t>
      </w:r>
      <w:r>
        <w:rPr>
          <w:rFonts w:hint="eastAsia" w:ascii="仿宋_GB2312" w:hAnsi="仿宋_GB2312" w:eastAsia="仿宋_GB2312" w:cs="仿宋_GB2312"/>
          <w:b w:val="0"/>
          <w:bCs/>
          <w:i w:val="0"/>
          <w:color w:val="000000"/>
          <w:spacing w:val="0"/>
          <w:sz w:val="32"/>
          <w:szCs w:val="32"/>
          <w:lang w:val="en-US" w:eastAsia="zh-CN"/>
        </w:rPr>
        <w:t>6</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6</w:t>
      </w:r>
      <w:r>
        <w:rPr>
          <w:rFonts w:hint="eastAsia" w:ascii="仿宋_GB2312" w:hAnsi="仿宋_GB2312" w:eastAsia="仿宋_GB2312" w:cs="仿宋_GB2312"/>
          <w:b w:val="0"/>
          <w:bCs/>
          <w:i w:val="0"/>
          <w:color w:val="000000"/>
          <w:spacing w:val="0"/>
          <w:sz w:val="32"/>
          <w:szCs w:val="32"/>
        </w:rPr>
        <w:t>分，得分率100%。国有资产保值增值率超过100%，</w:t>
      </w:r>
      <w:r>
        <w:rPr>
          <w:rFonts w:hint="eastAsia" w:ascii="仿宋_GB2312" w:hAnsi="仿宋_GB2312" w:eastAsia="仿宋_GB2312" w:cs="仿宋_GB2312"/>
          <w:b w:val="0"/>
          <w:bCs/>
          <w:i w:val="0"/>
          <w:color w:val="000000"/>
          <w:spacing w:val="0"/>
          <w:sz w:val="32"/>
          <w:szCs w:val="32"/>
          <w:lang w:val="en-US" w:eastAsia="zh-CN"/>
        </w:rPr>
        <w:t>有效实现了资产保值增值的核心管理目标。</w:t>
      </w:r>
    </w:p>
    <w:p w14:paraId="70E6A5A0">
      <w:pPr>
        <w:keepNext w:val="0"/>
        <w:keepLines w:val="0"/>
        <w:pageBreakBefore w:val="0"/>
        <w:widowControl/>
        <w:numPr>
          <w:ilvl w:val="0"/>
          <w:numId w:val="3"/>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lang w:eastAsia="zh-CN"/>
        </w:rPr>
        <w:t>本息偿还率</w:t>
      </w:r>
      <w:r>
        <w:rPr>
          <w:rFonts w:hint="eastAsia" w:ascii="仿宋_GB2312" w:hAnsi="仿宋_GB2312" w:eastAsia="仿宋_GB2312" w:cs="仿宋_GB2312"/>
          <w:b w:val="0"/>
          <w:bCs/>
          <w:i w:val="0"/>
          <w:color w:val="000000"/>
          <w:spacing w:val="0"/>
          <w:sz w:val="32"/>
          <w:szCs w:val="32"/>
        </w:rPr>
        <w:t>：指标分值</w:t>
      </w:r>
      <w:r>
        <w:rPr>
          <w:rFonts w:hint="eastAsia" w:ascii="仿宋_GB2312" w:hAnsi="仿宋_GB2312" w:eastAsia="仿宋_GB2312" w:cs="仿宋_GB2312"/>
          <w:b w:val="0"/>
          <w:bCs/>
          <w:i w:val="0"/>
          <w:color w:val="000000"/>
          <w:spacing w:val="0"/>
          <w:sz w:val="32"/>
          <w:szCs w:val="32"/>
          <w:lang w:val="en-US" w:eastAsia="zh-CN"/>
        </w:rPr>
        <w:t>6</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6</w:t>
      </w:r>
      <w:r>
        <w:rPr>
          <w:rFonts w:hint="eastAsia" w:ascii="仿宋_GB2312" w:hAnsi="仿宋_GB2312" w:eastAsia="仿宋_GB2312" w:cs="仿宋_GB2312"/>
          <w:b w:val="0"/>
          <w:bCs/>
          <w:i w:val="0"/>
          <w:color w:val="000000"/>
          <w:spacing w:val="0"/>
          <w:sz w:val="32"/>
          <w:szCs w:val="32"/>
        </w:rPr>
        <w:t>分，得分率100%。债务本息偿还率达到100%，信用记录良好，财务风险可控。</w:t>
      </w:r>
    </w:p>
    <w:p w14:paraId="4419BF2C">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2"/>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3.产出时效情况</w:t>
      </w:r>
    </w:p>
    <w:p w14:paraId="01C0C820">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rPr>
        <w:t>产出时效指标下设项目完成时间1个三级指标，指标权重</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100</w:t>
      </w:r>
      <w:r>
        <w:rPr>
          <w:rFonts w:hint="eastAsia" w:ascii="仿宋_GB2312" w:hAnsi="仿宋_GB2312" w:eastAsia="仿宋_GB2312" w:cs="仿宋_GB2312"/>
          <w:b w:val="0"/>
          <w:bCs/>
          <w:i w:val="0"/>
          <w:color w:val="000000"/>
          <w:spacing w:val="0"/>
          <w:sz w:val="32"/>
          <w:szCs w:val="32"/>
        </w:rPr>
        <w:t>%。</w:t>
      </w:r>
      <w:r>
        <w:rPr>
          <w:rFonts w:hint="eastAsia" w:ascii="仿宋_GB2312" w:hAnsi="仿宋_GB2312" w:eastAsia="仿宋_GB2312" w:cs="仿宋_GB2312"/>
          <w:b w:val="0"/>
          <w:bCs/>
          <w:i w:val="0"/>
          <w:color w:val="000000"/>
          <w:spacing w:val="0"/>
          <w:sz w:val="32"/>
          <w:szCs w:val="32"/>
          <w:lang w:val="en-US" w:eastAsia="zh-CN"/>
        </w:rPr>
        <w:t>“项目完成时间”指标该指标旨在考核截至2025年12月31日，</w:t>
      </w:r>
      <w:r>
        <w:rPr>
          <w:rFonts w:hint="eastAsia" w:ascii="仿宋_GB2312" w:hAnsi="仿宋_GB2312" w:eastAsia="仿宋_GB2312" w:cs="仿宋_GB2312"/>
          <w:color w:val="000000"/>
          <w:spacing w:val="0"/>
          <w:kern w:val="0"/>
          <w:sz w:val="32"/>
          <w:szCs w:val="32"/>
          <w:lang w:val="en-US" w:eastAsia="zh-CN" w:bidi="ar"/>
        </w:rPr>
        <w:t>国有资本金注入-国投日常经营”项目</w:t>
      </w:r>
      <w:r>
        <w:rPr>
          <w:rFonts w:hint="eastAsia" w:ascii="仿宋_GB2312" w:hAnsi="仿宋_GB2312" w:eastAsia="仿宋_GB2312" w:cs="仿宋_GB2312"/>
          <w:b w:val="0"/>
          <w:bCs/>
          <w:i w:val="0"/>
          <w:color w:val="000000"/>
          <w:spacing w:val="0"/>
          <w:sz w:val="32"/>
          <w:szCs w:val="32"/>
          <w:lang w:val="en-US" w:eastAsia="zh-CN"/>
        </w:rPr>
        <w:t>的完成及时性。尽管国有资本金预算资金因故未到位，但公司通过其他渠道资源保障，确保了项目主体工作按原定计划时间节点推进，未因资金问题延误整体进度。因此，从“产出时效”维度，判定该指标得满分。</w:t>
      </w:r>
    </w:p>
    <w:p w14:paraId="6D8DAEBB">
      <w:pPr>
        <w:keepNext w:val="0"/>
        <w:keepLines w:val="0"/>
        <w:pageBreakBefore w:val="0"/>
        <w:widowControl/>
        <w:numPr>
          <w:ilvl w:val="0"/>
          <w:numId w:val="0"/>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2"/>
        <w:rPr>
          <w:rFonts w:hint="eastAsia"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kern w:val="2"/>
          <w:sz w:val="32"/>
          <w:szCs w:val="32"/>
          <w:lang w:val="en-US" w:eastAsia="zh-CN" w:bidi="ar-SA"/>
        </w:rPr>
        <w:t xml:space="preserve"> </w:t>
      </w:r>
      <w:r>
        <w:rPr>
          <w:rFonts w:hint="eastAsia" w:ascii="仿宋_GB2312" w:hAnsi="仿宋_GB2312" w:eastAsia="仿宋_GB2312" w:cs="仿宋_GB2312"/>
          <w:b w:val="0"/>
          <w:bCs/>
          <w:i w:val="0"/>
          <w:color w:val="000000"/>
          <w:spacing w:val="0"/>
          <w:sz w:val="32"/>
          <w:szCs w:val="32"/>
          <w:lang w:val="en-US" w:eastAsia="zh-CN"/>
        </w:rPr>
        <w:t xml:space="preserve"> 4.成本指标情况</w:t>
      </w:r>
    </w:p>
    <w:p w14:paraId="4D817E13">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lang w:val="en-US" w:eastAsia="zh-CN"/>
        </w:rPr>
        <w:t>成本指标</w:t>
      </w:r>
      <w:r>
        <w:rPr>
          <w:rFonts w:hint="eastAsia" w:ascii="仿宋_GB2312" w:hAnsi="仿宋_GB2312" w:eastAsia="仿宋_GB2312" w:cs="仿宋_GB2312"/>
          <w:b w:val="0"/>
          <w:bCs/>
          <w:i w:val="0"/>
          <w:color w:val="000000"/>
          <w:spacing w:val="0"/>
          <w:sz w:val="32"/>
          <w:szCs w:val="32"/>
        </w:rPr>
        <w:t>下设</w:t>
      </w:r>
      <w:r>
        <w:rPr>
          <w:rFonts w:hint="eastAsia" w:ascii="仿宋_GB2312" w:hAnsi="仿宋_GB2312" w:eastAsia="仿宋_GB2312" w:cs="仿宋_GB2312"/>
          <w:b w:val="0"/>
          <w:bCs/>
          <w:i w:val="0"/>
          <w:color w:val="000000"/>
          <w:spacing w:val="0"/>
          <w:sz w:val="32"/>
          <w:szCs w:val="32"/>
          <w:lang w:val="en-US" w:eastAsia="zh-CN"/>
        </w:rPr>
        <w:t>经济成本指标</w:t>
      </w:r>
      <w:r>
        <w:rPr>
          <w:rFonts w:hint="eastAsia" w:ascii="仿宋_GB2312" w:hAnsi="仿宋_GB2312" w:eastAsia="仿宋_GB2312" w:cs="仿宋_GB2312"/>
          <w:b w:val="0"/>
          <w:bCs/>
          <w:i w:val="0"/>
          <w:color w:val="000000"/>
          <w:spacing w:val="0"/>
          <w:sz w:val="32"/>
          <w:szCs w:val="32"/>
        </w:rPr>
        <w:t>1个三级指标，指标权重</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100</w:t>
      </w:r>
      <w:r>
        <w:rPr>
          <w:rFonts w:hint="eastAsia" w:ascii="仿宋_GB2312" w:hAnsi="仿宋_GB2312" w:eastAsia="仿宋_GB2312" w:cs="仿宋_GB2312"/>
          <w:b w:val="0"/>
          <w:bCs/>
          <w:i w:val="0"/>
          <w:color w:val="000000"/>
          <w:spacing w:val="0"/>
          <w:sz w:val="32"/>
          <w:szCs w:val="32"/>
        </w:rPr>
        <w:t>%。</w:t>
      </w:r>
      <w:r>
        <w:rPr>
          <w:rFonts w:hint="eastAsia" w:ascii="仿宋_GB2312" w:hAnsi="仿宋_GB2312" w:eastAsia="仿宋_GB2312" w:cs="仿宋_GB2312"/>
          <w:b w:val="0"/>
          <w:bCs/>
          <w:i w:val="0"/>
          <w:color w:val="000000"/>
          <w:spacing w:val="0"/>
          <w:sz w:val="32"/>
          <w:szCs w:val="32"/>
          <w:lang w:val="en-US" w:eastAsia="zh-CN"/>
        </w:rPr>
        <w:t>“经济成本指标”指标旨在考察截至2025年12月31日，申报的国有资本金预算是否已使用完毕。因资金未到位，此项考察不适用，但鉴于公司整体经营按时推进，该指标得满分。</w:t>
      </w:r>
    </w:p>
    <w:p w14:paraId="519AF8A8">
      <w:pPr>
        <w:pStyle w:val="5"/>
        <w:keepNext w:val="0"/>
        <w:keepLines w:val="0"/>
        <w:pageBreakBefore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pacing w:val="0"/>
          <w:sz w:val="32"/>
          <w:szCs w:val="32"/>
          <w:lang w:val="en-US" w:eastAsia="zh-CN"/>
        </w:rPr>
      </w:pPr>
    </w:p>
    <w:p w14:paraId="3F14ED4E">
      <w:pPr>
        <w:keepNext w:val="0"/>
        <w:keepLines w:val="0"/>
        <w:pageBreakBefore w:val="0"/>
        <w:widowControl w:val="0"/>
        <w:numPr>
          <w:ilvl w:val="0"/>
          <w:numId w:val="1"/>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rPr>
        <w:t>项目效益情况分析。</w:t>
      </w:r>
    </w:p>
    <w:p w14:paraId="66ABD436">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效益情况包括</w:t>
      </w:r>
      <w:r>
        <w:rPr>
          <w:rFonts w:hint="eastAsia" w:ascii="仿宋_GB2312" w:hAnsi="仿宋_GB2312" w:eastAsia="仿宋_GB2312" w:cs="仿宋_GB2312"/>
          <w:b w:val="0"/>
          <w:bCs/>
          <w:i w:val="0"/>
          <w:color w:val="000000"/>
          <w:spacing w:val="0"/>
          <w:sz w:val="32"/>
          <w:szCs w:val="32"/>
          <w:lang w:val="en-US" w:eastAsia="zh-CN"/>
        </w:rPr>
        <w:t>经济效益、</w:t>
      </w:r>
      <w:r>
        <w:rPr>
          <w:rFonts w:hint="eastAsia" w:ascii="仿宋_GB2312" w:hAnsi="仿宋_GB2312" w:eastAsia="仿宋_GB2312" w:cs="仿宋_GB2312"/>
          <w:b w:val="0"/>
          <w:bCs/>
          <w:i w:val="0"/>
          <w:color w:val="000000"/>
          <w:spacing w:val="0"/>
          <w:sz w:val="32"/>
          <w:szCs w:val="32"/>
        </w:rPr>
        <w:t>社会效益、可持续影响、满意度</w:t>
      </w:r>
      <w:r>
        <w:rPr>
          <w:rFonts w:hint="eastAsia" w:ascii="仿宋_GB2312" w:hAnsi="仿宋_GB2312" w:eastAsia="仿宋_GB2312" w:cs="仿宋_GB2312"/>
          <w:b w:val="0"/>
          <w:bCs/>
          <w:i w:val="0"/>
          <w:color w:val="000000"/>
          <w:spacing w:val="0"/>
          <w:sz w:val="32"/>
          <w:szCs w:val="32"/>
          <w:lang w:val="en-US" w:eastAsia="zh-CN"/>
        </w:rPr>
        <w:t>4</w:t>
      </w:r>
      <w:r>
        <w:rPr>
          <w:rFonts w:hint="eastAsia" w:ascii="仿宋_GB2312" w:hAnsi="仿宋_GB2312" w:eastAsia="仿宋_GB2312" w:cs="仿宋_GB2312"/>
          <w:b w:val="0"/>
          <w:bCs/>
          <w:i w:val="0"/>
          <w:color w:val="000000"/>
          <w:spacing w:val="0"/>
          <w:sz w:val="32"/>
          <w:szCs w:val="32"/>
        </w:rPr>
        <w:t>个方面。该项满分为</w:t>
      </w:r>
      <w:r>
        <w:rPr>
          <w:rFonts w:hint="eastAsia" w:ascii="仿宋_GB2312" w:hAnsi="仿宋_GB2312" w:eastAsia="仿宋_GB2312" w:cs="仿宋_GB2312"/>
          <w:b w:val="0"/>
          <w:bCs/>
          <w:i w:val="0"/>
          <w:color w:val="000000"/>
          <w:spacing w:val="0"/>
          <w:sz w:val="32"/>
          <w:szCs w:val="32"/>
          <w:lang w:val="en-US" w:eastAsia="zh-CN"/>
        </w:rPr>
        <w:t>40</w:t>
      </w:r>
      <w:r>
        <w:rPr>
          <w:rFonts w:hint="eastAsia" w:ascii="仿宋_GB2312" w:hAnsi="仿宋_GB2312" w:eastAsia="仿宋_GB2312" w:cs="仿宋_GB2312"/>
          <w:b w:val="0"/>
          <w:bCs/>
          <w:i w:val="0"/>
          <w:color w:val="000000"/>
          <w:spacing w:val="0"/>
          <w:sz w:val="32"/>
          <w:szCs w:val="32"/>
        </w:rPr>
        <w:t>分，重点绩效评价得分</w:t>
      </w:r>
      <w:r>
        <w:rPr>
          <w:rFonts w:hint="eastAsia" w:ascii="仿宋_GB2312" w:hAnsi="仿宋_GB2312" w:eastAsia="仿宋_GB2312" w:cs="仿宋_GB2312"/>
          <w:b w:val="0"/>
          <w:bCs/>
          <w:i w:val="0"/>
          <w:color w:val="000000"/>
          <w:spacing w:val="0"/>
          <w:sz w:val="32"/>
          <w:szCs w:val="32"/>
          <w:lang w:val="en-US" w:eastAsia="zh-CN"/>
        </w:rPr>
        <w:t>40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100</w:t>
      </w:r>
      <w:r>
        <w:rPr>
          <w:rFonts w:hint="eastAsia" w:ascii="仿宋_GB2312" w:hAnsi="仿宋_GB2312" w:eastAsia="仿宋_GB2312" w:cs="仿宋_GB2312"/>
          <w:b w:val="0"/>
          <w:bCs/>
          <w:i w:val="0"/>
          <w:color w:val="000000"/>
          <w:spacing w:val="0"/>
          <w:sz w:val="32"/>
          <w:szCs w:val="32"/>
        </w:rPr>
        <w:t>%，具体情况分析如下：</w:t>
      </w:r>
    </w:p>
    <w:p w14:paraId="03262F75">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1.</w:t>
      </w:r>
      <w:r>
        <w:rPr>
          <w:rFonts w:hint="eastAsia" w:ascii="仿宋_GB2312" w:hAnsi="仿宋_GB2312" w:eastAsia="仿宋_GB2312" w:cs="仿宋_GB2312"/>
          <w:b w:val="0"/>
          <w:bCs/>
          <w:i w:val="0"/>
          <w:color w:val="000000"/>
          <w:spacing w:val="0"/>
          <w:sz w:val="32"/>
          <w:szCs w:val="32"/>
          <w:lang w:val="en-US" w:eastAsia="zh-CN"/>
        </w:rPr>
        <w:t>经济</w:t>
      </w:r>
      <w:r>
        <w:rPr>
          <w:rFonts w:hint="eastAsia" w:ascii="仿宋_GB2312" w:hAnsi="仿宋_GB2312" w:eastAsia="仿宋_GB2312" w:cs="仿宋_GB2312"/>
          <w:b w:val="0"/>
          <w:bCs/>
          <w:i w:val="0"/>
          <w:color w:val="000000"/>
          <w:spacing w:val="0"/>
          <w:sz w:val="32"/>
          <w:szCs w:val="32"/>
        </w:rPr>
        <w:t>效益指标</w:t>
      </w:r>
    </w:p>
    <w:p w14:paraId="55E8D2F2">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auto"/>
          <w:spacing w:val="0"/>
          <w:sz w:val="32"/>
          <w:szCs w:val="32"/>
        </w:rPr>
      </w:pPr>
      <w:r>
        <w:rPr>
          <w:rFonts w:hint="eastAsia" w:ascii="仿宋_GB2312" w:hAnsi="仿宋_GB2312" w:eastAsia="仿宋_GB2312" w:cs="仿宋_GB2312"/>
          <w:b w:val="0"/>
          <w:bCs/>
          <w:i w:val="0"/>
          <w:color w:val="auto"/>
          <w:spacing w:val="0"/>
          <w:sz w:val="32"/>
          <w:szCs w:val="32"/>
        </w:rPr>
        <w:t>下设企业是否盈利、纳税金额</w:t>
      </w:r>
      <w:r>
        <w:rPr>
          <w:rFonts w:hint="eastAsia" w:ascii="仿宋_GB2312" w:hAnsi="仿宋_GB2312" w:eastAsia="仿宋_GB2312" w:cs="仿宋_GB2312"/>
          <w:b w:val="0"/>
          <w:bCs/>
          <w:i w:val="0"/>
          <w:color w:val="auto"/>
          <w:spacing w:val="0"/>
          <w:sz w:val="32"/>
          <w:szCs w:val="32"/>
          <w:lang w:val="en-US" w:eastAsia="zh-CN"/>
        </w:rPr>
        <w:t>2</w:t>
      </w:r>
      <w:r>
        <w:rPr>
          <w:rFonts w:hint="eastAsia" w:ascii="仿宋_GB2312" w:hAnsi="仿宋_GB2312" w:eastAsia="仿宋_GB2312" w:cs="仿宋_GB2312"/>
          <w:b w:val="0"/>
          <w:bCs/>
          <w:i w:val="0"/>
          <w:color w:val="auto"/>
          <w:spacing w:val="0"/>
          <w:sz w:val="32"/>
          <w:szCs w:val="32"/>
        </w:rPr>
        <w:t>个三级指标，指标权重</w:t>
      </w:r>
      <w:r>
        <w:rPr>
          <w:rFonts w:hint="eastAsia" w:ascii="仿宋_GB2312" w:hAnsi="仿宋_GB2312" w:eastAsia="仿宋_GB2312" w:cs="仿宋_GB2312"/>
          <w:b w:val="0"/>
          <w:bCs/>
          <w:i w:val="0"/>
          <w:color w:val="auto"/>
          <w:spacing w:val="0"/>
          <w:sz w:val="32"/>
          <w:szCs w:val="32"/>
          <w:lang w:val="en-US" w:eastAsia="zh-CN"/>
        </w:rPr>
        <w:t>10</w:t>
      </w:r>
      <w:r>
        <w:rPr>
          <w:rFonts w:hint="eastAsia" w:ascii="仿宋_GB2312" w:hAnsi="仿宋_GB2312" w:eastAsia="仿宋_GB2312" w:cs="仿宋_GB2312"/>
          <w:b w:val="0"/>
          <w:bCs/>
          <w:i w:val="0"/>
          <w:color w:val="auto"/>
          <w:spacing w:val="0"/>
          <w:sz w:val="32"/>
          <w:szCs w:val="32"/>
        </w:rPr>
        <w:t>分，实际得分</w:t>
      </w:r>
      <w:r>
        <w:rPr>
          <w:rFonts w:hint="eastAsia" w:ascii="仿宋_GB2312" w:hAnsi="仿宋_GB2312" w:eastAsia="仿宋_GB2312" w:cs="仿宋_GB2312"/>
          <w:b w:val="0"/>
          <w:bCs/>
          <w:i w:val="0"/>
          <w:color w:val="auto"/>
          <w:spacing w:val="0"/>
          <w:sz w:val="32"/>
          <w:szCs w:val="32"/>
          <w:lang w:val="en-US" w:eastAsia="zh-CN"/>
        </w:rPr>
        <w:t>10</w:t>
      </w:r>
      <w:r>
        <w:rPr>
          <w:rFonts w:hint="eastAsia" w:ascii="仿宋_GB2312" w:hAnsi="仿宋_GB2312" w:eastAsia="仿宋_GB2312" w:cs="仿宋_GB2312"/>
          <w:b w:val="0"/>
          <w:bCs/>
          <w:i w:val="0"/>
          <w:color w:val="auto"/>
          <w:spacing w:val="0"/>
          <w:sz w:val="32"/>
          <w:szCs w:val="32"/>
        </w:rPr>
        <w:t>分，得分率</w:t>
      </w:r>
      <w:r>
        <w:rPr>
          <w:rFonts w:hint="eastAsia" w:ascii="仿宋_GB2312" w:hAnsi="仿宋_GB2312" w:eastAsia="仿宋_GB2312" w:cs="仿宋_GB2312"/>
          <w:b w:val="0"/>
          <w:bCs/>
          <w:i w:val="0"/>
          <w:color w:val="auto"/>
          <w:spacing w:val="0"/>
          <w:sz w:val="32"/>
          <w:szCs w:val="32"/>
          <w:lang w:val="en-US" w:eastAsia="zh-CN"/>
        </w:rPr>
        <w:t>100</w:t>
      </w:r>
      <w:r>
        <w:rPr>
          <w:rFonts w:hint="eastAsia" w:ascii="仿宋_GB2312" w:hAnsi="仿宋_GB2312" w:eastAsia="仿宋_GB2312" w:cs="仿宋_GB2312"/>
          <w:b w:val="0"/>
          <w:bCs/>
          <w:i w:val="0"/>
          <w:color w:val="auto"/>
          <w:spacing w:val="0"/>
          <w:sz w:val="32"/>
          <w:szCs w:val="32"/>
        </w:rPr>
        <w:t>%</w:t>
      </w:r>
      <w:r>
        <w:rPr>
          <w:rFonts w:hint="eastAsia" w:ascii="仿宋_GB2312" w:hAnsi="仿宋_GB2312" w:eastAsia="仿宋_GB2312" w:cs="仿宋_GB2312"/>
          <w:b w:val="0"/>
          <w:bCs/>
          <w:i w:val="0"/>
          <w:color w:val="auto"/>
          <w:spacing w:val="0"/>
          <w:sz w:val="32"/>
          <w:szCs w:val="32"/>
          <w:lang w:eastAsia="zh-CN"/>
        </w:rPr>
        <w:t>，企业实现盈利，纳税金额同比增加，对地方财政贡献持续增长，经济效益显著</w:t>
      </w:r>
      <w:r>
        <w:rPr>
          <w:rFonts w:hint="eastAsia" w:ascii="仿宋_GB2312" w:hAnsi="仿宋_GB2312" w:eastAsia="仿宋_GB2312" w:cs="仿宋_GB2312"/>
          <w:b w:val="0"/>
          <w:bCs/>
          <w:i w:val="0"/>
          <w:color w:val="auto"/>
          <w:spacing w:val="0"/>
          <w:sz w:val="32"/>
          <w:szCs w:val="32"/>
        </w:rPr>
        <w:t>。具体情况分析如下：</w:t>
      </w:r>
    </w:p>
    <w:p w14:paraId="1BC0AE82">
      <w:pPr>
        <w:keepNext w:val="0"/>
        <w:keepLines w:val="0"/>
        <w:pageBreakBefore w:val="0"/>
        <w:widowControl/>
        <w:numPr>
          <w:ilvl w:val="0"/>
          <w:numId w:val="0"/>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auto"/>
          <w:spacing w:val="0"/>
          <w:sz w:val="32"/>
          <w:szCs w:val="32"/>
          <w:lang w:eastAsia="zh-CN"/>
        </w:rPr>
      </w:pPr>
      <w:r>
        <w:rPr>
          <w:rFonts w:hint="eastAsia" w:ascii="仿宋_GB2312" w:hAnsi="仿宋_GB2312" w:eastAsia="仿宋_GB2312" w:cs="仿宋_GB2312"/>
          <w:b w:val="0"/>
          <w:bCs/>
          <w:i w:val="0"/>
          <w:color w:val="auto"/>
          <w:spacing w:val="0"/>
          <w:kern w:val="2"/>
          <w:sz w:val="32"/>
          <w:szCs w:val="32"/>
          <w:lang w:val="en-US" w:eastAsia="zh-CN" w:bidi="ar-SA"/>
        </w:rPr>
        <w:t>（1）</w:t>
      </w:r>
      <w:r>
        <w:rPr>
          <w:rFonts w:hint="eastAsia" w:ascii="仿宋_GB2312" w:hAnsi="仿宋_GB2312" w:eastAsia="仿宋_GB2312" w:cs="仿宋_GB2312"/>
          <w:b w:val="0"/>
          <w:bCs/>
          <w:i w:val="0"/>
          <w:color w:val="auto"/>
          <w:spacing w:val="0"/>
          <w:sz w:val="32"/>
          <w:szCs w:val="32"/>
        </w:rPr>
        <w:t>企业是否盈利：指标分值</w:t>
      </w:r>
      <w:r>
        <w:rPr>
          <w:rFonts w:hint="eastAsia" w:ascii="仿宋_GB2312" w:hAnsi="仿宋_GB2312" w:eastAsia="仿宋_GB2312" w:cs="仿宋_GB2312"/>
          <w:b w:val="0"/>
          <w:bCs/>
          <w:i w:val="0"/>
          <w:color w:val="auto"/>
          <w:spacing w:val="0"/>
          <w:sz w:val="32"/>
          <w:szCs w:val="32"/>
          <w:lang w:val="en-US" w:eastAsia="zh-CN"/>
        </w:rPr>
        <w:t>5</w:t>
      </w:r>
      <w:r>
        <w:rPr>
          <w:rFonts w:hint="eastAsia" w:ascii="仿宋_GB2312" w:hAnsi="仿宋_GB2312" w:eastAsia="仿宋_GB2312" w:cs="仿宋_GB2312"/>
          <w:b w:val="0"/>
          <w:bCs/>
          <w:i w:val="0"/>
          <w:color w:val="auto"/>
          <w:spacing w:val="0"/>
          <w:sz w:val="32"/>
          <w:szCs w:val="32"/>
        </w:rPr>
        <w:t>分，实际得分</w:t>
      </w:r>
      <w:r>
        <w:rPr>
          <w:rFonts w:hint="eastAsia" w:ascii="仿宋_GB2312" w:hAnsi="仿宋_GB2312" w:eastAsia="仿宋_GB2312" w:cs="仿宋_GB2312"/>
          <w:b w:val="0"/>
          <w:bCs/>
          <w:i w:val="0"/>
          <w:color w:val="auto"/>
          <w:spacing w:val="0"/>
          <w:sz w:val="32"/>
          <w:szCs w:val="32"/>
          <w:lang w:val="en-US" w:eastAsia="zh-CN"/>
        </w:rPr>
        <w:t>5</w:t>
      </w:r>
      <w:r>
        <w:rPr>
          <w:rFonts w:hint="eastAsia" w:ascii="仿宋_GB2312" w:hAnsi="仿宋_GB2312" w:eastAsia="仿宋_GB2312" w:cs="仿宋_GB2312"/>
          <w:b w:val="0"/>
          <w:bCs/>
          <w:i w:val="0"/>
          <w:color w:val="auto"/>
          <w:spacing w:val="0"/>
          <w:sz w:val="32"/>
          <w:szCs w:val="32"/>
        </w:rPr>
        <w:t>分，得分率</w:t>
      </w:r>
      <w:r>
        <w:rPr>
          <w:rFonts w:hint="eastAsia" w:ascii="仿宋_GB2312" w:hAnsi="仿宋_GB2312" w:eastAsia="仿宋_GB2312" w:cs="仿宋_GB2312"/>
          <w:b w:val="0"/>
          <w:bCs/>
          <w:i w:val="0"/>
          <w:color w:val="auto"/>
          <w:spacing w:val="0"/>
          <w:sz w:val="32"/>
          <w:szCs w:val="32"/>
          <w:lang w:val="en-US" w:eastAsia="zh-CN"/>
        </w:rPr>
        <w:t>10</w:t>
      </w:r>
      <w:r>
        <w:rPr>
          <w:rFonts w:hint="eastAsia" w:ascii="仿宋_GB2312" w:hAnsi="仿宋_GB2312" w:eastAsia="仿宋_GB2312" w:cs="仿宋_GB2312"/>
          <w:b w:val="0"/>
          <w:bCs/>
          <w:i w:val="0"/>
          <w:color w:val="auto"/>
          <w:spacing w:val="0"/>
          <w:sz w:val="32"/>
          <w:szCs w:val="32"/>
        </w:rPr>
        <w:t>0%。</w:t>
      </w:r>
      <w:r>
        <w:rPr>
          <w:rFonts w:hint="eastAsia" w:ascii="仿宋_GB2312" w:hAnsi="仿宋_GB2312" w:eastAsia="仿宋_GB2312" w:cs="仿宋_GB2312"/>
          <w:b w:val="0"/>
          <w:bCs/>
          <w:i w:val="0"/>
          <w:color w:val="auto"/>
          <w:spacing w:val="0"/>
          <w:sz w:val="32"/>
          <w:szCs w:val="32"/>
          <w:lang w:val="en-US" w:eastAsia="zh-CN"/>
        </w:rPr>
        <w:t>2025年营业利润2565万元，企业保持了稳健的经营能力与良好的成本费用控制水平，为可持续发展奠定了坚实基础，经济效益显著。</w:t>
      </w:r>
    </w:p>
    <w:p w14:paraId="6244709F">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b w:val="0"/>
          <w:bCs/>
          <w:i w:val="0"/>
          <w:color w:val="auto"/>
          <w:spacing w:val="0"/>
          <w:sz w:val="32"/>
          <w:szCs w:val="32"/>
          <w:lang w:val="en-US" w:eastAsia="zh-CN"/>
        </w:rPr>
      </w:pPr>
      <w:r>
        <w:rPr>
          <w:rFonts w:hint="eastAsia" w:ascii="仿宋_GB2312" w:hAnsi="仿宋_GB2312" w:eastAsia="仿宋_GB2312" w:cs="仿宋_GB2312"/>
          <w:b w:val="0"/>
          <w:bCs/>
          <w:i w:val="0"/>
          <w:color w:val="auto"/>
          <w:spacing w:val="0"/>
          <w:sz w:val="32"/>
          <w:szCs w:val="32"/>
          <w:lang w:val="en-US" w:eastAsia="zh-CN"/>
        </w:rPr>
        <w:t>（2）</w:t>
      </w:r>
      <w:r>
        <w:rPr>
          <w:rFonts w:hint="eastAsia" w:ascii="仿宋_GB2312" w:hAnsi="仿宋_GB2312" w:eastAsia="仿宋_GB2312" w:cs="仿宋_GB2312"/>
          <w:b w:val="0"/>
          <w:bCs/>
          <w:i w:val="0"/>
          <w:color w:val="auto"/>
          <w:spacing w:val="0"/>
          <w:sz w:val="32"/>
          <w:szCs w:val="32"/>
        </w:rPr>
        <w:t>纳税金额：指标分值</w:t>
      </w:r>
      <w:r>
        <w:rPr>
          <w:rFonts w:hint="eastAsia" w:ascii="仿宋_GB2312" w:hAnsi="仿宋_GB2312" w:eastAsia="仿宋_GB2312" w:cs="仿宋_GB2312"/>
          <w:b w:val="0"/>
          <w:bCs/>
          <w:i w:val="0"/>
          <w:color w:val="auto"/>
          <w:spacing w:val="0"/>
          <w:sz w:val="32"/>
          <w:szCs w:val="32"/>
          <w:lang w:val="en-US" w:eastAsia="zh-CN"/>
        </w:rPr>
        <w:t>5</w:t>
      </w:r>
      <w:r>
        <w:rPr>
          <w:rFonts w:hint="eastAsia" w:ascii="仿宋_GB2312" w:hAnsi="仿宋_GB2312" w:eastAsia="仿宋_GB2312" w:cs="仿宋_GB2312"/>
          <w:b w:val="0"/>
          <w:bCs/>
          <w:i w:val="0"/>
          <w:color w:val="auto"/>
          <w:spacing w:val="0"/>
          <w:sz w:val="32"/>
          <w:szCs w:val="32"/>
        </w:rPr>
        <w:t>分，实际得分</w:t>
      </w:r>
      <w:r>
        <w:rPr>
          <w:rFonts w:hint="eastAsia" w:ascii="仿宋_GB2312" w:hAnsi="仿宋_GB2312" w:eastAsia="仿宋_GB2312" w:cs="仿宋_GB2312"/>
          <w:b w:val="0"/>
          <w:bCs/>
          <w:i w:val="0"/>
          <w:color w:val="auto"/>
          <w:spacing w:val="0"/>
          <w:sz w:val="32"/>
          <w:szCs w:val="32"/>
          <w:lang w:val="en-US" w:eastAsia="zh-CN"/>
        </w:rPr>
        <w:t>5</w:t>
      </w:r>
      <w:r>
        <w:rPr>
          <w:rFonts w:hint="eastAsia" w:ascii="仿宋_GB2312" w:hAnsi="仿宋_GB2312" w:eastAsia="仿宋_GB2312" w:cs="仿宋_GB2312"/>
          <w:b w:val="0"/>
          <w:bCs/>
          <w:i w:val="0"/>
          <w:color w:val="auto"/>
          <w:spacing w:val="0"/>
          <w:sz w:val="32"/>
          <w:szCs w:val="32"/>
        </w:rPr>
        <w:t>分，得分率</w:t>
      </w:r>
      <w:r>
        <w:rPr>
          <w:rFonts w:hint="eastAsia" w:ascii="仿宋_GB2312" w:hAnsi="仿宋_GB2312" w:eastAsia="仿宋_GB2312" w:cs="仿宋_GB2312"/>
          <w:b w:val="0"/>
          <w:bCs/>
          <w:i w:val="0"/>
          <w:color w:val="auto"/>
          <w:spacing w:val="0"/>
          <w:sz w:val="32"/>
          <w:szCs w:val="32"/>
          <w:lang w:val="en-US" w:eastAsia="zh-CN"/>
        </w:rPr>
        <w:t>100</w:t>
      </w:r>
      <w:r>
        <w:rPr>
          <w:rFonts w:hint="eastAsia" w:ascii="仿宋_GB2312" w:hAnsi="仿宋_GB2312" w:eastAsia="仿宋_GB2312" w:cs="仿宋_GB2312"/>
          <w:b w:val="0"/>
          <w:bCs/>
          <w:i w:val="0"/>
          <w:color w:val="auto"/>
          <w:spacing w:val="0"/>
          <w:sz w:val="32"/>
          <w:szCs w:val="32"/>
        </w:rPr>
        <w:t>%。</w:t>
      </w:r>
      <w:r>
        <w:rPr>
          <w:rFonts w:hint="eastAsia" w:ascii="仿宋_GB2312" w:hAnsi="仿宋_GB2312" w:eastAsia="仿宋_GB2312" w:cs="仿宋_GB2312"/>
          <w:b w:val="0"/>
          <w:bCs/>
          <w:i w:val="0"/>
          <w:color w:val="auto"/>
          <w:spacing w:val="0"/>
          <w:kern w:val="2"/>
          <w:sz w:val="32"/>
          <w:szCs w:val="32"/>
          <w:lang w:val="en-US" w:eastAsia="zh-CN" w:bidi="ar-SA"/>
        </w:rPr>
        <w:t>在保证同一税种（如增值税、城市维护建设税、教育费附加、房产税等）口径一致、具有可比性的前提下，相关企业本年度纳税总额实现同比增长。履行了企业的法定社会责任，对地方财政的贡献持续增强，为区域经济社会发展提供了有力的支持，社会效益与经济效益实现双赢。</w:t>
      </w:r>
    </w:p>
    <w:p w14:paraId="6C78DC4F">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rPr>
      </w:pPr>
      <w:r>
        <w:rPr>
          <w:rFonts w:hint="eastAsia" w:ascii="仿宋_GB2312" w:hAnsi="仿宋_GB2312" w:eastAsia="仿宋_GB2312" w:cs="仿宋_GB2312"/>
          <w:b w:val="0"/>
          <w:bCs/>
          <w:i w:val="0"/>
          <w:color w:val="000000"/>
          <w:spacing w:val="0"/>
          <w:sz w:val="32"/>
          <w:szCs w:val="32"/>
        </w:rPr>
        <w:t>2.可持续影响</w:t>
      </w:r>
    </w:p>
    <w:p w14:paraId="27CCB120">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rPr>
        <w:t>可持续影响指标下设企业可持续发展1个三级指标，指标权重</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分，实际得分</w:t>
      </w:r>
      <w:r>
        <w:rPr>
          <w:rFonts w:hint="eastAsia" w:ascii="仿宋_GB2312" w:hAnsi="仿宋_GB2312" w:eastAsia="仿宋_GB2312" w:cs="仿宋_GB2312"/>
          <w:b w:val="0"/>
          <w:bCs/>
          <w:i w:val="0"/>
          <w:color w:val="000000"/>
          <w:spacing w:val="0"/>
          <w:sz w:val="32"/>
          <w:szCs w:val="32"/>
          <w:lang w:val="en-US" w:eastAsia="zh-CN"/>
        </w:rPr>
        <w:t>10</w:t>
      </w:r>
      <w:r>
        <w:rPr>
          <w:rFonts w:hint="eastAsia" w:ascii="仿宋_GB2312" w:hAnsi="仿宋_GB2312" w:eastAsia="仿宋_GB2312" w:cs="仿宋_GB2312"/>
          <w:b w:val="0"/>
          <w:bCs/>
          <w:i w:val="0"/>
          <w:color w:val="000000"/>
          <w:spacing w:val="0"/>
          <w:sz w:val="32"/>
          <w:szCs w:val="32"/>
        </w:rPr>
        <w:t>分，得分率</w:t>
      </w:r>
      <w:r>
        <w:rPr>
          <w:rFonts w:hint="eastAsia" w:ascii="仿宋_GB2312" w:hAnsi="仿宋_GB2312" w:eastAsia="仿宋_GB2312" w:cs="仿宋_GB2312"/>
          <w:b w:val="0"/>
          <w:bCs/>
          <w:i w:val="0"/>
          <w:color w:val="000000"/>
          <w:spacing w:val="0"/>
          <w:sz w:val="32"/>
          <w:szCs w:val="32"/>
          <w:lang w:val="en-US" w:eastAsia="zh-CN"/>
        </w:rPr>
        <w:t>100</w:t>
      </w:r>
      <w:r>
        <w:rPr>
          <w:rFonts w:hint="eastAsia" w:ascii="仿宋_GB2312" w:hAnsi="仿宋_GB2312" w:eastAsia="仿宋_GB2312" w:cs="仿宋_GB2312"/>
          <w:b w:val="0"/>
          <w:bCs/>
          <w:i w:val="0"/>
          <w:color w:val="000000"/>
          <w:spacing w:val="0"/>
          <w:sz w:val="32"/>
          <w:szCs w:val="32"/>
        </w:rPr>
        <w:t>%。公司治理结构持续完善，内控体系不断健全，市场化运营能力增强，为长期可持续发展奠定了坚实基础。</w:t>
      </w:r>
    </w:p>
    <w:p w14:paraId="67C941DA">
      <w:pPr>
        <w:keepNext w:val="0"/>
        <w:keepLines w:val="0"/>
        <w:pageBreakBefore w:val="0"/>
        <w:widowControl/>
        <w:numPr>
          <w:ilvl w:val="0"/>
          <w:numId w:val="0"/>
        </w:numPr>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lang w:val="en-US" w:eastAsia="zh-CN"/>
        </w:rPr>
        <w:t>3.社会效益</w:t>
      </w:r>
    </w:p>
    <w:p w14:paraId="61CF7834">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lang w:val="en-US" w:eastAsia="zh-CN"/>
        </w:rPr>
        <w:t>生态效益指标下设失业人员就业1个三级指标，指标权重10分，实际得分10分，得分率100%。根据各分子公司市场化业务发展需求，通过市场化招聘引入专业人才，助力子公司逐步向市场化转变。2025年公开对外招聘15人，聚焦8个部门（分子公司）的13个关键管理岗位精准引才，成功吸纳6名硕士、2名双学位人才及5名拥有中高级职称的专业人士，其中中层7人，国投全体系正式员工35岁以下人员同比2024年增加15.09%、全日制本科及以上学历人数同比增加18.97%、研究生人数同比增加42.86%，进一步为国投公司注入新鲜血液，为稳健发展提供人才保障，有效带动了社会就业，履行了国有企业促进社会稳定的责任。</w:t>
      </w:r>
    </w:p>
    <w:p w14:paraId="1182E454">
      <w:pPr>
        <w:keepNext w:val="0"/>
        <w:keepLines w:val="0"/>
        <w:pageBreakBefore w:val="0"/>
        <w:widowControl/>
        <w:kinsoku/>
        <w:wordWrap/>
        <w:overflowPunct/>
        <w:topLinePunct w:val="0"/>
        <w:autoSpaceDE/>
        <w:autoSpaceDN/>
        <w:bidi w:val="0"/>
        <w:adjustRightInd/>
        <w:snapToGrid/>
        <w:spacing w:before="199" w:after="199" w:line="560" w:lineRule="exact"/>
        <w:ind w:left="0" w:lef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bCs/>
          <w:i w:val="0"/>
          <w:color w:val="000000"/>
          <w:spacing w:val="0"/>
          <w:sz w:val="32"/>
          <w:szCs w:val="32"/>
          <w:lang w:val="en-US" w:eastAsia="zh-CN"/>
        </w:rPr>
        <w:t>4.</w:t>
      </w:r>
      <w:r>
        <w:rPr>
          <w:rFonts w:hint="eastAsia" w:ascii="仿宋_GB2312" w:hAnsi="仿宋_GB2312" w:eastAsia="仿宋_GB2312" w:cs="仿宋_GB2312"/>
          <w:b w:val="0"/>
          <w:bCs/>
          <w:i w:val="0"/>
          <w:color w:val="000000"/>
          <w:spacing w:val="0"/>
          <w:sz w:val="32"/>
          <w:szCs w:val="32"/>
        </w:rPr>
        <w:t>综合满意度：指标分值10分，实际得分10分，得分率100%。本次重点绩效评价</w:t>
      </w:r>
      <w:r>
        <w:rPr>
          <w:rFonts w:hint="eastAsia" w:ascii="仿宋_GB2312" w:hAnsi="仿宋_GB2312" w:eastAsia="仿宋_GB2312" w:cs="仿宋_GB2312"/>
          <w:b w:val="0"/>
          <w:bCs/>
          <w:i w:val="0"/>
          <w:color w:val="000000"/>
          <w:spacing w:val="0"/>
          <w:sz w:val="32"/>
          <w:szCs w:val="32"/>
          <w:lang w:val="en-US" w:eastAsia="zh-CN"/>
        </w:rPr>
        <w:t>发出20份问卷调查，综合满意度大于90%</w:t>
      </w:r>
      <w:r>
        <w:rPr>
          <w:rFonts w:hint="eastAsia" w:ascii="仿宋_GB2312" w:hAnsi="仿宋_GB2312" w:eastAsia="仿宋_GB2312" w:cs="仿宋_GB2312"/>
          <w:b w:val="0"/>
          <w:bCs/>
          <w:i w:val="0"/>
          <w:color w:val="000000"/>
          <w:spacing w:val="0"/>
          <w:sz w:val="32"/>
          <w:szCs w:val="32"/>
        </w:rPr>
        <w:t>。表明公司的运营管理获得了广泛认可。</w:t>
      </w:r>
    </w:p>
    <w:p w14:paraId="6A866FA5">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五、主要经验及做法</w:t>
      </w:r>
    </w:p>
    <w:p w14:paraId="5807845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楷体_GB2312" w:hAnsi="楷体_GB2312" w:eastAsia="楷体_GB2312" w:cs="楷体_GB2312"/>
          <w:b w:val="0"/>
          <w:bCs/>
          <w:i w:val="0"/>
          <w:color w:val="000000"/>
          <w:spacing w:val="0"/>
          <w:sz w:val="32"/>
          <w:szCs w:val="32"/>
          <w:lang w:val="en-US" w:eastAsia="zh-CN"/>
        </w:rPr>
      </w:pPr>
      <w:r>
        <w:rPr>
          <w:rFonts w:hint="eastAsia" w:ascii="楷体_GB2312" w:hAnsi="楷体_GB2312" w:eastAsia="楷体_GB2312" w:cs="楷体_GB2312"/>
          <w:b w:val="0"/>
          <w:bCs/>
          <w:i w:val="0"/>
          <w:color w:val="000000"/>
          <w:spacing w:val="0"/>
          <w:sz w:val="32"/>
          <w:szCs w:val="32"/>
          <w:lang w:val="en-US" w:eastAsia="zh-CN"/>
        </w:rPr>
        <w:t>（一）市场导向，自主经营能力突出</w:t>
      </w:r>
    </w:p>
    <w:p w14:paraId="203A7D25">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lang w:val="en-US" w:eastAsia="zh-CN"/>
        </w:rPr>
        <w:t>在财政支持未到位的情况下，国投公司凭借市场化运作机制，积极开拓业务，严控成本，确保了营业收入与利润的稳健增长，展现了较强的自我发展能力。</w:t>
      </w:r>
    </w:p>
    <w:p w14:paraId="7591515D">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楷体_GB2312" w:hAnsi="楷体_GB2312" w:eastAsia="楷体_GB2312" w:cs="楷体_GB2312"/>
          <w:b w:val="0"/>
          <w:bCs/>
          <w:i w:val="0"/>
          <w:color w:val="000000"/>
          <w:spacing w:val="0"/>
          <w:sz w:val="32"/>
          <w:szCs w:val="32"/>
          <w:lang w:val="en-US" w:eastAsia="zh-CN"/>
        </w:rPr>
      </w:pPr>
      <w:r>
        <w:rPr>
          <w:rFonts w:hint="eastAsia" w:ascii="楷体_GB2312" w:hAnsi="楷体_GB2312" w:eastAsia="楷体_GB2312" w:cs="楷体_GB2312"/>
          <w:b w:val="0"/>
          <w:bCs/>
          <w:i w:val="0"/>
          <w:color w:val="000000"/>
          <w:spacing w:val="0"/>
          <w:sz w:val="32"/>
          <w:szCs w:val="32"/>
          <w:lang w:val="en-US" w:eastAsia="zh-CN"/>
        </w:rPr>
        <w:t>资产精益运营成效显著</w:t>
      </w:r>
    </w:p>
    <w:p w14:paraId="6050F564">
      <w:pPr>
        <w:keepNext w:val="0"/>
        <w:keepLines w:val="0"/>
        <w:pageBreakBefore w:val="0"/>
        <w:widowControl w:val="0"/>
        <w:numPr>
          <w:numId w:val="0"/>
        </w:numPr>
        <w:kinsoku/>
        <w:wordWrap/>
        <w:overflowPunct/>
        <w:topLinePunct w:val="0"/>
        <w:autoSpaceDE/>
        <w:autoSpaceDN/>
        <w:bidi w:val="0"/>
        <w:adjustRightInd/>
        <w:snapToGrid/>
        <w:spacing w:after="0" w:line="560" w:lineRule="exact"/>
        <w:ind w:right="0" w:rightChars="0" w:firstLine="640" w:firstLineChars="200"/>
        <w:jc w:val="both"/>
        <w:textAlignment w:val="auto"/>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lang w:val="en-US" w:eastAsia="zh-CN"/>
        </w:rPr>
        <w:t>通过有效的资产管理与运营策略，实现了国有资产的高效保值增值，核心资产质量与收益能力持续提升。</w:t>
      </w:r>
    </w:p>
    <w:p w14:paraId="679882D1">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楷体_GB2312" w:hAnsi="楷体_GB2312" w:eastAsia="楷体_GB2312" w:cs="楷体_GB2312"/>
          <w:b w:val="0"/>
          <w:bCs/>
          <w:i w:val="0"/>
          <w:color w:val="000000"/>
          <w:spacing w:val="0"/>
          <w:sz w:val="32"/>
          <w:szCs w:val="32"/>
          <w:lang w:val="en-US" w:eastAsia="zh-CN"/>
        </w:rPr>
      </w:pPr>
      <w:r>
        <w:rPr>
          <w:rFonts w:hint="eastAsia" w:ascii="楷体_GB2312" w:hAnsi="楷体_GB2312" w:eastAsia="楷体_GB2312" w:cs="楷体_GB2312"/>
          <w:b w:val="0"/>
          <w:bCs/>
          <w:i w:val="0"/>
          <w:color w:val="000000"/>
          <w:spacing w:val="0"/>
          <w:sz w:val="32"/>
          <w:szCs w:val="32"/>
          <w:lang w:val="en-US" w:eastAsia="zh-CN"/>
        </w:rPr>
        <w:t>风险管控体系坚实有效</w:t>
      </w:r>
    </w:p>
    <w:p w14:paraId="4D02BEB4">
      <w:pPr>
        <w:keepNext w:val="0"/>
        <w:keepLines w:val="0"/>
        <w:pageBreakBefore w:val="0"/>
        <w:widowControl w:val="0"/>
        <w:numPr>
          <w:numId w:val="0"/>
        </w:numPr>
        <w:kinsoku/>
        <w:wordWrap/>
        <w:overflowPunct/>
        <w:topLinePunct w:val="0"/>
        <w:autoSpaceDE/>
        <w:autoSpaceDN/>
        <w:bidi w:val="0"/>
        <w:adjustRightInd/>
        <w:snapToGrid/>
        <w:spacing w:after="0" w:line="560" w:lineRule="exact"/>
        <w:ind w:right="0" w:rightChars="0" w:firstLine="640" w:firstLineChars="200"/>
        <w:jc w:val="both"/>
        <w:textAlignment w:val="auto"/>
        <w:rPr>
          <w:rFonts w:hint="eastAsia" w:ascii="仿宋_GB2312" w:hAnsi="仿宋_GB2312" w:eastAsia="仿宋_GB2312" w:cs="仿宋_GB2312"/>
          <w:b w:val="0"/>
          <w:bCs/>
          <w:i w:val="0"/>
          <w:color w:val="000000"/>
          <w:spacing w:val="0"/>
          <w:sz w:val="32"/>
          <w:szCs w:val="32"/>
          <w:lang w:val="en-US" w:eastAsia="zh-CN"/>
        </w:rPr>
      </w:pPr>
      <w:r>
        <w:rPr>
          <w:rFonts w:hint="eastAsia" w:ascii="仿宋_GB2312" w:hAnsi="仿宋_GB2312" w:eastAsia="仿宋_GB2312" w:cs="仿宋_GB2312"/>
          <w:b w:val="0"/>
          <w:bCs/>
          <w:i w:val="0"/>
          <w:color w:val="000000"/>
          <w:spacing w:val="0"/>
          <w:sz w:val="32"/>
          <w:szCs w:val="32"/>
          <w:lang w:val="en-US" w:eastAsia="zh-CN"/>
        </w:rPr>
        <w:t>健全的风控审计与财务管理体系，保障了债务的按时清偿和整体财务安全，维系了良好的企业信用。</w:t>
      </w:r>
    </w:p>
    <w:p w14:paraId="74298368">
      <w:pPr>
        <w:keepNext w:val="0"/>
        <w:keepLines w:val="0"/>
        <w:pageBreakBefore w:val="0"/>
        <w:widowControl w:val="0"/>
        <w:numPr>
          <w:ilvl w:val="0"/>
          <w:numId w:val="4"/>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rPr>
          <w:rFonts w:hint="eastAsia" w:ascii="楷体_GB2312" w:hAnsi="楷体_GB2312" w:eastAsia="楷体_GB2312" w:cs="楷体_GB2312"/>
          <w:b w:val="0"/>
          <w:bCs/>
          <w:i w:val="0"/>
          <w:color w:val="000000"/>
          <w:spacing w:val="0"/>
          <w:sz w:val="32"/>
          <w:szCs w:val="32"/>
          <w:lang w:val="en-US" w:eastAsia="zh-CN"/>
        </w:rPr>
      </w:pPr>
      <w:r>
        <w:rPr>
          <w:rFonts w:hint="eastAsia" w:ascii="楷体_GB2312" w:hAnsi="楷体_GB2312" w:eastAsia="楷体_GB2312" w:cs="楷体_GB2312"/>
          <w:b w:val="0"/>
          <w:bCs/>
          <w:i w:val="0"/>
          <w:color w:val="000000"/>
          <w:spacing w:val="0"/>
          <w:sz w:val="32"/>
          <w:szCs w:val="32"/>
          <w:lang w:val="en-US" w:eastAsia="zh-CN"/>
        </w:rPr>
        <w:t>社会责任履行积极主动</w:t>
      </w:r>
    </w:p>
    <w:p w14:paraId="5A6CC652">
      <w:pPr>
        <w:keepNext w:val="0"/>
        <w:keepLines w:val="0"/>
        <w:pageBreakBefore w:val="0"/>
        <w:widowControl w:val="0"/>
        <w:numPr>
          <w:numId w:val="0"/>
        </w:numPr>
        <w:kinsoku/>
        <w:wordWrap/>
        <w:overflowPunct/>
        <w:topLinePunct w:val="0"/>
        <w:autoSpaceDE/>
        <w:autoSpaceDN/>
        <w:bidi w:val="0"/>
        <w:adjustRightInd/>
        <w:snapToGrid/>
        <w:spacing w:after="0" w:line="560" w:lineRule="exact"/>
        <w:ind w:right="0" w:righ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bCs/>
          <w:i w:val="0"/>
          <w:color w:val="000000"/>
          <w:spacing w:val="0"/>
          <w:sz w:val="32"/>
          <w:szCs w:val="32"/>
          <w:lang w:val="en-US" w:eastAsia="zh-CN"/>
        </w:rPr>
        <w:t>在促进就业、依法纳税等方面主动作为，提升了企业社会形象和综合满意度。</w:t>
      </w:r>
    </w:p>
    <w:p w14:paraId="6160B43A">
      <w:pPr>
        <w:keepNext w:val="0"/>
        <w:keepLines w:val="0"/>
        <w:pageBreakBefore w:val="0"/>
        <w:widowControl w:val="0"/>
        <w:numPr>
          <w:ilvl w:val="0"/>
          <w:numId w:val="5"/>
        </w:numPr>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存在的问题及原因分析</w:t>
      </w:r>
    </w:p>
    <w:p w14:paraId="2BAA2BEA">
      <w:pPr>
        <w:pStyle w:val="5"/>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outlineLvl w:val="1"/>
        <w:rPr>
          <w:rFonts w:hint="eastAsia" w:ascii="楷体_GB2312" w:hAnsi="楷体_GB2312" w:eastAsia="楷体_GB2312" w:cs="楷体_GB2312"/>
          <w:b w:val="0"/>
          <w:bCs/>
          <w:color w:val="auto"/>
          <w:spacing w:val="0"/>
          <w:kern w:val="2"/>
          <w:sz w:val="32"/>
          <w:szCs w:val="32"/>
          <w:lang w:val="en-US" w:eastAsia="zh-CN" w:bidi="ar-SA"/>
        </w:rPr>
      </w:pPr>
      <w:r>
        <w:rPr>
          <w:rFonts w:hint="eastAsia" w:ascii="楷体_GB2312" w:hAnsi="楷体_GB2312" w:eastAsia="楷体_GB2312" w:cs="楷体_GB2312"/>
          <w:b w:val="0"/>
          <w:bCs/>
          <w:color w:val="auto"/>
          <w:spacing w:val="0"/>
          <w:kern w:val="2"/>
          <w:sz w:val="32"/>
          <w:szCs w:val="32"/>
          <w:lang w:val="en-US" w:eastAsia="zh-CN" w:bidi="ar-SA"/>
        </w:rPr>
        <w:t>（一）招租压力持续加大</w:t>
      </w:r>
    </w:p>
    <w:p w14:paraId="5D6F5981">
      <w:pPr>
        <w:pStyle w:val="5"/>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val="0"/>
          <w:bCs/>
          <w:color w:val="auto"/>
          <w:spacing w:val="0"/>
          <w:kern w:val="2"/>
          <w:sz w:val="32"/>
          <w:szCs w:val="32"/>
          <w:lang w:val="en-US" w:eastAsia="zh-CN" w:bidi="ar-SA"/>
        </w:rPr>
      </w:pPr>
      <w:r>
        <w:rPr>
          <w:rFonts w:hint="eastAsia" w:ascii="仿宋_GB2312" w:hAnsi="仿宋_GB2312" w:eastAsia="仿宋_GB2312" w:cs="仿宋_GB2312"/>
          <w:b w:val="0"/>
          <w:bCs/>
          <w:color w:val="auto"/>
          <w:spacing w:val="0"/>
          <w:kern w:val="2"/>
          <w:sz w:val="32"/>
          <w:szCs w:val="32"/>
          <w:lang w:val="en-US" w:eastAsia="zh-CN" w:bidi="ar-SA"/>
        </w:rPr>
        <w:t>受宏观经济下行与房地产市场整体调整影响，租赁业务面临市场需求收缩、租金水平承压、退租率上升等挑战。一方面，部分原有租户因经营困难选择退租；另一方面，公司持有物业多数建成年代较早，空间条件与硬件设施相对滞后，租户若需入驻往往需承担较高的装修改造投入，导致在同片区市场竞争中吸引力不足。此外，当前招租渠道较为传统，主要依赖现场公告、产交所挂牌及中介推荐，覆盖面有限，与日益线上化、多元化的市场对接不够紧密，制约了房源的高效推广。</w:t>
      </w:r>
    </w:p>
    <w:p w14:paraId="1C570A6A">
      <w:pPr>
        <w:pStyle w:val="5"/>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outlineLvl w:val="1"/>
        <w:rPr>
          <w:rFonts w:hint="eastAsia" w:ascii="楷体_GB2312" w:hAnsi="楷体_GB2312" w:eastAsia="楷体_GB2312" w:cs="楷体_GB2312"/>
          <w:b w:val="0"/>
          <w:bCs/>
          <w:color w:val="auto"/>
          <w:spacing w:val="0"/>
          <w:kern w:val="2"/>
          <w:sz w:val="32"/>
          <w:szCs w:val="32"/>
          <w:lang w:val="en-US" w:eastAsia="zh-CN" w:bidi="ar-SA"/>
        </w:rPr>
      </w:pPr>
      <w:r>
        <w:rPr>
          <w:rFonts w:hint="eastAsia" w:ascii="楷体_GB2312" w:hAnsi="楷体_GB2312" w:eastAsia="楷体_GB2312" w:cs="楷体_GB2312"/>
          <w:b w:val="0"/>
          <w:bCs/>
          <w:color w:val="auto"/>
          <w:spacing w:val="0"/>
          <w:kern w:val="2"/>
          <w:sz w:val="32"/>
          <w:szCs w:val="32"/>
          <w:lang w:val="en-US" w:eastAsia="zh-CN" w:bidi="ar-SA"/>
        </w:rPr>
        <w:t>（二）租金回收难度增加</w:t>
      </w:r>
    </w:p>
    <w:p w14:paraId="3B4334CE">
      <w:pPr>
        <w:pStyle w:val="5"/>
        <w:keepNext w:val="0"/>
        <w:keepLines w:val="0"/>
        <w:pageBreakBefore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b w:val="0"/>
          <w:bCs/>
          <w:color w:val="auto"/>
          <w:spacing w:val="0"/>
          <w:kern w:val="2"/>
          <w:sz w:val="32"/>
          <w:szCs w:val="32"/>
          <w:lang w:val="en-US" w:eastAsia="zh-CN" w:bidi="ar-SA"/>
        </w:rPr>
        <w:t>在经济与市场环境变化的背景下，租金收取工作同样面临较大压力。部分租户因经营状况变化出现租金拖欠，同时退租情况有所增加，对公司资金及时回笼造成一定影响。</w:t>
      </w:r>
    </w:p>
    <w:p w14:paraId="2D1797A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lang w:val="en-US" w:eastAsia="zh-CN"/>
        </w:rPr>
        <w:t>（三）</w:t>
      </w:r>
      <w:r>
        <w:rPr>
          <w:rFonts w:hint="eastAsia" w:ascii="楷体_GB2312" w:hAnsi="楷体_GB2312" w:eastAsia="楷体_GB2312" w:cs="楷体_GB2312"/>
          <w:color w:val="auto"/>
          <w:spacing w:val="0"/>
          <w:sz w:val="32"/>
          <w:szCs w:val="32"/>
        </w:rPr>
        <w:t>固定资产投资项目统筹协调仍需强化</w:t>
      </w:r>
    </w:p>
    <w:p w14:paraId="09770E6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在建项目、储备项目之间的时序衔接和要素保障统筹不够均衡，部分项目前期手续办理、要素报批等环节耗时相对偏长，一定程度上影响固投任务推进节奏和投资效能快速释放。</w:t>
      </w:r>
    </w:p>
    <w:p w14:paraId="37FC609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outlineLvl w:val="1"/>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lang w:val="en-US" w:eastAsia="zh-CN"/>
        </w:rPr>
        <w:t>（四）</w:t>
      </w:r>
      <w:r>
        <w:rPr>
          <w:rFonts w:hint="eastAsia" w:ascii="楷体_GB2312" w:hAnsi="楷体_GB2312" w:eastAsia="楷体_GB2312" w:cs="楷体_GB2312"/>
          <w:color w:val="auto"/>
          <w:spacing w:val="0"/>
          <w:sz w:val="32"/>
          <w:szCs w:val="32"/>
        </w:rPr>
        <w:t>内控管理与风险防控仍需持续深化</w:t>
      </w:r>
    </w:p>
    <w:p w14:paraId="4A9E8ED4">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虽然已建立内控体系，但在制度执行穿透性、流程闭环管理、关键岗位风险预警等方面仍有不足；部分业务环节标准化、规范化水平有待进一步提高，内部审计监督的深度和覆盖面仍需加强。</w:t>
      </w:r>
    </w:p>
    <w:p w14:paraId="679AC359">
      <w:pPr>
        <w:keepNext w:val="0"/>
        <w:keepLines w:val="0"/>
        <w:pageBreakBefore w:val="0"/>
        <w:widowControl w:val="0"/>
        <w:kinsoku/>
        <w:wordWrap/>
        <w:overflowPunct/>
        <w:topLinePunct w:val="0"/>
        <w:autoSpaceDE/>
        <w:autoSpaceDN/>
        <w:bidi w:val="0"/>
        <w:adjustRightInd/>
        <w:snapToGrid/>
        <w:spacing w:after="0" w:line="560" w:lineRule="exact"/>
        <w:ind w:left="0" w:leftChars="0" w:right="0" w:rightChars="0" w:firstLine="640" w:firstLineChars="200"/>
        <w:jc w:val="both"/>
        <w:textAlignment w:val="auto"/>
        <w:outlineLvl w:val="0"/>
        <w:rPr>
          <w:rFonts w:hint="eastAsia" w:ascii="黑体" w:hAnsi="黑体" w:eastAsia="黑体" w:cs="黑体"/>
          <w:color w:val="auto"/>
          <w:spacing w:val="0"/>
          <w:sz w:val="32"/>
          <w:szCs w:val="32"/>
        </w:rPr>
      </w:pPr>
      <w:r>
        <w:rPr>
          <w:rFonts w:hint="eastAsia" w:ascii="黑体" w:hAnsi="黑体" w:eastAsia="黑体" w:cs="黑体"/>
          <w:color w:val="auto"/>
          <w:spacing w:val="0"/>
          <w:sz w:val="32"/>
          <w:szCs w:val="32"/>
        </w:rPr>
        <w:t>七、有关建议</w:t>
      </w:r>
    </w:p>
    <w:p w14:paraId="37855AB2">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lang w:val="en-US" w:eastAsia="zh-CN"/>
        </w:rPr>
        <w:t>一</w:t>
      </w:r>
      <w:r>
        <w:rPr>
          <w:rFonts w:hint="eastAsia" w:ascii="楷体_GB2312" w:hAnsi="楷体_GB2312" w:eastAsia="楷体_GB2312" w:cs="楷体_GB2312"/>
          <w:color w:val="auto"/>
          <w:spacing w:val="0"/>
          <w:sz w:val="32"/>
          <w:szCs w:val="32"/>
          <w:lang w:eastAsia="zh-CN"/>
        </w:rPr>
        <w:t>）</w:t>
      </w:r>
      <w:r>
        <w:rPr>
          <w:rFonts w:hint="eastAsia" w:ascii="楷体_GB2312" w:hAnsi="楷体_GB2312" w:eastAsia="楷体_GB2312" w:cs="楷体_GB2312"/>
          <w:color w:val="auto"/>
          <w:spacing w:val="0"/>
          <w:sz w:val="32"/>
          <w:szCs w:val="32"/>
        </w:rPr>
        <w:t>优化招租策略</w:t>
      </w:r>
    </w:p>
    <w:p w14:paraId="69AFB44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加强市场调研，了解租户需求，优化物业项目定位，提高物业项目的吸引力。拓展招租渠道，我公司通过昆明联合产权交易所，云南产权交易所，淘宝一锤定音等平台加大招租的宣传力度，吸引更多潜在租户。针对租售比低的物业制定相应的招商方案以达到提升租金收益、优化资产利用率的目的。</w:t>
      </w:r>
    </w:p>
    <w:p w14:paraId="199064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kern w:val="2"/>
          <w:sz w:val="32"/>
          <w:szCs w:val="32"/>
          <w:lang w:val="en-US" w:eastAsia="zh-CN" w:bidi="ar-SA"/>
        </w:rPr>
        <w:t>（二）</w:t>
      </w:r>
      <w:r>
        <w:rPr>
          <w:rFonts w:hint="eastAsia" w:ascii="楷体_GB2312" w:hAnsi="楷体_GB2312" w:eastAsia="楷体_GB2312" w:cs="楷体_GB2312"/>
          <w:color w:val="auto"/>
          <w:spacing w:val="0"/>
          <w:sz w:val="32"/>
          <w:szCs w:val="32"/>
        </w:rPr>
        <w:t>加强收租管理</w:t>
      </w:r>
    </w:p>
    <w:p w14:paraId="1493C09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建立完善的收租制度，明确租金缴纳时间和方式，确保租金及时回笼。加强对租户的信用评估，对存在拖欠租金风险的租户进行重点关注和管理。加强与租户的沟通，了解其经营情况和困难，提供必要的支持和帮助，以缓解租金拖欠问题。</w:t>
      </w:r>
    </w:p>
    <w:p w14:paraId="6A628EF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kern w:val="2"/>
          <w:sz w:val="32"/>
          <w:szCs w:val="32"/>
          <w:lang w:val="en-US" w:eastAsia="zh-CN" w:bidi="ar-SA"/>
        </w:rPr>
        <w:t>（三）</w:t>
      </w:r>
      <w:r>
        <w:rPr>
          <w:rFonts w:hint="eastAsia" w:ascii="楷体_GB2312" w:hAnsi="楷体_GB2312" w:eastAsia="楷体_GB2312" w:cs="楷体_GB2312"/>
          <w:color w:val="auto"/>
          <w:spacing w:val="0"/>
          <w:sz w:val="32"/>
          <w:szCs w:val="32"/>
        </w:rPr>
        <w:t>优化房屋条件</w:t>
      </w:r>
    </w:p>
    <w:p w14:paraId="253CF74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对现有资产进行简单翻新，如刷新墙面、更换老旧线路，保障基础设施的完好，增加房源吸引力，通过调研周边同类型房源租金，结合自身房屋条件合理定价。</w:t>
      </w:r>
    </w:p>
    <w:p w14:paraId="35E3809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kern w:val="2"/>
          <w:sz w:val="32"/>
          <w:szCs w:val="32"/>
          <w:lang w:val="en-US" w:eastAsia="zh-CN" w:bidi="ar-SA"/>
        </w:rPr>
        <w:t>（四）</w:t>
      </w:r>
      <w:r>
        <w:rPr>
          <w:rFonts w:hint="eastAsia" w:ascii="楷体_GB2312" w:hAnsi="楷体_GB2312" w:eastAsia="楷体_GB2312" w:cs="楷体_GB2312"/>
          <w:color w:val="auto"/>
          <w:spacing w:val="0"/>
          <w:sz w:val="32"/>
          <w:szCs w:val="32"/>
        </w:rPr>
        <w:t>加强租户资质与信用管理</w:t>
      </w:r>
    </w:p>
    <w:p w14:paraId="5A5AE77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优化租户准入评估，引入经营状况与信用背景审查。对现有租户，定期进行经营健康度走访，提前识别潜在退租或欠租风险。</w:t>
      </w:r>
    </w:p>
    <w:p w14:paraId="49D99E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color w:val="auto"/>
          <w:spacing w:val="0"/>
          <w:sz w:val="32"/>
          <w:szCs w:val="32"/>
        </w:rPr>
      </w:pPr>
      <w:r>
        <w:rPr>
          <w:rFonts w:hint="eastAsia" w:ascii="楷体_GB2312" w:hAnsi="楷体_GB2312" w:eastAsia="楷体_GB2312" w:cs="楷体_GB2312"/>
          <w:color w:val="auto"/>
          <w:spacing w:val="0"/>
          <w:kern w:val="2"/>
          <w:sz w:val="32"/>
          <w:szCs w:val="32"/>
          <w:lang w:val="en-US" w:eastAsia="zh-CN" w:bidi="ar-SA"/>
        </w:rPr>
        <w:t>（五）</w:t>
      </w:r>
      <w:r>
        <w:rPr>
          <w:rFonts w:hint="eastAsia" w:ascii="楷体_GB2312" w:hAnsi="楷体_GB2312" w:eastAsia="楷体_GB2312" w:cs="楷体_GB2312"/>
          <w:color w:val="auto"/>
          <w:spacing w:val="0"/>
          <w:sz w:val="32"/>
          <w:szCs w:val="32"/>
        </w:rPr>
        <w:t>依法合规推进清收与资产周转</w:t>
      </w:r>
    </w:p>
    <w:p w14:paraId="1B28B90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对于恶意拖欠租金的租户，明确内部催收流程与法律途径，加快资金回收。对退租房源，建立快速翻新、重新挂牌的流程，缩短空置期。</w:t>
      </w:r>
    </w:p>
    <w:p w14:paraId="6AC5EE14">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楷体_GB2312" w:hAnsi="楷体_GB2312" w:eastAsia="楷体_GB2312" w:cs="楷体_GB2312"/>
          <w:color w:val="auto"/>
          <w:spacing w:val="0"/>
          <w:kern w:val="2"/>
          <w:sz w:val="32"/>
          <w:szCs w:val="32"/>
          <w:lang w:val="en-US" w:eastAsia="zh-CN" w:bidi="ar-SA"/>
        </w:rPr>
        <w:t>（六）加快项目全周期管理，提高固定资产投资效能</w:t>
      </w:r>
    </w:p>
    <w:p w14:paraId="089F6735">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加强项目前期策划与要素保障统筹，优化报批报建流程，压实项目节点责任；强化在建项目进度管控和质量安全管理。当前公司固定资产投资领域资金压力较为突出，项目推进与资金筹措节奏匹配度有待提升，一定程度上影响投资进度和项目落地效率。下一步将科学统筹资金安排，合理排布项目实施时序，确保固投项目按期落地见效，全面完成年度固定资产投资目标任务。</w:t>
      </w:r>
    </w:p>
    <w:p w14:paraId="47DCAEF0">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楷体_GB2312" w:hAnsi="楷体_GB2312" w:eastAsia="楷体_GB2312" w:cs="楷体_GB2312"/>
          <w:color w:val="auto"/>
          <w:spacing w:val="0"/>
          <w:kern w:val="2"/>
          <w:sz w:val="32"/>
          <w:szCs w:val="32"/>
          <w:lang w:val="en-US" w:eastAsia="zh-CN" w:bidi="ar-SA"/>
        </w:rPr>
      </w:pPr>
      <w:r>
        <w:rPr>
          <w:rFonts w:hint="eastAsia" w:ascii="楷体_GB2312" w:hAnsi="楷体_GB2312" w:eastAsia="楷体_GB2312" w:cs="楷体_GB2312"/>
          <w:color w:val="auto"/>
          <w:spacing w:val="0"/>
          <w:kern w:val="2"/>
          <w:sz w:val="32"/>
          <w:szCs w:val="32"/>
          <w:lang w:val="en-US" w:eastAsia="zh-CN" w:bidi="ar-SA"/>
        </w:rPr>
        <w:t>（七）持续完善内控体系，筑牢风险防控防线</w:t>
      </w:r>
    </w:p>
    <w:p w14:paraId="3D4E4ABC">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进一步健全内控管理制度，强化制度执行监督与问责，提升流程规范化、标准化水平；加强法务、风控、审计协同联动，完善债务风险、经营风险、合规风险预警机制，守住不发生重大风险底线。</w:t>
      </w:r>
    </w:p>
    <w:p w14:paraId="778D0EF2">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p>
    <w:p w14:paraId="05112A06">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p>
    <w:p w14:paraId="21AA4538">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p>
    <w:p w14:paraId="24F8B002">
      <w:pPr>
        <w:pStyle w:val="11"/>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附件：1. 国投2024财务报表</w:t>
      </w:r>
    </w:p>
    <w:p w14:paraId="17848025">
      <w:pPr>
        <w:pStyle w:val="11"/>
        <w:keepNext w:val="0"/>
        <w:keepLines w:val="0"/>
        <w:pageBreakBefore w:val="0"/>
        <w:widowControl w:val="0"/>
        <w:numPr>
          <w:ilvl w:val="0"/>
          <w:numId w:val="6"/>
        </w:numPr>
        <w:kinsoku/>
        <w:wordWrap/>
        <w:overflowPunct/>
        <w:topLinePunct w:val="0"/>
        <w:autoSpaceDE/>
        <w:autoSpaceDN/>
        <w:bidi w:val="0"/>
        <w:adjustRightInd/>
        <w:snapToGrid/>
        <w:spacing w:line="560" w:lineRule="exact"/>
        <w:ind w:left="1600" w:leftChars="0" w:firstLine="0" w:firstLineChars="0"/>
        <w:jc w:val="both"/>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国投2025财务报表（2.14初稿）</w:t>
      </w:r>
    </w:p>
    <w:p w14:paraId="02D715D1">
      <w:pPr>
        <w:pStyle w:val="11"/>
        <w:keepNext w:val="0"/>
        <w:keepLines w:val="0"/>
        <w:pageBreakBefore w:val="0"/>
        <w:widowControl w:val="0"/>
        <w:numPr>
          <w:ilvl w:val="0"/>
          <w:numId w:val="6"/>
        </w:numPr>
        <w:kinsoku/>
        <w:wordWrap/>
        <w:overflowPunct/>
        <w:topLinePunct w:val="0"/>
        <w:autoSpaceDE/>
        <w:autoSpaceDN/>
        <w:bidi w:val="0"/>
        <w:adjustRightInd/>
        <w:snapToGrid/>
        <w:spacing w:line="560" w:lineRule="exact"/>
        <w:ind w:left="1600" w:leftChars="0" w:firstLine="0" w:firstLineChars="0"/>
        <w:jc w:val="both"/>
        <w:textAlignment w:val="auto"/>
        <w:rPr>
          <w:rFonts w:hint="default"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国投税收完税证明2024</w:t>
      </w:r>
    </w:p>
    <w:p w14:paraId="32F3F57E">
      <w:pPr>
        <w:pStyle w:val="11"/>
        <w:keepNext w:val="0"/>
        <w:keepLines w:val="0"/>
        <w:pageBreakBefore w:val="0"/>
        <w:widowControl w:val="0"/>
        <w:numPr>
          <w:ilvl w:val="0"/>
          <w:numId w:val="6"/>
        </w:numPr>
        <w:kinsoku/>
        <w:wordWrap/>
        <w:overflowPunct/>
        <w:topLinePunct w:val="0"/>
        <w:autoSpaceDE/>
        <w:autoSpaceDN/>
        <w:bidi w:val="0"/>
        <w:adjustRightInd/>
        <w:snapToGrid/>
        <w:spacing w:line="560" w:lineRule="exact"/>
        <w:ind w:left="1600" w:leftChars="0" w:firstLine="0" w:firstLineChars="0"/>
        <w:jc w:val="both"/>
        <w:textAlignment w:val="auto"/>
        <w:rPr>
          <w:rFonts w:hint="default"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国投税收完税证明2025</w:t>
      </w:r>
    </w:p>
    <w:p w14:paraId="62842514">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1600" w:leftChars="0" w:firstLine="0" w:firstLineChars="0"/>
        <w:jc w:val="both"/>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企业员工对企业经营日常工作满意度</w:t>
      </w:r>
    </w:p>
    <w:p w14:paraId="2F682F8B">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1600" w:leftChars="0"/>
        <w:jc w:val="both"/>
        <w:textAlignment w:val="auto"/>
        <w:rPr>
          <w:rFonts w:hint="default" w:ascii="仿宋_GB2312" w:hAnsi="仿宋_GB2312" w:eastAsia="仿宋_GB2312" w:cs="仿宋_GB2312"/>
          <w:color w:val="auto"/>
          <w:spacing w:val="0"/>
          <w:kern w:val="2"/>
          <w:sz w:val="32"/>
          <w:szCs w:val="32"/>
          <w:lang w:val="en-US" w:eastAsia="zh-CN" w:bidi="ar-SA"/>
        </w:rPr>
      </w:pPr>
    </w:p>
    <w:p w14:paraId="76E3EFA9">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1600" w:leftChars="0"/>
        <w:jc w:val="both"/>
        <w:textAlignment w:val="auto"/>
        <w:rPr>
          <w:rFonts w:hint="default" w:ascii="仿宋_GB2312" w:hAnsi="仿宋_GB2312" w:eastAsia="仿宋_GB2312" w:cs="仿宋_GB2312"/>
          <w:color w:val="auto"/>
          <w:spacing w:val="0"/>
          <w:kern w:val="2"/>
          <w:sz w:val="32"/>
          <w:szCs w:val="32"/>
          <w:lang w:val="en-US" w:eastAsia="zh-CN" w:bidi="ar-SA"/>
        </w:rPr>
      </w:pPr>
    </w:p>
    <w:p w14:paraId="52A6892D">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1600" w:leftChars="0"/>
        <w:jc w:val="both"/>
        <w:textAlignment w:val="auto"/>
        <w:rPr>
          <w:rFonts w:hint="default" w:ascii="仿宋_GB2312" w:hAnsi="仿宋_GB2312" w:eastAsia="仿宋_GB2312" w:cs="仿宋_GB2312"/>
          <w:color w:val="auto"/>
          <w:spacing w:val="0"/>
          <w:kern w:val="2"/>
          <w:sz w:val="32"/>
          <w:szCs w:val="32"/>
          <w:lang w:val="en-US" w:eastAsia="zh-CN" w:bidi="ar-SA"/>
        </w:rPr>
      </w:pPr>
    </w:p>
    <w:p w14:paraId="1AD8EE29">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1600" w:leftChars="0"/>
        <w:jc w:val="right"/>
        <w:textAlignment w:val="auto"/>
        <w:rPr>
          <w:rFonts w:hint="eastAsia"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昆明市五华区国有资产投资经营管理有限公司</w:t>
      </w:r>
    </w:p>
    <w:p w14:paraId="2FA1DC22">
      <w:pPr>
        <w:pStyle w:val="11"/>
        <w:keepNext w:val="0"/>
        <w:keepLines w:val="0"/>
        <w:pageBreakBefore w:val="0"/>
        <w:widowControl w:val="0"/>
        <w:numPr>
          <w:ilvl w:val="0"/>
          <w:numId w:val="0"/>
        </w:numPr>
        <w:kinsoku/>
        <w:wordWrap/>
        <w:overflowPunct/>
        <w:topLinePunct w:val="0"/>
        <w:autoSpaceDE/>
        <w:autoSpaceDN/>
        <w:bidi w:val="0"/>
        <w:adjustRightInd/>
        <w:snapToGrid/>
        <w:spacing w:line="560" w:lineRule="exact"/>
        <w:ind w:left="1600" w:leftChars="0"/>
        <w:jc w:val="right"/>
        <w:textAlignment w:val="auto"/>
        <w:rPr>
          <w:rFonts w:hint="default" w:ascii="仿宋_GB2312" w:hAnsi="仿宋_GB2312" w:eastAsia="仿宋_GB2312" w:cs="仿宋_GB2312"/>
          <w:color w:val="auto"/>
          <w:spacing w:val="0"/>
          <w:kern w:val="2"/>
          <w:sz w:val="32"/>
          <w:szCs w:val="32"/>
          <w:lang w:val="en-US" w:eastAsia="zh-CN" w:bidi="ar-SA"/>
        </w:rPr>
      </w:pPr>
      <w:r>
        <w:rPr>
          <w:rFonts w:hint="eastAsia" w:ascii="仿宋_GB2312" w:hAnsi="仿宋_GB2312" w:eastAsia="仿宋_GB2312" w:cs="仿宋_GB2312"/>
          <w:color w:val="auto"/>
          <w:spacing w:val="0"/>
          <w:kern w:val="2"/>
          <w:sz w:val="32"/>
          <w:szCs w:val="32"/>
          <w:lang w:val="en-US" w:eastAsia="zh-CN" w:bidi="ar-SA"/>
        </w:rPr>
        <w:t>2026年3月30日</w:t>
      </w:r>
    </w:p>
    <w:sectPr>
      <w:headerReference r:id="rId3" w:type="default"/>
      <w:footerReference r:id="rId4" w:type="default"/>
      <w:footerReference r:id="rId5" w:type="even"/>
      <w:pgSz w:w="11906" w:h="16838"/>
      <w:pgMar w:top="2098" w:right="1531" w:bottom="1984" w:left="153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7E61F">
    <w:pPr>
      <w:pStyle w:val="7"/>
      <w:wordWrap w:val="0"/>
      <w:jc w:val="right"/>
      <w:rPr>
        <w:rFonts w:hint="default" w:ascii="仿宋_GB2312" w:eastAsia="仿宋_GB2312"/>
        <w:sz w:val="28"/>
        <w:szCs w:val="28"/>
        <w:lang w:val="en-US" w:eastAsia="zh-CN"/>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1</w:t>
    </w:r>
    <w:r>
      <w:rPr>
        <w:rFonts w:hint="eastAsia" w:ascii="仿宋_GB2312" w:eastAsia="仿宋_GB2312"/>
        <w:sz w:val="28"/>
        <w:szCs w:val="28"/>
      </w:rPr>
      <w:fldChar w:fldCharType="end"/>
    </w:r>
    <w:r>
      <w:rPr>
        <w:rFonts w:hint="eastAsia" w:ascii="仿宋_GB2312" w:eastAsia="仿宋_GB2312"/>
        <w:sz w:val="28"/>
        <w:szCs w:val="28"/>
      </w:rPr>
      <w:t>—</w:t>
    </w:r>
    <w:r>
      <w:rPr>
        <w:rFonts w:hint="eastAsia" w:ascii="仿宋_GB2312" w:eastAsia="仿宋_GB2312"/>
        <w:sz w:val="28"/>
        <w:szCs w:val="28"/>
        <w:lang w:val="en-US" w:eastAsia="zh-CN"/>
      </w:rPr>
      <w:t xml:space="preserve">  </w:t>
    </w:r>
  </w:p>
  <w:p w14:paraId="2E94773E">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C2AA">
    <w:pPr>
      <w:pStyle w:val="7"/>
      <w:ind w:firstLine="280" w:firstLineChars="1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2</w:t>
    </w:r>
    <w:r>
      <w:rPr>
        <w:rFonts w:hint="eastAsia" w:ascii="仿宋_GB2312" w:eastAsia="仿宋_GB2312"/>
        <w:sz w:val="28"/>
        <w:szCs w:val="28"/>
      </w:rPr>
      <w:fldChar w:fldCharType="end"/>
    </w:r>
    <w:r>
      <w:rPr>
        <w:rFonts w:hint="eastAsia" w:ascii="仿宋_GB2312" w:eastAsia="仿宋_GB2312"/>
        <w:sz w:val="28"/>
        <w:szCs w:val="28"/>
      </w:rPr>
      <w:t>—</w:t>
    </w:r>
  </w:p>
  <w:p w14:paraId="5656A81C">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E10CD">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8A2BC7"/>
    <w:multiLevelType w:val="singleLevel"/>
    <w:tmpl w:val="858A2BC7"/>
    <w:lvl w:ilvl="0" w:tentative="0">
      <w:start w:val="2"/>
      <w:numFmt w:val="chineseCounting"/>
      <w:suff w:val="nothing"/>
      <w:lvlText w:val="（%1）"/>
      <w:lvlJc w:val="left"/>
      <w:rPr>
        <w:rFonts w:hint="eastAsia"/>
      </w:rPr>
    </w:lvl>
  </w:abstractNum>
  <w:abstractNum w:abstractNumId="1">
    <w:nsid w:val="C92B5F66"/>
    <w:multiLevelType w:val="singleLevel"/>
    <w:tmpl w:val="C92B5F66"/>
    <w:lvl w:ilvl="0" w:tentative="0">
      <w:start w:val="1"/>
      <w:numFmt w:val="decimal"/>
      <w:suff w:val="nothing"/>
      <w:lvlText w:val="（%1）"/>
      <w:lvlJc w:val="left"/>
    </w:lvl>
  </w:abstractNum>
  <w:abstractNum w:abstractNumId="2">
    <w:nsid w:val="FAE84DC9"/>
    <w:multiLevelType w:val="singleLevel"/>
    <w:tmpl w:val="FAE84DC9"/>
    <w:lvl w:ilvl="0" w:tentative="0">
      <w:start w:val="6"/>
      <w:numFmt w:val="chineseCounting"/>
      <w:suff w:val="nothing"/>
      <w:lvlText w:val="%1、"/>
      <w:lvlJc w:val="left"/>
      <w:rPr>
        <w:rFonts w:hint="eastAsia"/>
      </w:rPr>
    </w:lvl>
  </w:abstractNum>
  <w:abstractNum w:abstractNumId="3">
    <w:nsid w:val="FDEBF066"/>
    <w:multiLevelType w:val="singleLevel"/>
    <w:tmpl w:val="FDEBF066"/>
    <w:lvl w:ilvl="0" w:tentative="0">
      <w:start w:val="2"/>
      <w:numFmt w:val="decimal"/>
      <w:lvlText w:val="%1."/>
      <w:lvlJc w:val="left"/>
      <w:pPr>
        <w:tabs>
          <w:tab w:val="left" w:pos="312"/>
        </w:tabs>
        <w:ind w:left="1600" w:leftChars="0" w:firstLine="0" w:firstLineChars="0"/>
      </w:pPr>
    </w:lvl>
  </w:abstractNum>
  <w:abstractNum w:abstractNumId="4">
    <w:nsid w:val="2A2A8AFC"/>
    <w:multiLevelType w:val="singleLevel"/>
    <w:tmpl w:val="2A2A8AFC"/>
    <w:lvl w:ilvl="0" w:tentative="0">
      <w:start w:val="2"/>
      <w:numFmt w:val="chineseCounting"/>
      <w:suff w:val="nothing"/>
      <w:lvlText w:val="（%1）"/>
      <w:lvlJc w:val="left"/>
      <w:rPr>
        <w:rFonts w:hint="eastAsia"/>
      </w:rPr>
    </w:lvl>
  </w:abstractNum>
  <w:abstractNum w:abstractNumId="5">
    <w:nsid w:val="333C932F"/>
    <w:multiLevelType w:val="singleLevel"/>
    <w:tmpl w:val="333C932F"/>
    <w:lvl w:ilvl="0" w:tentative="0">
      <w:start w:val="1"/>
      <w:numFmt w:val="decimal"/>
      <w:suff w:val="nothing"/>
      <w:lvlText w:val="（%1）"/>
      <w:lvlJc w:val="left"/>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B73AF1"/>
    <w:rsid w:val="188E03E1"/>
    <w:rsid w:val="1C223515"/>
    <w:rsid w:val="23C42358"/>
    <w:rsid w:val="2635298F"/>
    <w:rsid w:val="30CB1766"/>
    <w:rsid w:val="36B22973"/>
    <w:rsid w:val="675C0966"/>
    <w:rsid w:val="67B73AF1"/>
    <w:rsid w:val="734A130B"/>
    <w:rsid w:val="7AC160EA"/>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kern w:val="44"/>
      <w:sz w:val="44"/>
    </w:rPr>
  </w:style>
  <w:style w:type="paragraph" w:styleId="3">
    <w:name w:val="heading 2"/>
    <w:basedOn w:val="1"/>
    <w:next w:val="1"/>
    <w:qFormat/>
    <w:uiPriority w:val="0"/>
    <w:pPr>
      <w:keepNext/>
      <w:keepLines/>
      <w:spacing w:line="560" w:lineRule="exact"/>
      <w:ind w:firstLine="640"/>
      <w:outlineLvl w:val="1"/>
    </w:pPr>
    <w:rPr>
      <w:rFonts w:eastAsia="黑体"/>
    </w:rPr>
  </w:style>
  <w:style w:type="paragraph" w:styleId="4">
    <w:name w:val="heading 3"/>
    <w:basedOn w:val="1"/>
    <w:next w:val="1"/>
    <w:unhideWhenUsed/>
    <w:qFormat/>
    <w:uiPriority w:val="9"/>
    <w:pPr>
      <w:jc w:val="left"/>
      <w:outlineLvl w:val="2"/>
    </w:pPr>
    <w:rPr>
      <w:rFonts w:cstheme="minorBidi"/>
      <w:b/>
      <w:szCs w:val="30"/>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Body Text"/>
    <w:basedOn w:val="1"/>
    <w:next w:val="7"/>
    <w:qFormat/>
    <w:uiPriority w:val="0"/>
    <w:rPr>
      <w:rFonts w:ascii="Calibri" w:hAnsi="Calibri" w:eastAsia="宋体" w:cs="Times New Roman"/>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Title"/>
    <w:basedOn w:val="1"/>
    <w:next w:val="1"/>
    <w:qFormat/>
    <w:uiPriority w:val="0"/>
    <w:pPr>
      <w:spacing w:before="240" w:after="60"/>
      <w:jc w:val="center"/>
      <w:outlineLvl w:val="0"/>
    </w:pPr>
    <w:rPr>
      <w:rFonts w:ascii="Cambria" w:hAnsi="Cambria" w:eastAsia="宋体"/>
      <w:b/>
      <w:bCs/>
      <w:spacing w:val="0"/>
      <w:szCs w:val="32"/>
    </w:rPr>
  </w:style>
  <w:style w:type="paragraph" w:styleId="11">
    <w:name w:val="Body Text First Indent"/>
    <w:basedOn w:val="6"/>
    <w:qFormat/>
    <w:uiPriority w:val="0"/>
    <w:pPr>
      <w:snapToGrid/>
      <w:spacing w:line="520" w:lineRule="exact"/>
      <w:ind w:firstLine="0" w:firstLineChars="0"/>
      <w:jc w:val="center"/>
    </w:pPr>
    <w:rPr>
      <w:rFonts w:ascii="Times New Roman" w:hAnsi="Times New Roman"/>
      <w:sz w:val="24"/>
      <w:szCs w:val="20"/>
    </w:rPr>
  </w:style>
  <w:style w:type="character" w:styleId="14">
    <w:name w:val="Strong"/>
    <w:basedOn w:val="13"/>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昆明市五华区党政机关单位</Company>
  <Pages>14</Pages>
  <Words>6030</Words>
  <Characters>6347</Characters>
  <Lines>0</Lines>
  <Paragraphs>0</Paragraphs>
  <TotalTime>8</TotalTime>
  <ScaleCrop>false</ScaleCrop>
  <LinksUpToDate>false</LinksUpToDate>
  <CharactersWithSpaces>6358</CharactersWithSpaces>
  <Application>WPS Office_12.1.0.25835_F1E327BC-269C-435d-A152-05C5408002CA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2026-02-06T01:00:00Z</dcterms:created>
  <dc:creator>尤粉华</dc:creator>
  <cp:lastModifiedBy>yx</cp:lastModifiedBy>
  <dcterms:modified xsi:type="dcterms:W3CDTF">2026-03-30T08:19:06Z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7BE611E6BB3649DEBFD730ED68E1B532_11</vt:lpwstr>
  </property>
  <property fmtid="{D5CDD505-2E9C-101B-9397-08002B2CF9AE}" pid="4" name="KSOTemplateDocerSaveRecord">
    <vt:lpwstr>eyJoZGlkIjoiNGRmYzJlMWM4NjIyZjUyNjhjNTI3YzBhOTc0M2QyMjUiLCJ1c2VySWQiOiI1NjMyODYzMDcifQ==</vt:lpwstr>
  </property>
</Properties>
</file>