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B6F9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1F2329"/>
          <w:spacing w:val="0"/>
          <w:sz w:val="44"/>
          <w:szCs w:val="44"/>
          <w:shd w:val="clear" w:fill="FFFFFF"/>
        </w:rPr>
      </w:pPr>
    </w:p>
    <w:p w14:paraId="684A01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1F2329"/>
          <w:spacing w:val="0"/>
          <w:sz w:val="44"/>
          <w:szCs w:val="44"/>
          <w:shd w:val="clear" w:fill="FFFFFF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1F2329"/>
          <w:spacing w:val="0"/>
          <w:sz w:val="44"/>
          <w:szCs w:val="44"/>
          <w:shd w:val="clear" w:fill="FFFFFF"/>
          <w:lang w:val="en-US" w:eastAsia="zh-CN"/>
        </w:rPr>
        <w:t>昆明市五华区国有资产投资经营管理有限公司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1F2329"/>
          <w:spacing w:val="0"/>
          <w:sz w:val="44"/>
          <w:szCs w:val="44"/>
          <w:shd w:val="clear" w:fill="FFFFFF"/>
        </w:rPr>
        <w:t>2025年度预算支出</w:t>
      </w:r>
    </w:p>
    <w:p w14:paraId="6F0CEC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1F2329"/>
          <w:spacing w:val="0"/>
          <w:sz w:val="44"/>
          <w:szCs w:val="44"/>
          <w:shd w:val="clear" w:fill="FFFFFF"/>
        </w:rPr>
        <w:t>绩效自评工作情况报告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​</w:t>
      </w:r>
    </w:p>
    <w:p w14:paraId="54B2A2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</w:pPr>
    </w:p>
    <w:p w14:paraId="5F51F3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区财政局：</w:t>
      </w:r>
    </w:p>
    <w:p w14:paraId="719678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为认真贯彻落实党中央国务院、省市区党委政府关于全面实施预算绩效管理的决策部署，健全绩效管理常态化机制，切实增强支出绩效意识，提高财政资金使用效益，根据《云南省财政厅关于印发〈云南省项目支出绩效评价管理办法〉的通知》（云财绩〔2020〕11号）、《五华区预算绩效自评管理暂行办法》（五财〔2019〕51号）等文件精神以及《五华区财政局关于开展2025年度预算支出绩效自评工作的通知》（五财〔2026〕 号）要求，我单位高度重视，精心部署，积极组织，认真对2025年度整体支出和所有项目支出开展了绩效自评工作，现将有关情况报告如下：</w:t>
      </w:r>
    </w:p>
    <w:p w14:paraId="18959A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一、工作情况</w:t>
      </w:r>
    </w:p>
    <w:p w14:paraId="026543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</w:pPr>
      <w:r>
        <w:rPr>
          <w:rFonts w:hint="eastAsia" w:ascii="楷体_GB2312" w:hAnsi="楷体_GB2312" w:eastAsia="楷体_GB2312" w:cs="楷体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（一）绩效自评工作开展情况</w:t>
      </w:r>
    </w:p>
    <w:p w14:paraId="26E6E8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为确保绩效自评工作有序推进、取得实效，我单位切实提高政治站位，将绩效自评作为强化预算管理、提升资金效能的重要举措，扎实开展各项工作。</w:t>
      </w:r>
    </w:p>
    <w:p w14:paraId="2E3F9A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FF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一是成立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eastAsia="zh-CN"/>
        </w:rPr>
        <w:t>自评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工作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eastAsia="zh-CN"/>
        </w:rPr>
        <w:t>组。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由单位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财务总监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，财融管理部副总经理，各业务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部门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负责人为成员，明确领导小组统筹协调、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财务人员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具体落实的工作机制，层层压实责任、细化任务分工，确保自评工作有人抓、有人管、有成效。</w:t>
      </w:r>
    </w:p>
    <w:p w14:paraId="3CA052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二是细化工作部署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eastAsia="zh-CN"/>
        </w:rPr>
        <w:t>。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结合单位实际，制定《2025年度预算支出绩效自评工作实施方案》，明确自评范围、评价标准、方法步骤、时间节点和责任分工，下发至各相关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eastAsia="zh-CN"/>
        </w:rPr>
        <w:t>部门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，确保自评工作有章可循、有据可依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eastAsia="zh-CN"/>
        </w:rPr>
        <w:t>、规范有序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。</w:t>
      </w:r>
    </w:p>
    <w:p w14:paraId="051ED1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三是开展业务培训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eastAsia="zh-CN"/>
        </w:rPr>
        <w:t>。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组织各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eastAsia="zh-CN"/>
        </w:rPr>
        <w:t>部门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自评工作人员开展专题培训，重点讲解绩效自评指标体系、填报规范、评价方法以及预算管理一体化系统操作流程，解答自评过程中可能遇到的难点问题，提升工作人员业务能力，保障自评工作质量。</w:t>
      </w:r>
    </w:p>
    <w:p w14:paraId="2A98B2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四是有序组织自评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eastAsia="zh-CN"/>
        </w:rPr>
        <w:t>。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各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eastAsia="zh-CN"/>
        </w:rPr>
        <w:t>部门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严格按照实施方案要求，对照绩效目标，全面梳理2025年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度资金收支、项目实施、目标完成等情况，认真填报自评表格、撰写自评报告，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eastAsia="zh-CN"/>
        </w:rPr>
        <w:t>财务人员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对各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eastAsia="zh-CN"/>
        </w:rPr>
        <w:t>部门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上报的自评材料进行逐一审核、复核，对发现的问题及时反馈并督促整改，确保自评数据真实准确、内容完整规范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eastAsia="zh-CN"/>
        </w:rPr>
        <w:t>、评价客观公正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。</w:t>
      </w:r>
    </w:p>
    <w:p w14:paraId="23B05D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</w:pPr>
      <w:r>
        <w:rPr>
          <w:rFonts w:hint="eastAsia" w:ascii="楷体_GB2312" w:hAnsi="楷体_GB2312" w:eastAsia="楷体_GB2312" w:cs="楷体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（二）绩效自评总体概况</w:t>
      </w:r>
    </w:p>
    <w:p w14:paraId="005BE2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2025年度我单位共有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个项目纳入绩效自评范围（其中：区级项目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个、上级转移支付项目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个、其他资金项目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个），涉及自评金额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val="en-US" w:eastAsia="zh-CN"/>
        </w:rPr>
        <w:t>5040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万元（其中：区级资金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val="en-US" w:eastAsia="zh-CN"/>
        </w:rPr>
        <w:t>5040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万元、上级转移支付资金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万元、其他资金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万元）。经自评，自评分≥90分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eastAsia="zh-CN"/>
        </w:rPr>
        <w:t>（评价等级为“优”）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的项目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个、90&gt;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自评分≥80分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eastAsia="zh-CN"/>
        </w:rPr>
        <w:t>（评价等级为“良”）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的项目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个、80&gt;自评分≥60分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eastAsia="zh-CN"/>
        </w:rPr>
        <w:t>（评价等级为“中”）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的项目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个，自评分&lt;60分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eastAsia="zh-CN"/>
        </w:rPr>
        <w:t>（评价等级为“差”）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的项目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个。其中，高分项目主要得益于目标设定科学、实施流程规范、资金使用高效、成效显著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eastAsia="zh-CN"/>
        </w:rPr>
        <w:t>。</w:t>
      </w:r>
    </w:p>
    <w:p w14:paraId="167994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3.绩效自评全覆盖情况：本次开展绩效自评项目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个，自评金额为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val="en-US" w:eastAsia="zh-CN"/>
        </w:rPr>
        <w:t>5040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 xml:space="preserve">元，覆盖2025年度我单位所有财政拨款预算支出项目及其他资金支出项目，已实现绩效自评全覆盖。以上数据均根据预算管理一体化系统中填报情况据实填写，严格遵循真实、准确、完整的原则，确保自评工作经得起检验。 </w:t>
      </w:r>
    </w:p>
    <w:p w14:paraId="702926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二、评价结果</w:t>
      </w:r>
    </w:p>
    <w:p w14:paraId="7C9FD6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本次自评的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个项目中，评价等级为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eastAsia="zh-CN"/>
        </w:rPr>
        <w:t>“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val="en-US" w:eastAsia="zh-CN"/>
        </w:rPr>
        <w:t>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eastAsia="zh-CN"/>
        </w:rPr>
        <w:t>”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的项目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个，占比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val="en-US" w:eastAsia="zh-CN"/>
        </w:rPr>
        <w:t>100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%，此类项目基本完成绩效目标，资金使用合规，整体成效较好，但在项目细节管理、绩效指标完成精度等方面存在轻微不足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eastAsia="zh-CN"/>
        </w:rPr>
        <w:t>。</w:t>
      </w:r>
    </w:p>
    <w:p w14:paraId="64747B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三、存在的主要问题</w:t>
      </w:r>
    </w:p>
    <w:p w14:paraId="31C06F21">
      <w:pPr>
        <w:pStyle w:val="3"/>
        <w:rPr>
          <w:rFonts w:hint="eastAsia" w:ascii="楷体_GB2312" w:hAnsi="楷体_GB2312" w:eastAsia="楷体_GB2312" w:cs="楷体_GB2312"/>
          <w:b w:val="0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/>
          <w:color w:val="auto"/>
          <w:kern w:val="2"/>
          <w:sz w:val="32"/>
          <w:szCs w:val="32"/>
          <w:lang w:val="en-US" w:eastAsia="zh-CN" w:bidi="ar-SA"/>
        </w:rPr>
        <w:t>（一）国投公司国有资本金注入专项资金项目（长虫山</w:t>
      </w:r>
      <w:r>
        <w:rPr>
          <w:rFonts w:hint="eastAsia" w:ascii="楷体_GB2312" w:hAnsi="楷体_GB2312" w:eastAsia="楷体_GB2312" w:cs="楷体_GB2312"/>
          <w:b w:val="0"/>
          <w:bCs/>
          <w:color w:val="auto"/>
          <w:sz w:val="32"/>
          <w:szCs w:val="32"/>
        </w:rPr>
        <w:t>长虫山生态环境导向开发项目</w:t>
      </w:r>
      <w:r>
        <w:rPr>
          <w:rFonts w:hint="eastAsia" w:ascii="楷体_GB2312" w:hAnsi="楷体_GB2312" w:eastAsia="楷体_GB2312" w:cs="楷体_GB2312"/>
          <w:b w:val="0"/>
          <w:bCs/>
          <w:color w:val="auto"/>
          <w:kern w:val="2"/>
          <w:sz w:val="32"/>
          <w:szCs w:val="32"/>
          <w:lang w:val="en-US" w:eastAsia="zh-CN" w:bidi="ar-SA"/>
        </w:rPr>
        <w:t>）</w:t>
      </w:r>
    </w:p>
    <w:p w14:paraId="01E50338">
      <w:pPr>
        <w:pStyle w:val="3"/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ar-SA"/>
        </w:rPr>
        <w:t>1.前期审批环节耗时较长：该项目涉及军事用地，直至2024年7月方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取得国安局批复</w:t>
      </w: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ar-SA"/>
        </w:rPr>
        <w:t>批复，2024年11月4日取得开工令，导致项目实际启动时间晚于原计划。</w:t>
      </w:r>
    </w:p>
    <w:p w14:paraId="7B87BBAC">
      <w:pPr>
        <w:pStyle w:val="3"/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ar-SA"/>
        </w:rPr>
        <w:t>2.客观环境制约施工进度：项目所在地每年12月1日至次年6月15日为森林防火封山期，期间禁止施工。开山后，又因客流量大，重型机械设备进场及大面积施工作业受到限制，有效施工周期被严重压缩。</w:t>
      </w:r>
    </w:p>
    <w:p w14:paraId="5B8DAE1C">
      <w:pPr>
        <w:pStyle w:val="3"/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ar-SA"/>
        </w:rPr>
        <w:t>3.综合因素导致工期延长：上述前期审批、施工窗口期受限、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资金筹措方面的困难</w:t>
      </w: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ar-SA"/>
        </w:rPr>
        <w:t>等多重困难相互叠加，最终影响了项目的整体实施进度，导致项目总工期较原计划有所延长。</w:t>
      </w:r>
    </w:p>
    <w:p w14:paraId="7020FCDB">
      <w:pPr>
        <w:pStyle w:val="3"/>
        <w:rPr>
          <w:rFonts w:hint="eastAsia" w:ascii="楷体_GB2312" w:hAnsi="楷体_GB2312" w:eastAsia="楷体_GB2312" w:cs="楷体_GB2312"/>
          <w:b w:val="0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/>
          <w:color w:val="auto"/>
          <w:kern w:val="2"/>
          <w:sz w:val="32"/>
          <w:szCs w:val="32"/>
          <w:lang w:val="en-US" w:eastAsia="zh-CN" w:bidi="ar-SA"/>
        </w:rPr>
        <w:t>（二）国投公司2025国有资本金注入运营经费项目</w:t>
      </w:r>
    </w:p>
    <w:p w14:paraId="6E25083C">
      <w:pPr>
        <w:pStyle w:val="3"/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ar-SA"/>
        </w:rPr>
        <w:t>在本次运营管理自评中，我们围绕房屋租赁核心业务进行了全面审视，发现以下问题亟待改进：</w:t>
      </w:r>
    </w:p>
    <w:p w14:paraId="502F27CE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1"/>
        <w:rPr>
          <w:rFonts w:hint="eastAsia" w:ascii="仿宋_GB2312" w:hAnsi="仿宋_GB2312" w:eastAsia="仿宋_GB2312" w:cs="仿宋_GB2312"/>
          <w:b w:val="0"/>
          <w:bCs/>
          <w:color w:val="auto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pacing w:val="0"/>
          <w:kern w:val="2"/>
          <w:sz w:val="32"/>
          <w:szCs w:val="32"/>
          <w:lang w:val="en-US" w:eastAsia="zh-CN" w:bidi="ar-SA"/>
        </w:rPr>
        <w:t>1.招租压力持续加大</w:t>
      </w:r>
    </w:p>
    <w:p w14:paraId="13FE7414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pacing w:val="0"/>
          <w:kern w:val="2"/>
          <w:sz w:val="32"/>
          <w:szCs w:val="32"/>
          <w:lang w:val="en-US" w:eastAsia="zh-CN" w:bidi="ar-SA"/>
        </w:rPr>
        <w:t>受宏观经济下行与房地产市场整体调整影响，租赁业务面临市场需求收缩、租金水平承压、退租率上升等挑战。一方面，部分原有租户因经营困难选择退租；另一方面，公司持有物业多数建成年代较早，空间条件与硬件设施相对滞后，租户若需入驻往往需承担较高的装修改造投入，导致在同片区市场竞争中吸引力不足。此外，当前招租渠道较为传统，主要依赖现场公告、产交所挂牌及中介推荐，覆盖面有限，与日益线上化、多元化的市场对接不够紧密，制约了房源的高效推广。</w:t>
      </w:r>
    </w:p>
    <w:p w14:paraId="04205A95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1"/>
        <w:rPr>
          <w:rFonts w:hint="eastAsia" w:ascii="仿宋_GB2312" w:hAnsi="仿宋_GB2312" w:eastAsia="仿宋_GB2312" w:cs="仿宋_GB2312"/>
          <w:b w:val="0"/>
          <w:bCs/>
          <w:color w:val="auto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pacing w:val="0"/>
          <w:kern w:val="2"/>
          <w:sz w:val="32"/>
          <w:szCs w:val="32"/>
          <w:lang w:val="en-US" w:eastAsia="zh-CN" w:bidi="ar-SA"/>
        </w:rPr>
        <w:t>2.租金回收难度增加</w:t>
      </w:r>
    </w:p>
    <w:p w14:paraId="3B4334CE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pacing w:val="0"/>
          <w:kern w:val="2"/>
          <w:sz w:val="32"/>
          <w:szCs w:val="32"/>
          <w:lang w:val="en-US" w:eastAsia="zh-CN" w:bidi="ar-SA"/>
        </w:rPr>
        <w:t>在经济与市场环境变化的背景下，租金收取工作同样面临较大压力。部分租户因经营状况变化出现租金拖欠，同时退租情况有所增加，对公司资金及时回笼造成一定影响。</w:t>
      </w:r>
    </w:p>
    <w:p w14:paraId="2D1797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outlineLvl w:val="1"/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</w:rPr>
        <w:t>固定资产投资项目统筹协调仍需强化</w:t>
      </w:r>
    </w:p>
    <w:p w14:paraId="09770E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</w:rPr>
        <w:t>在建项目、储备项目之间的时序衔接和要素保障统筹不够均衡，部分项目前期手续办理、要素报批等环节耗时相对偏长，一定程度上影响固投任务推进节奏和投资效能快速释放。</w:t>
      </w:r>
    </w:p>
    <w:p w14:paraId="37FC60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outlineLvl w:val="1"/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</w:rPr>
        <w:t>内控管理与风险防控仍需持续深化</w:t>
      </w:r>
    </w:p>
    <w:p w14:paraId="14FA7238">
      <w:pPr>
        <w:pStyle w:val="3"/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</w:rPr>
        <w:t>虽然已建立内控体系，但在制度执行穿透性、流程闭环管理、关键岗位风险预警等方面仍有不足；部分业务环节标准化、规范化水平有待进一步提高，内部审计监督的深度和覆盖面仍需加强。</w:t>
      </w:r>
    </w:p>
    <w:p w14:paraId="2DA4433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整改措施</w:t>
      </w:r>
    </w:p>
    <w:p w14:paraId="4600C7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（一）针对国投公司国有资本金注入专项资金项目（长虫山长虫山生态环境导向开发项目）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eastAsia="zh-CN"/>
        </w:rPr>
        <w:t>，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国投公司已充分认识到前期工作中的不足，并将在今后工作中吸取经验、引以为鉴，具体从以下方面加强管理：：</w:t>
      </w:r>
    </w:p>
    <w:p w14:paraId="340369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.强化特殊项目前期预判与沟通：对于涉及军事、国安等特殊用地性质的项目，今后将提前开展政策与审批路径研究，主动与相关部门建立联系，争取在项目筹划阶段即明确关键环节与时限要求，尽可能为后续手续办理预留充足时间、规避被动延误。</w:t>
      </w:r>
    </w:p>
    <w:p w14:paraId="33CF8F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.科学评估并主动适应客观环境制约：在今后的项目策划中，将充分考虑如森林防火期、旅游旺季、气候条件等客观限制因素，在编制计划时即合理预估有效施工周期，优化施工组织设计，做好工期预案，避免因环境因素导致进度严重滞后。</w:t>
      </w:r>
    </w:p>
    <w:p w14:paraId="311578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.加强资金统筹与协调保障：针对项目推进中可能出现的资金衔接问题，公司将进一步完善内部资金调度机制，同时积极与上级单位、合作方及金融机构保持常态对接，提前规划资金到位节奏，拓宽合规筹资渠道，保障项目可持续推进。</w:t>
      </w:r>
    </w:p>
    <w:p w14:paraId="162EEF1A">
      <w:pPr>
        <w:pStyle w:val="3"/>
        <w:rPr>
          <w:rFonts w:hint="eastAsia" w:ascii="楷体_GB2312" w:hAnsi="楷体_GB2312" w:eastAsia="楷体_GB2312" w:cs="楷体_GB2312"/>
          <w:b w:val="0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/>
          <w:color w:val="auto"/>
          <w:kern w:val="2"/>
          <w:sz w:val="32"/>
          <w:szCs w:val="32"/>
          <w:lang w:val="en-US" w:eastAsia="zh-CN" w:bidi="ar-SA"/>
        </w:rPr>
        <w:t>（二）国投公司2025国有资本金注入运营经费项目</w:t>
      </w:r>
    </w:p>
    <w:p w14:paraId="37855A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楷体_GB2312" w:hAnsi="楷体_GB2312" w:eastAsia="楷体_GB2312" w:cs="楷体_GB2312"/>
          <w:color w:val="auto"/>
          <w:spacing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auto"/>
          <w:spacing w:val="0"/>
          <w:sz w:val="32"/>
          <w:szCs w:val="32"/>
          <w:lang w:val="en-US" w:eastAsia="zh-CN"/>
        </w:rPr>
        <w:t>1.</w:t>
      </w:r>
      <w:r>
        <w:rPr>
          <w:rFonts w:hint="eastAsia" w:ascii="楷体_GB2312" w:hAnsi="楷体_GB2312" w:eastAsia="楷体_GB2312" w:cs="楷体_GB2312"/>
          <w:color w:val="auto"/>
          <w:spacing w:val="0"/>
          <w:sz w:val="32"/>
          <w:szCs w:val="32"/>
        </w:rPr>
        <w:t>优化招租策略</w:t>
      </w:r>
    </w:p>
    <w:p w14:paraId="36D311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</w:rPr>
        <w:t>加强市场调研，了解租户需求，优化物业项目定位，提高物业项目的吸引力。拓展招租渠道，我公司通过昆明联合产权交易所，云南产权交易所，淘宝一锤定音等平台加大招租的宣传力度，吸引更多潜在租户。针对租售比低的物业制定相应的招商方案以达到提升租金收益、优化资产利用率的目的。</w:t>
      </w:r>
    </w:p>
    <w:p w14:paraId="1990646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楷体_GB2312" w:hAnsi="楷体_GB2312" w:eastAsia="楷体_GB2312" w:cs="楷体_GB2312"/>
          <w:color w:val="auto"/>
          <w:spacing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auto"/>
          <w:spacing w:val="0"/>
          <w:kern w:val="2"/>
          <w:sz w:val="32"/>
          <w:szCs w:val="32"/>
          <w:lang w:val="en-US" w:eastAsia="zh-CN" w:bidi="ar-SA"/>
        </w:rPr>
        <w:t>2.</w:t>
      </w:r>
      <w:r>
        <w:rPr>
          <w:rFonts w:hint="eastAsia" w:ascii="楷体_GB2312" w:hAnsi="楷体_GB2312" w:eastAsia="楷体_GB2312" w:cs="楷体_GB2312"/>
          <w:color w:val="auto"/>
          <w:spacing w:val="0"/>
          <w:sz w:val="32"/>
          <w:szCs w:val="32"/>
        </w:rPr>
        <w:t>加强收租管理</w:t>
      </w:r>
    </w:p>
    <w:p w14:paraId="45A6C96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</w:rPr>
        <w:t>建立完善的收租制度，明确租金缴纳时间和方式，确保租金及时回笼。加强对租户的信用评估，对存在拖欠租金风险的租户进行重点关注和管理。加强与租户的沟通，了解其经营情况和困难，提供必要的支持和帮助，以缓解租金拖欠问题。</w:t>
      </w:r>
    </w:p>
    <w:p w14:paraId="6A628EF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楷体_GB2312" w:hAnsi="楷体_GB2312" w:eastAsia="楷体_GB2312" w:cs="楷体_GB2312"/>
          <w:color w:val="auto"/>
          <w:spacing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auto"/>
          <w:spacing w:val="0"/>
          <w:kern w:val="2"/>
          <w:sz w:val="32"/>
          <w:szCs w:val="32"/>
          <w:lang w:val="en-US" w:eastAsia="zh-CN" w:bidi="ar-SA"/>
        </w:rPr>
        <w:t>3.</w:t>
      </w:r>
      <w:r>
        <w:rPr>
          <w:rFonts w:hint="eastAsia" w:ascii="楷体_GB2312" w:hAnsi="楷体_GB2312" w:eastAsia="楷体_GB2312" w:cs="楷体_GB2312"/>
          <w:color w:val="auto"/>
          <w:spacing w:val="0"/>
          <w:sz w:val="32"/>
          <w:szCs w:val="32"/>
        </w:rPr>
        <w:t>优化房屋条件</w:t>
      </w:r>
    </w:p>
    <w:p w14:paraId="536EF70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</w:rPr>
        <w:t>对现有资产进行简单翻新，如刷新墙面、更换老旧线路，保障基础设施的完好，增加房源吸引力，通过调研周边同类型房源租金，结合自身房屋条件合理定价。</w:t>
      </w:r>
    </w:p>
    <w:p w14:paraId="35E380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楷体_GB2312" w:hAnsi="楷体_GB2312" w:eastAsia="楷体_GB2312" w:cs="楷体_GB2312"/>
          <w:color w:val="auto"/>
          <w:spacing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auto"/>
          <w:spacing w:val="0"/>
          <w:kern w:val="2"/>
          <w:sz w:val="32"/>
          <w:szCs w:val="32"/>
          <w:lang w:val="en-US" w:eastAsia="zh-CN" w:bidi="ar-SA"/>
        </w:rPr>
        <w:t>4.</w:t>
      </w:r>
      <w:r>
        <w:rPr>
          <w:rFonts w:hint="eastAsia" w:ascii="楷体_GB2312" w:hAnsi="楷体_GB2312" w:eastAsia="楷体_GB2312" w:cs="楷体_GB2312"/>
          <w:color w:val="auto"/>
          <w:spacing w:val="0"/>
          <w:sz w:val="32"/>
          <w:szCs w:val="32"/>
        </w:rPr>
        <w:t>加强租户资质与信用管理</w:t>
      </w:r>
    </w:p>
    <w:p w14:paraId="7BF5654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</w:rPr>
        <w:t>优化租户准入评估，引入经营状况与信用背景审查。对现有租户，定期进行经营健康度走访，提前识别潜在退租或欠租风险。</w:t>
      </w:r>
    </w:p>
    <w:p w14:paraId="49D99E7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楷体_GB2312" w:hAnsi="楷体_GB2312" w:eastAsia="楷体_GB2312" w:cs="楷体_GB2312"/>
          <w:color w:val="auto"/>
          <w:spacing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auto"/>
          <w:spacing w:val="0"/>
          <w:kern w:val="2"/>
          <w:sz w:val="32"/>
          <w:szCs w:val="32"/>
          <w:lang w:val="en-US" w:eastAsia="zh-CN" w:bidi="ar-SA"/>
        </w:rPr>
        <w:t>5.</w:t>
      </w:r>
      <w:r>
        <w:rPr>
          <w:rFonts w:hint="eastAsia" w:ascii="楷体_GB2312" w:hAnsi="楷体_GB2312" w:eastAsia="楷体_GB2312" w:cs="楷体_GB2312"/>
          <w:color w:val="auto"/>
          <w:spacing w:val="0"/>
          <w:sz w:val="32"/>
          <w:szCs w:val="32"/>
        </w:rPr>
        <w:t>依法合规推进清收与资产周转</w:t>
      </w:r>
    </w:p>
    <w:p w14:paraId="363D441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</w:rPr>
        <w:t>对于恶意拖欠租金的租户，明确内部催收流程与法律途径，加快资金回收。对退租房源，建立快速翻新、重新挂牌的流程，缩短空置期。</w:t>
      </w:r>
    </w:p>
    <w:p w14:paraId="6AC5EE14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color w:val="auto"/>
          <w:spacing w:val="0"/>
          <w:kern w:val="2"/>
          <w:sz w:val="32"/>
          <w:szCs w:val="32"/>
          <w:lang w:val="en-US" w:eastAsia="zh-CN" w:bidi="ar-SA"/>
        </w:rPr>
        <w:t>6.加快项目全周期管理，提高固定资产投资效能</w:t>
      </w:r>
    </w:p>
    <w:p w14:paraId="089F6735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kern w:val="2"/>
          <w:sz w:val="32"/>
          <w:szCs w:val="32"/>
          <w:lang w:val="en-US" w:eastAsia="zh-CN" w:bidi="ar-SA"/>
        </w:rPr>
        <w:t>加强项目前期策划与要素保障统筹，优化报批报建流程，压实项目节点责任；强化在建项目进度管控和质量安全管理。当前公司固定资产投资领域资金压力较为突出，项目推进与资金筹措节奏匹配度有待提升，一定程度上影响投资进度和项目落地效率。下一步将科学统筹资金安排，合理排布项目实施时序，确保固投项目按期落地见效，全面完成年度固定资产投资目标任务。</w:t>
      </w:r>
    </w:p>
    <w:p w14:paraId="47DCAEF0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楷体_GB2312" w:hAnsi="楷体_GB2312" w:eastAsia="楷体_GB2312" w:cs="楷体_GB2312"/>
          <w:color w:val="auto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color w:val="auto"/>
          <w:spacing w:val="0"/>
          <w:kern w:val="2"/>
          <w:sz w:val="32"/>
          <w:szCs w:val="32"/>
          <w:lang w:val="en-US" w:eastAsia="zh-CN" w:bidi="ar-SA"/>
        </w:rPr>
        <w:t>7.</w:t>
      </w:r>
      <w:bookmarkStart w:id="0" w:name="_GoBack"/>
      <w:bookmarkEnd w:id="0"/>
      <w:r>
        <w:rPr>
          <w:rFonts w:hint="eastAsia" w:ascii="楷体_GB2312" w:hAnsi="楷体_GB2312" w:eastAsia="楷体_GB2312" w:cs="楷体_GB2312"/>
          <w:color w:val="auto"/>
          <w:spacing w:val="0"/>
          <w:kern w:val="2"/>
          <w:sz w:val="32"/>
          <w:szCs w:val="32"/>
          <w:lang w:val="en-US" w:eastAsia="zh-CN" w:bidi="ar-SA"/>
        </w:rPr>
        <w:t>持续完善内控体系，筑牢风险防控防线</w:t>
      </w:r>
    </w:p>
    <w:p w14:paraId="3D4E4ABC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kern w:val="2"/>
          <w:sz w:val="32"/>
          <w:szCs w:val="32"/>
          <w:lang w:val="en-US" w:eastAsia="zh-CN" w:bidi="ar-SA"/>
        </w:rPr>
        <w:t>进一步健全内控管理制度，强化制度执行监督与问责，提升流程规范化、标准化水平；加强法务、风控、审计协同联动，完善债务风险、经营风险、合规风险预警机制，守住不发生重大风险底线。</w:t>
      </w:r>
    </w:p>
    <w:p w14:paraId="6848355F">
      <w:pPr>
        <w:pStyle w:val="3"/>
        <w:rPr>
          <w:rFonts w:hint="eastAsia" w:ascii="楷体_GB2312" w:hAnsi="楷体_GB2312" w:eastAsia="楷体_GB2312" w:cs="楷体_GB2312"/>
          <w:b w:val="0"/>
          <w:bCs/>
          <w:color w:val="auto"/>
          <w:kern w:val="2"/>
          <w:sz w:val="32"/>
          <w:szCs w:val="32"/>
          <w:lang w:val="en-US" w:eastAsia="zh-CN" w:bidi="ar-SA"/>
        </w:rPr>
      </w:pPr>
    </w:p>
    <w:p w14:paraId="40B3E6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五、其他需要说明的问题</w:t>
      </w:r>
    </w:p>
    <w:p w14:paraId="76F00F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本次绩效自评工作严格按照上级财政部门要求和单位工作方案开展，坚持客观、公正、真实的原则，全面梳理2025年度预算支出绩效情况，如实反映存在的问题并制定整改措施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eastAsia="zh-CN"/>
        </w:rPr>
        <w:t>，确保自评工作质量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。</w:t>
      </w:r>
    </w:p>
    <w:p w14:paraId="55D010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1.巡视巡察、审计、财政监督检查等相关情况：2025年度，我单位未收到上级部门开展巡视巡察、审计、财政监督检查等工作的通知，未发现相关问题，也无涉及资金违规使用等相关情况。</w:t>
      </w:r>
    </w:p>
    <w:p w14:paraId="6E3C50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 xml:space="preserve">2.其他需要说明的事项：无。​ </w:t>
      </w:r>
    </w:p>
    <w:p w14:paraId="197185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</w:pPr>
    </w:p>
    <w:p w14:paraId="1D01ED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</w:pPr>
    </w:p>
    <w:p w14:paraId="79FFA9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val="en-US" w:eastAsia="zh-CN"/>
        </w:rPr>
        <w:t>昆明市五华区国有资产投资经营管理有限公司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 xml:space="preserve"> </w:t>
      </w:r>
    </w:p>
    <w:p w14:paraId="6704ED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40" w:firstLineChars="17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2026年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val="en-US" w:eastAsia="zh-CN"/>
        </w:rPr>
        <w:t>26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日</w:t>
      </w:r>
    </w:p>
    <w:sectPr>
      <w:footerReference r:id="rId3" w:type="default"/>
      <w:pgSz w:w="11906" w:h="16838"/>
      <w:pgMar w:top="1440" w:right="1474" w:bottom="1440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9A942D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D3AB0BD">
                          <w:pPr>
                            <w:pStyle w:val="5"/>
                          </w:pPr>
                          <w:r>
                            <w:t>—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D3AB0BD">
                    <w:pPr>
                      <w:pStyle w:val="5"/>
                    </w:pPr>
                    <w:r>
                      <w:t>—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</w:t>
                    </w:r>
                    <w: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6B0DE31"/>
    <w:multiLevelType w:val="singleLevel"/>
    <w:tmpl w:val="C6B0DE31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AC3D6B"/>
    <w:rsid w:val="00ED4F8A"/>
    <w:rsid w:val="093E76C7"/>
    <w:rsid w:val="19AC3D6B"/>
    <w:rsid w:val="21CA1396"/>
    <w:rsid w:val="27F12800"/>
    <w:rsid w:val="63E02059"/>
    <w:rsid w:val="69DA4AA7"/>
    <w:rsid w:val="6C16673B"/>
    <w:rsid w:val="759A017D"/>
    <w:rsid w:val="7D7B6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kern w:val="44"/>
      <w:sz w:val="44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 w:firstLineChars="200"/>
    </w:pPr>
  </w:style>
  <w:style w:type="paragraph" w:styleId="4">
    <w:name w:val="Body Text"/>
    <w:basedOn w:val="1"/>
    <w:next w:val="5"/>
    <w:qFormat/>
    <w:uiPriority w:val="0"/>
    <w:rPr>
      <w:rFonts w:ascii="Calibri" w:hAnsi="Calibri" w:eastAsia="宋体" w:cs="Times New Roman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Body Text First Indent"/>
    <w:basedOn w:val="4"/>
    <w:qFormat/>
    <w:uiPriority w:val="0"/>
    <w:pPr>
      <w:snapToGrid/>
      <w:spacing w:line="520" w:lineRule="exact"/>
      <w:ind w:firstLine="0" w:firstLineChars="0"/>
      <w:jc w:val="center"/>
    </w:pPr>
    <w:rPr>
      <w:rFonts w:ascii="Times New Roman" w:hAnsi="Times New Roman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昆明市五华区党政机关单位</Company>
  <Pages>7</Pages>
  <Words>3034</Words>
  <Characters>3128</Characters>
  <Lines>0</Lines>
  <Paragraphs>0</Paragraphs>
  <TotalTime>0</TotalTime>
  <ScaleCrop>false</ScaleCrop>
  <LinksUpToDate>false</LinksUpToDate>
  <CharactersWithSpaces>3132</CharactersWithSpaces>
  <Application>WPS Office_12.1.0.25835_F1E327BC-269C-435d-A152-05C5408002CA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2026-02-06T01:27:00Z</dcterms:created>
  <dc:creator>尤粉华</dc:creator>
  <cp:lastModifiedBy>yx</cp:lastModifiedBy>
  <dcterms:modified xsi:type="dcterms:W3CDTF">2026-03-30T08:23:41Z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2052-12.1.0.25835</vt:lpwstr>
  </property>
  <property fmtid="{D5CDD505-2E9C-101B-9397-08002B2CF9AE}" pid="3" name="ICV">
    <vt:lpwstr>47A84096B12444278E67F333D68487FA_11</vt:lpwstr>
  </property>
  <property fmtid="{D5CDD505-2E9C-101B-9397-08002B2CF9AE}" pid="4" name="KSOTemplateDocerSaveRecord">
    <vt:lpwstr>eyJoZGlkIjoiNGRmYzJlMWM4NjIyZjUyNjhjNTI3YzBhOTc0M2QyMjUiLCJ1c2VySWQiOiI1NjMyODYzMDcifQ==</vt:lpwstr>
  </property>
</Properties>
</file>