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8A7A6">
      <w:pPr>
        <w:tabs>
          <w:tab w:val="left" w:pos="1170"/>
        </w:tabs>
        <w:jc w:val="center"/>
        <w:rPr>
          <w:rFonts w:eastAsia="方正小标宋简体"/>
          <w:sz w:val="44"/>
          <w:szCs w:val="44"/>
        </w:rPr>
      </w:pPr>
      <w:r>
        <w:rPr>
          <w:rFonts w:hint="eastAsia" w:eastAsia="方正小标宋简体"/>
          <w:color w:val="auto"/>
          <w:sz w:val="44"/>
          <w:szCs w:val="44"/>
          <w:highlight w:val="none"/>
          <w:lang w:val="en-US" w:eastAsia="zh-CN"/>
        </w:rPr>
        <w:t>云南省昆明市</w:t>
      </w:r>
      <w:r>
        <w:rPr>
          <w:rFonts w:hint="eastAsia" w:eastAsia="方正小标宋简体"/>
          <w:color w:val="auto"/>
          <w:sz w:val="44"/>
          <w:szCs w:val="44"/>
          <w:highlight w:val="none"/>
          <w:lang w:eastAsia="zh-CN"/>
        </w:rPr>
        <w:t>五华区</w:t>
      </w:r>
      <w:r>
        <w:rPr>
          <w:rFonts w:eastAsia="方正小标宋简体"/>
          <w:sz w:val="44"/>
          <w:szCs w:val="44"/>
        </w:rPr>
        <w:t>烟草制品零售点</w:t>
      </w:r>
    </w:p>
    <w:p w14:paraId="73B526F7">
      <w:pPr>
        <w:tabs>
          <w:tab w:val="left" w:pos="1170"/>
        </w:tabs>
        <w:jc w:val="center"/>
        <w:rPr>
          <w:rFonts w:eastAsia="方正小标宋简体"/>
          <w:sz w:val="44"/>
          <w:szCs w:val="44"/>
        </w:rPr>
      </w:pPr>
      <w:r>
        <w:rPr>
          <w:rFonts w:eastAsia="方正小标宋简体"/>
          <w:sz w:val="44"/>
          <w:szCs w:val="44"/>
        </w:rPr>
        <w:t>合理布局规划</w:t>
      </w:r>
    </w:p>
    <w:p w14:paraId="5C597B49">
      <w:pPr>
        <w:tabs>
          <w:tab w:val="left" w:pos="1170"/>
        </w:tabs>
        <w:jc w:val="center"/>
        <w:rPr>
          <w:rFonts w:eastAsia="方正小标宋简体"/>
          <w:sz w:val="44"/>
          <w:szCs w:val="44"/>
        </w:rPr>
      </w:pPr>
      <w:bookmarkStart w:id="2" w:name="_GoBack"/>
      <w:bookmarkEnd w:id="2"/>
      <w:r>
        <w:rPr>
          <w:rFonts w:hint="eastAsia" w:eastAsia="方正小标宋简体"/>
          <w:sz w:val="44"/>
          <w:szCs w:val="44"/>
        </w:rPr>
        <w:t>（征求意见稿）</w:t>
      </w:r>
    </w:p>
    <w:p w14:paraId="024BBF3D">
      <w:pPr>
        <w:pStyle w:val="7"/>
        <w:snapToGrid w:val="0"/>
        <w:spacing w:before="312" w:beforeLines="100" w:after="312" w:afterLines="100" w:line="360" w:lineRule="auto"/>
        <w:textAlignment w:val="baseline"/>
        <w:rPr>
          <w:rFonts w:ascii="Times New Roman" w:hAnsi="Times New Roman" w:eastAsia="黑体"/>
          <w:sz w:val="32"/>
          <w:szCs w:val="32"/>
        </w:rPr>
      </w:pPr>
      <w:r>
        <w:rPr>
          <w:rFonts w:hint="eastAsia" w:ascii="Times New Roman" w:hAnsi="Times New Roman" w:eastAsia="黑体"/>
          <w:sz w:val="32"/>
          <w:szCs w:val="32"/>
        </w:rPr>
        <w:t xml:space="preserve">第一章 </w:t>
      </w:r>
      <w:r>
        <w:rPr>
          <w:rFonts w:ascii="Times New Roman" w:hAnsi="Times New Roman" w:eastAsia="黑体"/>
          <w:sz w:val="32"/>
          <w:szCs w:val="32"/>
        </w:rPr>
        <w:t>总则</w:t>
      </w:r>
    </w:p>
    <w:p w14:paraId="5003A97D">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为深入推进</w:t>
      </w:r>
      <w:r>
        <w:rPr>
          <w:rFonts w:hint="eastAsia" w:ascii="仿宋_GB2312" w:eastAsia="仿宋_GB2312"/>
          <w:sz w:val="32"/>
          <w:szCs w:val="32"/>
        </w:rPr>
        <w:t>“放管服”</w:t>
      </w:r>
      <w:r>
        <w:rPr>
          <w:rFonts w:eastAsia="仿宋_GB2312"/>
          <w:sz w:val="32"/>
          <w:szCs w:val="32"/>
        </w:rPr>
        <w:t>改革，依法依规、科学合理制定烟草制品零售点合理布局规划，提升烟草专卖行政许可的公开性、公平性和公正性，依据《中华人民共和国行政许可法》</w:t>
      </w:r>
      <w:r>
        <w:rPr>
          <w:rFonts w:eastAsia="仿宋_GB2312"/>
          <w:bCs/>
          <w:sz w:val="32"/>
          <w:szCs w:val="32"/>
        </w:rPr>
        <w:t>《中华人民共和国未成年人保护法》《中华人民共和国烟草专卖法》</w:t>
      </w:r>
      <w:r>
        <w:rPr>
          <w:rFonts w:eastAsia="仿宋_GB2312"/>
          <w:sz w:val="32"/>
          <w:szCs w:val="32"/>
        </w:rPr>
        <w:t>《中华人民共和国烟草专卖法实施条例》《烟草专卖许可证管理办法》《烟草专卖许可证管理办法实施细则》等法律</w:t>
      </w:r>
      <w:r>
        <w:rPr>
          <w:rFonts w:hint="eastAsia" w:eastAsia="仿宋_GB2312"/>
          <w:sz w:val="32"/>
          <w:szCs w:val="32"/>
        </w:rPr>
        <w:t>、</w:t>
      </w:r>
      <w:r>
        <w:rPr>
          <w:rFonts w:eastAsia="仿宋_GB2312"/>
          <w:sz w:val="32"/>
          <w:szCs w:val="32"/>
        </w:rPr>
        <w:t>法规</w:t>
      </w:r>
      <w:r>
        <w:rPr>
          <w:rFonts w:hint="eastAsia" w:eastAsia="仿宋_GB2312"/>
          <w:sz w:val="32"/>
          <w:szCs w:val="32"/>
        </w:rPr>
        <w:t>、</w:t>
      </w:r>
      <w:r>
        <w:rPr>
          <w:rFonts w:eastAsia="仿宋_GB2312"/>
          <w:sz w:val="32"/>
          <w:szCs w:val="32"/>
        </w:rPr>
        <w:t>规章</w:t>
      </w:r>
      <w:r>
        <w:rPr>
          <w:rFonts w:hint="eastAsia" w:eastAsia="仿宋_GB2312"/>
          <w:sz w:val="32"/>
          <w:szCs w:val="32"/>
        </w:rPr>
        <w:t>和国家烟草专卖局</w:t>
      </w:r>
      <w:r>
        <w:rPr>
          <w:rFonts w:eastAsia="仿宋_GB2312"/>
          <w:sz w:val="32"/>
          <w:szCs w:val="32"/>
        </w:rPr>
        <w:t>的</w:t>
      </w:r>
      <w:r>
        <w:rPr>
          <w:rFonts w:hint="eastAsia" w:eastAsia="仿宋_GB2312"/>
          <w:sz w:val="32"/>
          <w:szCs w:val="32"/>
        </w:rPr>
        <w:t>有关</w:t>
      </w:r>
      <w:r>
        <w:rPr>
          <w:rFonts w:eastAsia="仿宋_GB2312"/>
          <w:sz w:val="32"/>
          <w:szCs w:val="32"/>
        </w:rPr>
        <w:t>规定，结合</w:t>
      </w:r>
      <w:r>
        <w:rPr>
          <w:rFonts w:hint="eastAsia" w:eastAsia="仿宋_GB2312"/>
          <w:sz w:val="32"/>
          <w:szCs w:val="32"/>
          <w:lang w:eastAsia="zh-CN"/>
        </w:rPr>
        <w:t>五华区</w:t>
      </w:r>
      <w:r>
        <w:rPr>
          <w:rFonts w:eastAsia="仿宋_GB2312"/>
          <w:sz w:val="32"/>
          <w:szCs w:val="32"/>
        </w:rPr>
        <w:t>实际，制定本规划。</w:t>
      </w:r>
    </w:p>
    <w:p w14:paraId="65AACAB9">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本规划适用于</w:t>
      </w:r>
      <w:r>
        <w:rPr>
          <w:rFonts w:hint="eastAsia" w:eastAsia="仿宋_GB2312"/>
          <w:sz w:val="32"/>
          <w:szCs w:val="32"/>
          <w:lang w:val="en-US" w:eastAsia="zh-CN"/>
        </w:rPr>
        <w:t>云南省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行政辖区范围内烟草制品零售点的布局管理。</w:t>
      </w:r>
    </w:p>
    <w:p w14:paraId="3B562361">
      <w:p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电子烟零售点布局按照《云南省电子烟零售点布局规划》执行。</w:t>
      </w:r>
    </w:p>
    <w:p w14:paraId="009B6136">
      <w:pPr>
        <w:numPr>
          <w:ilvl w:val="2"/>
          <w:numId w:val="1"/>
        </w:numPr>
        <w:adjustRightInd w:val="0"/>
        <w:snapToGrid w:val="0"/>
        <w:spacing w:line="360" w:lineRule="auto"/>
        <w:ind w:firstLine="640" w:firstLineChars="200"/>
        <w:textAlignment w:val="baseline"/>
        <w:rPr>
          <w:rFonts w:eastAsia="仿宋_GB2312"/>
          <w:sz w:val="32"/>
          <w:szCs w:val="32"/>
        </w:rPr>
      </w:pPr>
      <w:r>
        <w:rPr>
          <w:rFonts w:hint="eastAsia" w:eastAsia="仿宋_GB2312"/>
          <w:sz w:val="32"/>
          <w:szCs w:val="32"/>
        </w:rPr>
        <w:t>本规划所称烟草制品零售点（以下简称零售点）是指依法取得烟草专卖零售许可证（以下简称零售许可证）的公民、法人或其他组织从事烟草制品零售业务的经营场所。</w:t>
      </w:r>
    </w:p>
    <w:p w14:paraId="6757B894">
      <w:pPr>
        <w:adjustRightInd w:val="0"/>
        <w:snapToGrid w:val="0"/>
        <w:spacing w:line="360" w:lineRule="auto"/>
        <w:ind w:firstLine="640" w:firstLineChars="200"/>
        <w:textAlignment w:val="baseline"/>
      </w:pPr>
      <w:r>
        <w:rPr>
          <w:rFonts w:hint="eastAsia" w:eastAsia="仿宋_GB2312"/>
          <w:sz w:val="32"/>
          <w:szCs w:val="32"/>
        </w:rPr>
        <w:t>零售点应当设置于与住所相独立的固定经营场所，经营场所与住所应当在空间上相互独立，在物理特性上应有实体墙相隔离或有明确的区域界线。经营场所应有指向明确并唯一的门牌、地址或者方位表述，且与营业执照登记载明的经营场所一致，并面向公众经营。</w:t>
      </w:r>
    </w:p>
    <w:p w14:paraId="43608FBB">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本规划遵循依法行政、科学规划、服务社会、</w:t>
      </w:r>
      <w:r>
        <w:rPr>
          <w:rFonts w:hint="eastAsia" w:eastAsia="仿宋_GB2312"/>
          <w:sz w:val="32"/>
          <w:szCs w:val="32"/>
        </w:rPr>
        <w:t>分类施策、尊重历史、</w:t>
      </w:r>
      <w:r>
        <w:rPr>
          <w:rFonts w:eastAsia="仿宋_GB2312"/>
          <w:sz w:val="32"/>
          <w:szCs w:val="32"/>
        </w:rPr>
        <w:t>均衡发展原则，综合辖区内人口数量、交通状况、经济发展水平、消费能力等因素，对零售点进行科学合理的规划布局。</w:t>
      </w:r>
    </w:p>
    <w:p w14:paraId="0FC8E009">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零售点布局采用数量限制、距离限制、数量限制</w:t>
      </w:r>
      <w:r>
        <w:rPr>
          <w:rFonts w:eastAsia="仿宋_GB2312"/>
          <w:bCs/>
          <w:sz w:val="32"/>
          <w:szCs w:val="32"/>
        </w:rPr>
        <w:t>与距离</w:t>
      </w:r>
      <w:r>
        <w:rPr>
          <w:rFonts w:eastAsia="仿宋_GB2312"/>
          <w:sz w:val="32"/>
          <w:szCs w:val="32"/>
        </w:rPr>
        <w:t>限制</w:t>
      </w:r>
      <w:r>
        <w:rPr>
          <w:rFonts w:eastAsia="仿宋_GB2312"/>
          <w:bCs/>
          <w:sz w:val="32"/>
          <w:szCs w:val="32"/>
        </w:rPr>
        <w:t>相结合、</w:t>
      </w:r>
      <w:r>
        <w:rPr>
          <w:rFonts w:eastAsia="仿宋_GB2312"/>
          <w:sz w:val="32"/>
          <w:szCs w:val="32"/>
        </w:rPr>
        <w:t>不予设置烟草制品零售点等布局标准。</w:t>
      </w:r>
    </w:p>
    <w:p w14:paraId="04072DD4">
      <w:pPr>
        <w:pStyle w:val="7"/>
        <w:snapToGrid w:val="0"/>
        <w:spacing w:before="312" w:beforeLines="100" w:after="312" w:afterLines="100" w:line="360" w:lineRule="auto"/>
        <w:textAlignment w:val="baseline"/>
        <w:rPr>
          <w:rFonts w:ascii="Times New Roman" w:hAnsi="Times New Roman" w:eastAsia="黑体"/>
          <w:sz w:val="32"/>
          <w:szCs w:val="32"/>
        </w:rPr>
      </w:pPr>
      <w:r>
        <w:rPr>
          <w:rFonts w:hint="eastAsia" w:ascii="Times New Roman" w:hAnsi="Times New Roman" w:eastAsia="黑体"/>
          <w:sz w:val="32"/>
          <w:szCs w:val="32"/>
        </w:rPr>
        <w:t xml:space="preserve">第二章 </w:t>
      </w:r>
      <w:r>
        <w:rPr>
          <w:rFonts w:ascii="Times New Roman" w:hAnsi="Times New Roman" w:eastAsia="黑体"/>
          <w:sz w:val="32"/>
          <w:szCs w:val="32"/>
        </w:rPr>
        <w:t>零售点布局标准</w:t>
      </w:r>
    </w:p>
    <w:p w14:paraId="0D17B2A4">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零售点间距是指申请人拟从事烟草制品零售业务的经营场所与最近的烟草制品零售点之间</w:t>
      </w:r>
      <w:r>
        <w:rPr>
          <w:rFonts w:hint="eastAsia" w:eastAsia="仿宋_GB2312"/>
          <w:sz w:val="32"/>
          <w:szCs w:val="32"/>
        </w:rPr>
        <w:t>的</w:t>
      </w:r>
      <w:r>
        <w:rPr>
          <w:rFonts w:eastAsia="仿宋_GB2312"/>
          <w:sz w:val="32"/>
          <w:szCs w:val="32"/>
        </w:rPr>
        <w:t>距离。</w:t>
      </w:r>
    </w:p>
    <w:p w14:paraId="0F05FEAC">
      <w:pPr>
        <w:adjustRightInd w:val="0"/>
        <w:snapToGrid w:val="0"/>
        <w:spacing w:line="360" w:lineRule="auto"/>
        <w:ind w:firstLine="640" w:firstLineChars="200"/>
        <w:textAlignment w:val="baseline"/>
        <w:rPr>
          <w:rFonts w:hint="eastAsia" w:eastAsia="仿宋_GB2312"/>
          <w:sz w:val="32"/>
          <w:szCs w:val="32"/>
        </w:rPr>
      </w:pPr>
      <w:r>
        <w:rPr>
          <w:rFonts w:eastAsia="仿宋_GB2312"/>
          <w:sz w:val="32"/>
          <w:szCs w:val="32"/>
        </w:rPr>
        <w:t>零售点间距测量的总体原则为两个零售点</w:t>
      </w:r>
      <w:r>
        <w:rPr>
          <w:rFonts w:hint="eastAsia" w:eastAsia="仿宋_GB2312"/>
          <w:sz w:val="32"/>
          <w:szCs w:val="32"/>
        </w:rPr>
        <w:t>“</w:t>
      </w:r>
      <w:r>
        <w:rPr>
          <w:rFonts w:eastAsia="仿宋_GB2312"/>
          <w:sz w:val="32"/>
          <w:szCs w:val="32"/>
        </w:rPr>
        <w:t>门边到门边</w:t>
      </w:r>
      <w:r>
        <w:rPr>
          <w:rFonts w:hint="eastAsia" w:eastAsia="仿宋_GB2312"/>
          <w:sz w:val="32"/>
          <w:szCs w:val="32"/>
        </w:rPr>
        <w:t>”</w:t>
      </w:r>
      <w:r>
        <w:rPr>
          <w:rFonts w:eastAsia="仿宋_GB2312"/>
          <w:sz w:val="32"/>
          <w:szCs w:val="32"/>
        </w:rPr>
        <w:t>可安全步行的最短距离。测量规则及标准详见《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烟草制品零售点间距测量规则及标准》（附件</w:t>
      </w:r>
      <w:r>
        <w:rPr>
          <w:rFonts w:hint="eastAsia" w:eastAsia="仿宋_GB2312"/>
          <w:sz w:val="32"/>
          <w:szCs w:val="32"/>
        </w:rPr>
        <w:t>1</w:t>
      </w:r>
      <w:r>
        <w:rPr>
          <w:rFonts w:eastAsia="仿宋_GB2312"/>
          <w:sz w:val="32"/>
          <w:szCs w:val="32"/>
        </w:rPr>
        <w:t>）</w:t>
      </w:r>
      <w:r>
        <w:rPr>
          <w:rFonts w:hint="eastAsia" w:eastAsia="仿宋_GB2312"/>
          <w:sz w:val="32"/>
          <w:szCs w:val="32"/>
        </w:rPr>
        <w:t>。</w:t>
      </w:r>
    </w:p>
    <w:p w14:paraId="3650B05B">
      <w:pPr>
        <w:numPr>
          <w:ilvl w:val="2"/>
          <w:numId w:val="1"/>
        </w:numPr>
        <w:adjustRightInd w:val="0"/>
        <w:snapToGrid w:val="0"/>
        <w:spacing w:line="360" w:lineRule="auto"/>
        <w:ind w:firstLine="640" w:firstLineChars="200"/>
        <w:textAlignment w:val="baseline"/>
        <w:rPr>
          <w:rFonts w:eastAsia="楷体"/>
          <w:sz w:val="32"/>
          <w:szCs w:val="32"/>
        </w:rPr>
      </w:pPr>
      <w:r>
        <w:rPr>
          <w:rFonts w:eastAsia="仿宋_GB2312"/>
          <w:sz w:val="32"/>
          <w:szCs w:val="32"/>
        </w:rPr>
        <w:t>本规划根据</w:t>
      </w:r>
      <w:r>
        <w:rPr>
          <w:rFonts w:hint="eastAsia" w:eastAsia="仿宋_GB2312"/>
          <w:sz w:val="32"/>
          <w:szCs w:val="32"/>
        </w:rPr>
        <w:t>辖区</w:t>
      </w:r>
      <w:r>
        <w:rPr>
          <w:rFonts w:eastAsia="仿宋_GB2312"/>
          <w:sz w:val="32"/>
          <w:szCs w:val="32"/>
        </w:rPr>
        <w:t>零售市场状态、交通状况、人口</w:t>
      </w:r>
      <w:r>
        <w:rPr>
          <w:rFonts w:hint="eastAsia" w:eastAsia="仿宋_GB2312"/>
          <w:sz w:val="32"/>
          <w:szCs w:val="32"/>
        </w:rPr>
        <w:t>数量</w:t>
      </w:r>
      <w:r>
        <w:rPr>
          <w:rFonts w:eastAsia="仿宋_GB2312"/>
          <w:sz w:val="32"/>
          <w:szCs w:val="32"/>
        </w:rPr>
        <w:t>、消费</w:t>
      </w:r>
      <w:r>
        <w:rPr>
          <w:rFonts w:hint="eastAsia" w:eastAsia="仿宋_GB2312"/>
          <w:sz w:val="32"/>
          <w:szCs w:val="32"/>
        </w:rPr>
        <w:t>者</w:t>
      </w:r>
      <w:r>
        <w:rPr>
          <w:rFonts w:eastAsia="仿宋_GB2312"/>
          <w:sz w:val="32"/>
          <w:szCs w:val="32"/>
        </w:rPr>
        <w:t>购买习惯等因素，</w:t>
      </w:r>
      <w:r>
        <w:rPr>
          <w:rFonts w:hint="eastAsia" w:eastAsia="仿宋_GB2312"/>
          <w:sz w:val="32"/>
          <w:szCs w:val="32"/>
        </w:rPr>
        <w:t>参照行政区划，通过细分市场，</w:t>
      </w:r>
      <w:r>
        <w:rPr>
          <w:rFonts w:eastAsia="仿宋_GB2312"/>
          <w:sz w:val="32"/>
          <w:szCs w:val="32"/>
        </w:rPr>
        <w:t>划定最小单元网格</w:t>
      </w:r>
      <w:r>
        <w:rPr>
          <w:rFonts w:hint="eastAsia" w:eastAsia="仿宋_GB2312"/>
          <w:sz w:val="32"/>
          <w:szCs w:val="32"/>
        </w:rPr>
        <w:t>，将各最小单元网格划分为培育区、发展区、核心区</w:t>
      </w:r>
      <w:r>
        <w:rPr>
          <w:rFonts w:hint="eastAsia" w:eastAsia="仿宋_GB2312"/>
          <w:sz w:val="32"/>
          <w:szCs w:val="32"/>
          <w:lang w:val="en-US" w:eastAsia="zh-CN"/>
        </w:rPr>
        <w:t>三</w:t>
      </w:r>
      <w:r>
        <w:rPr>
          <w:rFonts w:hint="eastAsia" w:eastAsia="仿宋_GB2312"/>
          <w:sz w:val="32"/>
          <w:szCs w:val="32"/>
        </w:rPr>
        <w:t>种市场类型，并结合不同最小单元网格的市场类型，</w:t>
      </w:r>
      <w:r>
        <w:rPr>
          <w:rFonts w:hint="eastAsia" w:ascii="仿宋_GB2312" w:hAnsi="微软雅黑" w:eastAsia="仿宋_GB2312" w:cs="微软雅黑"/>
          <w:sz w:val="32"/>
          <w:szCs w:val="32"/>
        </w:rPr>
        <w:t>分别确定零售点间隔距离标准为</w:t>
      </w:r>
      <w:r>
        <w:rPr>
          <w:rFonts w:hint="eastAsia" w:ascii="仿宋_GB2312" w:eastAsia="仿宋_GB2312"/>
          <w:sz w:val="32"/>
          <w:szCs w:val="32"/>
        </w:rPr>
        <w:t>50</w:t>
      </w:r>
      <w:r>
        <w:rPr>
          <w:rFonts w:hint="eastAsia" w:ascii="仿宋_GB2312" w:hAnsi="微软雅黑" w:eastAsia="仿宋_GB2312" w:cs="微软雅黑"/>
          <w:sz w:val="32"/>
          <w:szCs w:val="32"/>
        </w:rPr>
        <w:t>米、</w:t>
      </w:r>
      <w:r>
        <w:rPr>
          <w:rFonts w:hint="eastAsia" w:ascii="仿宋_GB2312" w:eastAsia="仿宋_GB2312"/>
          <w:sz w:val="32"/>
          <w:szCs w:val="32"/>
        </w:rPr>
        <w:t>30</w:t>
      </w:r>
      <w:r>
        <w:rPr>
          <w:rFonts w:hint="eastAsia" w:ascii="仿宋_GB2312" w:hAnsi="微软雅黑" w:eastAsia="仿宋_GB2312" w:cs="微软雅黑"/>
          <w:sz w:val="32"/>
          <w:szCs w:val="32"/>
        </w:rPr>
        <w:t>米和实施</w:t>
      </w:r>
      <w:r>
        <w:rPr>
          <w:rFonts w:hint="eastAsia" w:ascii="仿宋_GB2312" w:hAnsi="微软雅黑" w:eastAsia="仿宋_GB2312" w:cs="微软雅黑"/>
          <w:sz w:val="32"/>
          <w:szCs w:val="32"/>
          <w:lang w:eastAsia="zh-CN"/>
        </w:rPr>
        <w:t>区域</w:t>
      </w:r>
      <w:r>
        <w:rPr>
          <w:rFonts w:hint="eastAsia" w:ascii="仿宋_GB2312" w:hAnsi="微软雅黑" w:eastAsia="仿宋_GB2312" w:cs="微软雅黑"/>
          <w:sz w:val="32"/>
          <w:szCs w:val="32"/>
        </w:rPr>
        <w:t>数量控制</w:t>
      </w:r>
      <w:r>
        <w:rPr>
          <w:rFonts w:eastAsia="仿宋_GB2312"/>
          <w:color w:val="auto"/>
          <w:sz w:val="32"/>
          <w:szCs w:val="32"/>
          <w:highlight w:val="none"/>
        </w:rPr>
        <w:t>。</w:t>
      </w:r>
    </w:p>
    <w:p w14:paraId="79D07EEC">
      <w:pPr>
        <w:numPr>
          <w:ilvl w:val="2"/>
          <w:numId w:val="1"/>
        </w:numPr>
        <w:adjustRightInd w:val="0"/>
        <w:snapToGrid w:val="0"/>
        <w:spacing w:line="360" w:lineRule="auto"/>
        <w:ind w:firstLine="640" w:firstLineChars="200"/>
        <w:textAlignment w:val="baseline"/>
        <w:rPr>
          <w:rFonts w:eastAsia="仿宋_GB2312"/>
          <w:spacing w:val="10"/>
          <w:sz w:val="32"/>
          <w:szCs w:val="32"/>
        </w:rPr>
      </w:pPr>
      <w:r>
        <w:rPr>
          <w:rFonts w:hint="eastAsia" w:eastAsia="仿宋_GB2312"/>
          <w:sz w:val="32"/>
          <w:szCs w:val="32"/>
        </w:rPr>
        <w:t>本规划</w:t>
      </w:r>
      <w:r>
        <w:rPr>
          <w:rFonts w:eastAsia="仿宋_GB2312"/>
          <w:sz w:val="32"/>
          <w:szCs w:val="32"/>
        </w:rPr>
        <w:t>根据</w:t>
      </w:r>
      <w:r>
        <w:rPr>
          <w:rFonts w:hint="eastAsia" w:eastAsia="仿宋_GB2312"/>
          <w:sz w:val="32"/>
          <w:szCs w:val="32"/>
        </w:rPr>
        <w:t>辖区</w:t>
      </w:r>
      <w:r>
        <w:rPr>
          <w:rFonts w:eastAsia="仿宋_GB2312"/>
          <w:sz w:val="32"/>
          <w:szCs w:val="32"/>
        </w:rPr>
        <w:t>地域面积、人口数量、交通状况、经济发展水平、居民消费能力、消费</w:t>
      </w:r>
      <w:r>
        <w:rPr>
          <w:rFonts w:hint="eastAsia" w:eastAsia="仿宋_GB2312"/>
          <w:sz w:val="32"/>
          <w:szCs w:val="32"/>
        </w:rPr>
        <w:t>者</w:t>
      </w:r>
      <w:r>
        <w:rPr>
          <w:rFonts w:eastAsia="仿宋_GB2312"/>
          <w:sz w:val="32"/>
          <w:szCs w:val="32"/>
        </w:rPr>
        <w:t>购买习惯等因素，合理确定</w:t>
      </w:r>
      <w:r>
        <w:rPr>
          <w:rFonts w:hint="eastAsia" w:eastAsia="仿宋_GB2312"/>
          <w:sz w:val="32"/>
          <w:szCs w:val="32"/>
        </w:rPr>
        <w:t>各</w:t>
      </w:r>
      <w:r>
        <w:rPr>
          <w:rFonts w:eastAsia="仿宋_GB2312"/>
          <w:sz w:val="32"/>
          <w:szCs w:val="32"/>
        </w:rPr>
        <w:t>单元网格</w:t>
      </w:r>
      <w:r>
        <w:rPr>
          <w:rFonts w:hint="eastAsia" w:eastAsia="仿宋_GB2312"/>
          <w:sz w:val="32"/>
          <w:szCs w:val="32"/>
        </w:rPr>
        <w:t>内可</w:t>
      </w:r>
      <w:r>
        <w:rPr>
          <w:rFonts w:eastAsia="仿宋_GB2312"/>
          <w:sz w:val="32"/>
          <w:szCs w:val="32"/>
        </w:rPr>
        <w:t>设置</w:t>
      </w:r>
      <w:r>
        <w:rPr>
          <w:rFonts w:hint="eastAsia" w:eastAsia="仿宋_GB2312"/>
          <w:sz w:val="32"/>
          <w:szCs w:val="32"/>
        </w:rPr>
        <w:t>的</w:t>
      </w:r>
      <w:r>
        <w:rPr>
          <w:rFonts w:eastAsia="仿宋_GB2312"/>
          <w:sz w:val="32"/>
          <w:szCs w:val="32"/>
        </w:rPr>
        <w:t>零售点规划数</w:t>
      </w:r>
      <w:r>
        <w:rPr>
          <w:rFonts w:hint="eastAsia" w:eastAsia="仿宋_GB2312"/>
          <w:sz w:val="32"/>
          <w:szCs w:val="32"/>
        </w:rPr>
        <w:t>量，并结合各单元网格内人口数量、烟草制品销量、零售许可证申办数量变化幅度等因素，进行动态调整</w:t>
      </w:r>
      <w:r>
        <w:rPr>
          <w:rFonts w:eastAsia="仿宋_GB2312"/>
          <w:sz w:val="32"/>
          <w:szCs w:val="32"/>
        </w:rPr>
        <w:t>。</w:t>
      </w:r>
    </w:p>
    <w:p w14:paraId="48B62865">
      <w:pPr>
        <w:adjustRightInd w:val="0"/>
        <w:snapToGrid w:val="0"/>
        <w:spacing w:line="360" w:lineRule="auto"/>
        <w:ind w:firstLine="640" w:firstLineChars="200"/>
        <w:textAlignment w:val="baseline"/>
        <w:rPr>
          <w:rFonts w:hint="eastAsia"/>
        </w:rPr>
      </w:pPr>
      <w:r>
        <w:rPr>
          <w:rFonts w:hint="eastAsia" w:eastAsia="仿宋_GB2312"/>
          <w:sz w:val="32"/>
          <w:szCs w:val="32"/>
        </w:rPr>
        <w:t>在某一</w:t>
      </w:r>
      <w:r>
        <w:rPr>
          <w:rFonts w:eastAsia="仿宋_GB2312"/>
          <w:sz w:val="32"/>
          <w:szCs w:val="32"/>
        </w:rPr>
        <w:t>单元网格内零售点数量达到规划数时，该单元网格不予新设零售点。</w:t>
      </w:r>
    </w:p>
    <w:p w14:paraId="3305B491">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本区零售点合理布局规划数及规划区域、区域网格归属等详见《</w:t>
      </w:r>
      <w:r>
        <w:rPr>
          <w:rFonts w:hint="eastAsia" w:eastAsia="仿宋_GB2312"/>
          <w:sz w:val="32"/>
          <w:szCs w:val="32"/>
          <w:lang w:val="en-US" w:eastAsia="zh-CN"/>
        </w:rPr>
        <w:t>云南省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烟草专卖局烟草制品零售点合理布局公示表》（附件</w:t>
      </w:r>
      <w:r>
        <w:rPr>
          <w:rFonts w:hint="eastAsia" w:eastAsia="仿宋_GB2312"/>
          <w:sz w:val="32"/>
          <w:szCs w:val="32"/>
        </w:rPr>
        <w:t>2</w:t>
      </w:r>
      <w:r>
        <w:rPr>
          <w:rFonts w:eastAsia="仿宋_GB2312"/>
          <w:sz w:val="32"/>
          <w:szCs w:val="32"/>
        </w:rPr>
        <w:t>）</w:t>
      </w:r>
      <w:r>
        <w:rPr>
          <w:rFonts w:hint="eastAsia" w:eastAsia="仿宋_GB2312"/>
          <w:sz w:val="32"/>
          <w:szCs w:val="32"/>
        </w:rPr>
        <w:t>、《</w:t>
      </w:r>
      <w:r>
        <w:rPr>
          <w:rFonts w:hint="eastAsia" w:eastAsia="仿宋_GB2312"/>
          <w:sz w:val="32"/>
          <w:szCs w:val="32"/>
          <w:lang w:val="en-US" w:eastAsia="zh-CN"/>
        </w:rPr>
        <w:t>云南省</w:t>
      </w:r>
      <w:r>
        <w:rPr>
          <w:rFonts w:hint="eastAsia" w:eastAsia="仿宋_GB2312"/>
          <w:sz w:val="32"/>
          <w:szCs w:val="32"/>
        </w:rPr>
        <w:t>昆明市</w:t>
      </w:r>
      <w:r>
        <w:rPr>
          <w:rFonts w:hint="eastAsia" w:eastAsia="仿宋_GB2312"/>
          <w:sz w:val="32"/>
          <w:szCs w:val="32"/>
          <w:lang w:eastAsia="zh-CN"/>
        </w:rPr>
        <w:t>五华区</w:t>
      </w:r>
      <w:r>
        <w:rPr>
          <w:rFonts w:hint="eastAsia" w:eastAsia="仿宋_GB2312"/>
          <w:sz w:val="32"/>
          <w:szCs w:val="32"/>
        </w:rPr>
        <w:t>烟草专卖局雪茄烟专营店零售点合理布局公示表》（</w:t>
      </w:r>
      <w:r>
        <w:rPr>
          <w:rFonts w:eastAsia="仿宋_GB2312"/>
          <w:sz w:val="32"/>
          <w:szCs w:val="32"/>
        </w:rPr>
        <w:t>附件</w:t>
      </w:r>
      <w:r>
        <w:rPr>
          <w:rFonts w:hint="eastAsia" w:eastAsia="仿宋_GB2312"/>
          <w:sz w:val="32"/>
          <w:szCs w:val="32"/>
        </w:rPr>
        <w:t>3）、</w:t>
      </w:r>
      <w:r>
        <w:rPr>
          <w:rFonts w:eastAsia="仿宋_GB2312"/>
          <w:sz w:val="32"/>
          <w:szCs w:val="32"/>
        </w:rPr>
        <w:t>《</w:t>
      </w:r>
      <w:r>
        <w:rPr>
          <w:rFonts w:hint="eastAsia" w:eastAsia="仿宋_GB2312"/>
          <w:sz w:val="32"/>
          <w:szCs w:val="32"/>
          <w:lang w:val="en-US" w:eastAsia="zh-CN"/>
        </w:rPr>
        <w:t>云南省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烟草专卖局烟草制品零售点合理布局网格示意图》（附件</w:t>
      </w:r>
      <w:r>
        <w:rPr>
          <w:rFonts w:hint="eastAsia" w:eastAsia="仿宋_GB2312"/>
          <w:sz w:val="32"/>
          <w:szCs w:val="32"/>
        </w:rPr>
        <w:t>4</w:t>
      </w:r>
      <w:r>
        <w:rPr>
          <w:rFonts w:eastAsia="仿宋_GB2312"/>
          <w:sz w:val="32"/>
          <w:szCs w:val="32"/>
        </w:rPr>
        <w:t>）。</w:t>
      </w:r>
    </w:p>
    <w:p w14:paraId="2B7EF25A">
      <w:pPr>
        <w:numPr>
          <w:ilvl w:val="2"/>
          <w:numId w:val="1"/>
        </w:numPr>
        <w:adjustRightInd w:val="0"/>
        <w:snapToGrid w:val="0"/>
        <w:spacing w:line="360" w:lineRule="auto"/>
        <w:ind w:firstLine="640" w:firstLineChars="200"/>
        <w:textAlignment w:val="baseline"/>
        <w:rPr>
          <w:rFonts w:eastAsia="仿宋_GB2312"/>
          <w:sz w:val="32"/>
          <w:szCs w:val="32"/>
        </w:rPr>
      </w:pPr>
      <w:r>
        <w:rPr>
          <w:rFonts w:hint="eastAsia" w:eastAsia="仿宋_GB2312"/>
          <w:strike w:val="0"/>
          <w:dstrike w:val="0"/>
          <w:sz w:val="32"/>
          <w:szCs w:val="32"/>
          <w:highlight w:val="none"/>
        </w:rPr>
        <w:t>机场、火车站、</w:t>
      </w:r>
      <w:r>
        <w:rPr>
          <w:rFonts w:hint="eastAsia" w:eastAsia="仿宋_GB2312"/>
          <w:strike w:val="0"/>
          <w:sz w:val="32"/>
          <w:szCs w:val="32"/>
          <w:highlight w:val="none"/>
        </w:rPr>
        <w:t>汽车站、</w:t>
      </w:r>
      <w:r>
        <w:rPr>
          <w:rFonts w:hint="eastAsia" w:eastAsia="仿宋_GB2312"/>
          <w:strike w:val="0"/>
          <w:dstrike w:val="0"/>
          <w:sz w:val="32"/>
          <w:szCs w:val="32"/>
          <w:highlight w:val="none"/>
        </w:rPr>
        <w:t>码头</w:t>
      </w:r>
      <w:r>
        <w:rPr>
          <w:rFonts w:hint="eastAsia" w:eastAsia="仿宋_GB2312"/>
          <w:strike w:val="0"/>
          <w:dstrike w:val="0"/>
          <w:sz w:val="32"/>
          <w:szCs w:val="32"/>
          <w:highlight w:val="none"/>
          <w:lang w:eastAsia="zh-CN"/>
        </w:rPr>
        <w:t>、</w:t>
      </w:r>
      <w:r>
        <w:rPr>
          <w:rFonts w:hint="eastAsia" w:eastAsia="仿宋_GB2312"/>
          <w:sz w:val="32"/>
          <w:szCs w:val="32"/>
          <w:lang w:val="en-US" w:eastAsia="zh-CN"/>
        </w:rPr>
        <w:t>景区、旅居“打卡地”</w:t>
      </w:r>
      <w:r>
        <w:rPr>
          <w:rFonts w:hint="eastAsia" w:eastAsia="仿宋_GB2312"/>
          <w:sz w:val="32"/>
          <w:szCs w:val="32"/>
        </w:rPr>
        <w:t>等</w:t>
      </w:r>
      <w:r>
        <w:rPr>
          <w:rFonts w:hint="eastAsia" w:eastAsia="仿宋_GB2312"/>
          <w:sz w:val="32"/>
          <w:szCs w:val="32"/>
          <w:lang w:eastAsia="zh-CN"/>
        </w:rPr>
        <w:t>区域</w:t>
      </w:r>
      <w:r>
        <w:rPr>
          <w:rFonts w:hint="eastAsia" w:eastAsia="仿宋_GB2312"/>
          <w:sz w:val="32"/>
          <w:szCs w:val="32"/>
        </w:rPr>
        <w:t>，可单独设置为一个单元网格，并结合相应人流数量、场所配置等实际，进行规划。</w:t>
      </w:r>
    </w:p>
    <w:p w14:paraId="7DFF6AA8">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下列区域可单独设置一个零售点，不受本区域单元网格规划数量、距离限制：</w:t>
      </w:r>
    </w:p>
    <w:p w14:paraId="2D2B033D">
      <w:pPr>
        <w:numPr>
          <w:ilvl w:val="0"/>
          <w:numId w:val="2"/>
        </w:numPr>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eastAsia="仿宋_GB2312"/>
          <w:b w:val="0"/>
          <w:bCs w:val="0"/>
          <w:color w:val="auto"/>
          <w:sz w:val="32"/>
          <w:szCs w:val="32"/>
          <w:highlight w:val="none"/>
          <w:lang w:val="en-US" w:eastAsia="zh-CN"/>
        </w:rPr>
        <w:t>商场、超市、便利店或烟草专业店</w:t>
      </w:r>
      <w:r>
        <w:rPr>
          <w:rFonts w:hint="eastAsia" w:ascii="仿宋_GB2312" w:hAnsi="仿宋_GB2312" w:eastAsia="仿宋_GB2312" w:cs="仿宋_GB2312"/>
          <w:color w:val="auto"/>
          <w:spacing w:val="0"/>
          <w:sz w:val="32"/>
          <w:szCs w:val="32"/>
          <w:highlight w:val="none"/>
          <w:lang w:val="en-US" w:eastAsia="zh-CN"/>
        </w:rPr>
        <w:t>经营场所经营面积（不包括仓库、车库、休息室、办公场所等辅助设施的面积）在100平方米及其以</w:t>
      </w:r>
      <w:r>
        <w:rPr>
          <w:rFonts w:hint="eastAsia" w:eastAsia="仿宋_GB2312"/>
          <w:b w:val="0"/>
          <w:bCs w:val="0"/>
          <w:color w:val="auto"/>
          <w:sz w:val="32"/>
          <w:szCs w:val="32"/>
          <w:highlight w:val="none"/>
          <w:lang w:val="en-US" w:eastAsia="zh-CN"/>
        </w:rPr>
        <w:t>上的；</w:t>
      </w:r>
    </w:p>
    <w:p w14:paraId="68870FD3">
      <w:pPr>
        <w:numPr>
          <w:ilvl w:val="0"/>
          <w:numId w:val="2"/>
        </w:numPr>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部队、监狱、看守所、戒毒所封闭经营管理区域；</w:t>
      </w:r>
    </w:p>
    <w:p w14:paraId="240B07E5">
      <w:pPr>
        <w:widowControl/>
        <w:spacing w:before="5" w:line="360" w:lineRule="auto"/>
        <w:ind w:left="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（三）未设置烟草制品零售点的加油站及其配套服务区内部；</w:t>
      </w:r>
    </w:p>
    <w:p w14:paraId="20866351">
      <w:pPr>
        <w:widowControl/>
        <w:spacing w:before="5" w:line="360" w:lineRule="auto"/>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（四）未设置烟草制品零售点的地铁站（按每站计）内部；</w:t>
      </w:r>
    </w:p>
    <w:p w14:paraId="6A07700F">
      <w:pPr>
        <w:widowControl/>
        <w:spacing w:before="5" w:line="360" w:lineRule="auto"/>
        <w:ind w:left="1"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（五）商用楼宇（按每栋楼宇计）公共楼层部分已形成实际商品展卖场所，但未设置烟草制品零售点的</w:t>
      </w:r>
      <w:r>
        <w:rPr>
          <w:rFonts w:hint="eastAsia" w:ascii="仿宋_GB2312" w:hAnsi="仿宋_GB2312" w:eastAsia="仿宋_GB2312" w:cs="仿宋_GB2312"/>
          <w:sz w:val="32"/>
          <w:szCs w:val="32"/>
          <w:lang w:eastAsia="zh-CN"/>
        </w:rPr>
        <w:t>。</w:t>
      </w:r>
    </w:p>
    <w:p w14:paraId="7FF003BB">
      <w:pPr>
        <w:numPr>
          <w:ilvl w:val="2"/>
          <w:numId w:val="1"/>
        </w:numPr>
        <w:adjustRightInd w:val="0"/>
        <w:snapToGrid w:val="0"/>
        <w:spacing w:line="360" w:lineRule="auto"/>
        <w:ind w:firstLine="640" w:firstLineChars="200"/>
        <w:textAlignment w:val="baseline"/>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具有下列情形之一的，不予设置零售点：</w:t>
      </w:r>
    </w:p>
    <w:p w14:paraId="25D5356F">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申请人为无民事行为能力人或者限制行为能力人的；</w:t>
      </w:r>
    </w:p>
    <w:p w14:paraId="2A652C8B">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申请人隐瞒有关情况或提供虚假材料的；因隐瞒有关情况或者提供虚假材料，烟草专卖局作出不予受理或者不予发证决定后，申请人一年内再次提出申请的；</w:t>
      </w:r>
    </w:p>
    <w:p w14:paraId="44433545">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5EF58457">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外商投资的商业企业或者个体工商户，但有外资成分以提供住宿、餐饮、休闲、娱乐为主要经营的宾馆、酒店等属于娱乐服务类的企业和经国家有关部门批准为国有控股的混合所有制企业除外；</w:t>
      </w:r>
    </w:p>
    <w:p w14:paraId="3657129C">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无固定经营场所的：包括但不限于流动的摊、点、车、棚、简易板房、活动板房（彩钢房）、临时占道的建筑等；</w:t>
      </w:r>
    </w:p>
    <w:p w14:paraId="6CBD4A36">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经营场所与住所不相独立的：包括但不限于经营场所为住所的客厅、餐厅、卧室、阳台、地下室、储藏室等或车库、居民楼内公用道、楼梯间等；</w:t>
      </w:r>
    </w:p>
    <w:p w14:paraId="34F7D6AE">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经营场所已经办理了仍在有效期内的烟草专卖零售许可证的；</w:t>
      </w:r>
    </w:p>
    <w:p w14:paraId="2E7374FC">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经营场所位于党政机关内部或者医疗卫生机构内部的；</w:t>
      </w:r>
    </w:p>
    <w:p w14:paraId="5E884C21">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经营场所基于安全因素不适宜经营烟草制品的；</w:t>
      </w:r>
    </w:p>
    <w:p w14:paraId="6503F6F7">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城市区域中小学、幼儿园内部及学生正常出入口（含通道）向外延伸100米以内</w:t>
      </w:r>
      <w:r>
        <w:rPr>
          <w:rFonts w:hint="eastAsia" w:eastAsia="仿宋_GB2312"/>
          <w:sz w:val="32"/>
          <w:szCs w:val="32"/>
        </w:rPr>
        <w:t>；</w:t>
      </w:r>
    </w:p>
    <w:p w14:paraId="7A417920">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利用自动售货机或者其他自动售货形式，销售或者变相销售烟草制品的，或者通过信息网络销售烟草专卖品的；</w:t>
      </w:r>
    </w:p>
    <w:p w14:paraId="714246BE">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经营业态存在容易诱导未成年人关注、购买、吸食烟草制品或其他不利于未成年人保护的；以及经营业态专业性较强且与烟草制品零售业务没有直接或间接互补营销关系的场所；</w:t>
      </w:r>
    </w:p>
    <w:p w14:paraId="7E686AE8">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法律、法规、规章、规范性文件等规定的其他不予许可的情形。</w:t>
      </w:r>
    </w:p>
    <w:p w14:paraId="0E4458F2">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中小学校、幼儿园新建、扩建等客观原因，造成持证人无法在原核定地址经营之日起三十日内，持证人在原单元网格内新址申请新办许可证的，不受所在单元网格规划数限制，零售点间距要求可放宽至本单元网格间距标准的30%执行；</w:t>
      </w:r>
    </w:p>
    <w:p w14:paraId="3FF1AA11">
      <w:p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在辖区其它单元网格新址申请新办的，受所在单元网格规划数限制，零售点间距要求按照该单元网格间距标准的80%执行。</w:t>
      </w:r>
    </w:p>
    <w:p w14:paraId="1CF66313">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因道路规划、城市建设等客观原因，造成持证人无法在原核定地址经营之日起三十日内，持证人在原单元网格内新址变更许可证的，不受所在单元网格规划数限制，零售点间距要求可放宽至本单元网格间距标准的30%执行。</w:t>
      </w:r>
    </w:p>
    <w:p w14:paraId="045FE692">
      <w:p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在辖区其它单元网格新址变更的，受所在单元网格规划数限制，零售点间距要求按照该单元网格间距标准的80%执行。</w:t>
      </w:r>
    </w:p>
    <w:p w14:paraId="6EA0989E">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bookmarkStart w:id="0" w:name="OLE_LINK2"/>
      <w:r>
        <w:rPr>
          <w:rFonts w:hint="eastAsia" w:ascii="仿宋_GB2312" w:hAnsi="仿宋_GB2312" w:eastAsia="仿宋_GB2312" w:cs="仿宋_GB2312"/>
          <w:sz w:val="32"/>
          <w:szCs w:val="32"/>
        </w:rPr>
        <w:t>在原发证机关辖区范围内连续经营五年以上，且最近连续三年无涉烟违法违规记录的持证户，因租金上涨、租赁期满等客观原因不能在原核定地址经营，经营主体未发生改变，在办理许可证歇业后六个月内，持证人申请在原单元网格新址上新办零售许可证的，不受所在单元网格规划数限制，零售点间距要求按照该单元网格间距标准的30%执行。</w:t>
      </w:r>
      <w:bookmarkEnd w:id="0"/>
    </w:p>
    <w:p w14:paraId="5580D567">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eastAsia="仿宋_GB2312"/>
          <w:sz w:val="32"/>
          <w:szCs w:val="32"/>
        </w:rPr>
        <w:t>满足以下条件之一且具有完全民事行为能力的特殊群体，申请办理零售许可证的，受所在单元网格规划数限制，</w:t>
      </w:r>
      <w:r>
        <w:rPr>
          <w:rFonts w:hint="eastAsia" w:ascii="仿宋_GB2312" w:hAnsi="仿宋_GB2312" w:eastAsia="仿宋_GB2312" w:cs="仿宋_GB2312"/>
          <w:sz w:val="32"/>
          <w:szCs w:val="32"/>
        </w:rPr>
        <w:t>零售点间距要求</w:t>
      </w:r>
      <w:r>
        <w:rPr>
          <w:rFonts w:hint="eastAsia" w:eastAsia="仿宋_GB2312"/>
          <w:sz w:val="32"/>
          <w:szCs w:val="32"/>
        </w:rPr>
        <w:t>按照</w:t>
      </w:r>
      <w:r>
        <w:rPr>
          <w:rFonts w:hint="eastAsia" w:ascii="仿宋_GB2312" w:hAnsi="仿宋_GB2312" w:eastAsia="仿宋_GB2312" w:cs="仿宋_GB2312"/>
          <w:sz w:val="32"/>
          <w:szCs w:val="32"/>
        </w:rPr>
        <w:t>单元网格间距标准的80%执行</w:t>
      </w:r>
      <w:r>
        <w:rPr>
          <w:rFonts w:hint="eastAsia" w:eastAsia="仿宋_GB2312"/>
          <w:sz w:val="32"/>
          <w:szCs w:val="32"/>
        </w:rPr>
        <w:t>：</w:t>
      </w:r>
    </w:p>
    <w:p w14:paraId="5B6EC8C4">
      <w:pPr>
        <w:spacing w:before="38" w:line="360" w:lineRule="auto"/>
        <w:ind w:left="25"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(一)烈士遗属、因公牺牲军人</w:t>
      </w:r>
      <w:bookmarkStart w:id="1" w:name="OLE_LINK4"/>
      <w:r>
        <w:rPr>
          <w:rFonts w:hint="eastAsia" w:ascii="仿宋_GB2312" w:hAnsi="仿宋_GB2312" w:eastAsia="仿宋_GB2312" w:cs="仿宋_GB2312"/>
          <w:sz w:val="32"/>
          <w:szCs w:val="32"/>
        </w:rPr>
        <w:t>遗</w:t>
      </w:r>
      <w:bookmarkEnd w:id="1"/>
      <w:r>
        <w:rPr>
          <w:rFonts w:hint="eastAsia" w:ascii="仿宋_GB2312" w:hAnsi="仿宋_GB2312" w:eastAsia="仿宋_GB2312" w:cs="仿宋_GB2312"/>
          <w:sz w:val="32"/>
          <w:szCs w:val="32"/>
        </w:rPr>
        <w:t>属、病故军人遗属和见义勇为牺牲人员遗属(本条中的遗属包括：父母、子女、配偶)。</w:t>
      </w:r>
    </w:p>
    <w:p w14:paraId="392AACA9">
      <w:pPr>
        <w:spacing w:before="38" w:line="360" w:lineRule="auto"/>
        <w:ind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(二)听力、言语、肢体二级及以上具有从事烟草专卖零售经营业务相应能力的残疾人本人。</w:t>
      </w:r>
    </w:p>
    <w:p w14:paraId="058E2FE5">
      <w:pPr>
        <w:spacing w:before="38" w:line="360" w:lineRule="auto"/>
        <w:ind w:left="25"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同一特殊群体申请人在云南省内仅限适用一次放宽政策。</w:t>
      </w:r>
    </w:p>
    <w:p w14:paraId="5DD53668">
      <w:pPr>
        <w:pStyle w:val="7"/>
        <w:snapToGrid w:val="0"/>
        <w:spacing w:before="312" w:beforeLines="100" w:after="312" w:afterLines="100" w:line="360" w:lineRule="auto"/>
        <w:textAlignment w:val="baseline"/>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第三章 雪茄烟专营零售点布局标准</w:t>
      </w:r>
    </w:p>
    <w:p w14:paraId="62F72685">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雪茄烟专营零售点实行“一址一证”管理，受辖区雪茄烟专营零售点规划数量限制，不受零售点间距限制，但不得存在本规划第十二条明确的</w:t>
      </w:r>
      <w:r>
        <w:rPr>
          <w:rFonts w:hint="eastAsia" w:eastAsia="仿宋_GB2312"/>
          <w:sz w:val="32"/>
          <w:szCs w:val="32"/>
        </w:rPr>
        <w:t>不予设置零售点的情形</w:t>
      </w:r>
      <w:r>
        <w:rPr>
          <w:rFonts w:hint="eastAsia" w:ascii="仿宋_GB2312" w:hAnsi="仿宋_GB2312" w:eastAsia="仿宋_GB2312" w:cs="仿宋_GB2312"/>
          <w:sz w:val="32"/>
          <w:szCs w:val="32"/>
        </w:rPr>
        <w:t>。</w:t>
      </w:r>
    </w:p>
    <w:p w14:paraId="7111B91E">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雪茄烟专营零售点不作为其它烟草制品零售点、电子烟零售点设置过程中店间距离测量的参照基准。</w:t>
      </w:r>
    </w:p>
    <w:p w14:paraId="0CF70E0E">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取得雪茄烟专营零售资格的被许可主体，如需变更其烟草专卖零售许可证经营范围的，应符合相应烟草制品零售点合理布局的规定。</w:t>
      </w:r>
    </w:p>
    <w:p w14:paraId="47DADA16">
      <w:pPr>
        <w:pStyle w:val="7"/>
        <w:snapToGrid w:val="0"/>
        <w:spacing w:before="312" w:beforeLines="100" w:after="312" w:afterLines="100" w:line="360" w:lineRule="auto"/>
        <w:textAlignment w:val="baseline"/>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第四章  附 则</w:t>
      </w:r>
    </w:p>
    <w:p w14:paraId="57950919">
      <w:pPr>
        <w:numPr>
          <w:ilvl w:val="2"/>
          <w:numId w:val="1"/>
        </w:numPr>
        <w:adjustRightInd w:val="0"/>
        <w:snapToGrid w:val="0"/>
        <w:spacing w:before="113"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烟草专卖零售许可证的发证范围以属地管辖和指定管辖相结合为原则，不受政府各类行政功能区(如</w:t>
      </w:r>
      <w:r>
        <w:rPr>
          <w:rFonts w:hint="eastAsia" w:ascii="仿宋_GB2312" w:hAnsi="仿宋_GB2312" w:eastAsia="仿宋_GB2312" w:cs="仿宋_GB2312"/>
          <w:strike w:val="0"/>
          <w:dstrike w:val="0"/>
          <w:sz w:val="32"/>
          <w:szCs w:val="32"/>
          <w:highlight w:val="none"/>
        </w:rPr>
        <w:t>经开区、</w:t>
      </w:r>
      <w:r>
        <w:rPr>
          <w:rFonts w:hint="eastAsia" w:ascii="仿宋_GB2312" w:hAnsi="仿宋_GB2312" w:eastAsia="仿宋_GB2312" w:cs="仿宋_GB2312"/>
          <w:strike w:val="0"/>
          <w:sz w:val="32"/>
          <w:szCs w:val="32"/>
          <w:highlight w:val="none"/>
        </w:rPr>
        <w:t>高新区</w:t>
      </w:r>
      <w:r>
        <w:rPr>
          <w:rFonts w:hint="eastAsia" w:ascii="仿宋_GB2312" w:hAnsi="仿宋_GB2312" w:eastAsia="仿宋_GB2312" w:cs="仿宋_GB2312"/>
          <w:sz w:val="32"/>
          <w:szCs w:val="32"/>
        </w:rPr>
        <w:t>)的划分限制。持证人因道路规划、城市建设等客观原因无法在原核定经营地址经营，申请变更到原发证机关辖区内其他地址经营的，无论新址是否跨政府划定的各类功能区域，均应依法受理。</w:t>
      </w:r>
    </w:p>
    <w:p w14:paraId="32D83DFF">
      <w:pPr>
        <w:numPr>
          <w:ilvl w:val="2"/>
          <w:numId w:val="1"/>
        </w:numPr>
        <w:adjustRightInd w:val="0"/>
        <w:snapToGrid w:val="0"/>
        <w:spacing w:before="113"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本规划实施后，如遇相关法律、法规、规章及规范性文件调整的，从其规定，并在公布后实施。 </w:t>
      </w:r>
    </w:p>
    <w:p w14:paraId="45640404">
      <w:pPr>
        <w:numPr>
          <w:ilvl w:val="2"/>
          <w:numId w:val="1"/>
        </w:numPr>
        <w:adjustRightInd w:val="0"/>
        <w:snapToGrid w:val="0"/>
        <w:spacing w:before="113" w:line="360" w:lineRule="auto"/>
        <w:ind w:firstLine="640" w:firstLineChars="200"/>
        <w:textAlignment w:val="baseline"/>
        <w:rPr>
          <w:rFonts w:eastAsia="仿宋_GB2312"/>
          <w:sz w:val="32"/>
          <w:szCs w:val="32"/>
        </w:rPr>
      </w:pPr>
      <w:r>
        <w:rPr>
          <w:rFonts w:hint="eastAsia" w:eastAsia="仿宋_GB2312"/>
          <w:sz w:val="32"/>
          <w:szCs w:val="32"/>
        </w:rPr>
        <w:t>对暂不符合布局规划的申请人，实行排队轮候制度详见《</w:t>
      </w:r>
      <w:r>
        <w:rPr>
          <w:rFonts w:hint="eastAsia" w:eastAsia="仿宋_GB2312"/>
          <w:sz w:val="32"/>
          <w:szCs w:val="32"/>
          <w:lang w:val="en-US" w:eastAsia="zh-CN"/>
        </w:rPr>
        <w:t>云南省</w:t>
      </w:r>
      <w:r>
        <w:rPr>
          <w:rFonts w:hint="eastAsia" w:eastAsia="仿宋_GB2312"/>
          <w:sz w:val="32"/>
          <w:szCs w:val="32"/>
        </w:rPr>
        <w:t>昆明市</w:t>
      </w:r>
      <w:r>
        <w:rPr>
          <w:rFonts w:hint="eastAsia" w:eastAsia="仿宋_GB2312"/>
          <w:sz w:val="32"/>
          <w:szCs w:val="32"/>
          <w:lang w:eastAsia="zh-CN"/>
        </w:rPr>
        <w:t>五华区</w:t>
      </w:r>
      <w:r>
        <w:rPr>
          <w:rFonts w:hint="eastAsia" w:eastAsia="仿宋_GB2312"/>
          <w:sz w:val="32"/>
          <w:szCs w:val="32"/>
        </w:rPr>
        <w:t>烟草专卖局烟草制品零售点排队轮候制度》（附件5）。</w:t>
      </w:r>
    </w:p>
    <w:p w14:paraId="11FED9FE">
      <w:pPr>
        <w:adjustRightInd w:val="0"/>
        <w:snapToGrid w:val="0"/>
        <w:spacing w:before="113" w:line="360" w:lineRule="auto"/>
        <w:ind w:firstLine="640" w:firstLineChars="200"/>
        <w:textAlignment w:val="baseline"/>
        <w:rPr>
          <w:rFonts w:hint="eastAsia" w:eastAsia="仿宋_GB2312"/>
          <w:sz w:val="32"/>
          <w:szCs w:val="32"/>
        </w:rPr>
      </w:pPr>
      <w:r>
        <w:rPr>
          <w:rFonts w:hint="eastAsia" w:eastAsia="仿宋_GB2312"/>
          <w:sz w:val="32"/>
          <w:szCs w:val="32"/>
        </w:rPr>
        <w:t>符合本规划第十三条第一款、第十四条第一款和第十五条规定情形且不受所在单元网格规划数限制的，申请不实行排队轮候制度。</w:t>
      </w:r>
    </w:p>
    <w:p w14:paraId="4419BC3F">
      <w:pPr>
        <w:numPr>
          <w:ilvl w:val="2"/>
          <w:numId w:val="1"/>
        </w:numPr>
        <w:snapToGrid w:val="0"/>
        <w:spacing w:line="360" w:lineRule="auto"/>
        <w:ind w:firstLine="680" w:firstLineChars="200"/>
        <w:rPr>
          <w:rFonts w:ascii="Times New Roman" w:hAnsi="Times New Roman" w:eastAsia="仿宋_GB2312" w:cs="Times New Roman"/>
          <w:sz w:val="32"/>
          <w:szCs w:val="32"/>
        </w:rPr>
      </w:pPr>
      <w:r>
        <w:rPr>
          <w:rFonts w:eastAsia="仿宋_GB2312"/>
          <w:spacing w:val="10"/>
          <w:sz w:val="32"/>
          <w:szCs w:val="32"/>
        </w:rPr>
        <w:t>本区</w:t>
      </w:r>
      <w:r>
        <w:rPr>
          <w:rFonts w:eastAsia="仿宋_GB2312"/>
          <w:sz w:val="32"/>
          <w:szCs w:val="32"/>
        </w:rPr>
        <w:t>零售点合理布局实行定期评价、动态管理。每季度根据本地经济发展、城乡建设、市场形势等变化情况进行调整</w:t>
      </w:r>
      <w:r>
        <w:rPr>
          <w:rFonts w:hint="eastAsia" w:eastAsia="仿宋_GB2312"/>
          <w:sz w:val="32"/>
          <w:szCs w:val="32"/>
        </w:rPr>
        <w:t>，</w:t>
      </w:r>
      <w:r>
        <w:rPr>
          <w:rFonts w:eastAsia="仿宋_GB2312"/>
          <w:sz w:val="32"/>
          <w:szCs w:val="32"/>
        </w:rPr>
        <w:t>并</w:t>
      </w:r>
      <w:r>
        <w:rPr>
          <w:rFonts w:hint="eastAsia" w:eastAsia="仿宋_GB2312"/>
          <w:sz w:val="32"/>
          <w:szCs w:val="32"/>
        </w:rPr>
        <w:t>经</w:t>
      </w:r>
      <w:r>
        <w:rPr>
          <w:rFonts w:eastAsia="仿宋_GB2312"/>
          <w:sz w:val="32"/>
          <w:szCs w:val="32"/>
        </w:rPr>
        <w:t>公示后实施。</w:t>
      </w:r>
      <w:r>
        <w:rPr>
          <w:rFonts w:ascii="Times New Roman" w:hAnsi="Times New Roman" w:eastAsia="仿宋_GB2312" w:cs="Times New Roman"/>
          <w:sz w:val="32"/>
          <w:szCs w:val="32"/>
        </w:rPr>
        <w:t>动态调整规则</w:t>
      </w:r>
      <w:r>
        <w:rPr>
          <w:rFonts w:hint="eastAsia" w:ascii="Times New Roman" w:hAnsi="Times New Roman" w:eastAsia="仿宋_GB2312" w:cs="Times New Roman"/>
          <w:sz w:val="32"/>
          <w:szCs w:val="32"/>
        </w:rPr>
        <w:t>按照《昆明市</w:t>
      </w:r>
      <w:r>
        <w:rPr>
          <w:rFonts w:hint="eastAsia" w:ascii="Times New Roman" w:hAnsi="Times New Roman" w:eastAsia="仿宋_GB2312" w:cs="Times New Roman"/>
          <w:sz w:val="32"/>
          <w:szCs w:val="32"/>
          <w:lang w:eastAsia="zh-CN"/>
        </w:rPr>
        <w:t>五华区</w:t>
      </w:r>
      <w:r>
        <w:rPr>
          <w:rFonts w:hint="eastAsia" w:ascii="Times New Roman" w:hAnsi="Times New Roman" w:eastAsia="仿宋_GB2312" w:cs="Times New Roman"/>
          <w:sz w:val="32"/>
          <w:szCs w:val="32"/>
        </w:rPr>
        <w:t>烟草制品零售点合理布局规划数动态调整管理制度》（附件6）执行</w:t>
      </w:r>
      <w:r>
        <w:rPr>
          <w:rFonts w:ascii="Times New Roman" w:hAnsi="Times New Roman" w:eastAsia="仿宋_GB2312" w:cs="Times New Roman"/>
          <w:sz w:val="32"/>
          <w:szCs w:val="32"/>
        </w:rPr>
        <w:t>。</w:t>
      </w:r>
    </w:p>
    <w:p w14:paraId="7EA8CE77">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2321775B">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城市区域是指位于主城区、城乡结合区、镇中心区、镇乡结合区、特殊区域；农村区域是指位于乡中心区、村庄。</w:t>
      </w:r>
    </w:p>
    <w:p w14:paraId="192E2341">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本规划中“以上”、“不低于”、“不超过”、“以内”等，如无特殊说明均包括本数。</w:t>
      </w:r>
    </w:p>
    <w:p w14:paraId="36202FDC">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本规划中按照年、月、日计算期间的，开始的当日不计入，自下一日开始计算，均以工作日计算，不含法定节假日。</w:t>
      </w:r>
    </w:p>
    <w:p w14:paraId="39EC968B">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本规划由昆明市</w:t>
      </w:r>
      <w:r>
        <w:rPr>
          <w:rFonts w:hint="eastAsia" w:eastAsia="仿宋_GB2312"/>
          <w:sz w:val="32"/>
          <w:szCs w:val="32"/>
          <w:lang w:eastAsia="zh-CN"/>
        </w:rPr>
        <w:t>五华区</w:t>
      </w:r>
      <w:r>
        <w:rPr>
          <w:rFonts w:hint="eastAsia" w:eastAsia="仿宋_GB2312"/>
          <w:sz w:val="32"/>
          <w:szCs w:val="32"/>
        </w:rPr>
        <w:t>烟草专卖局负责解释。</w:t>
      </w:r>
    </w:p>
    <w:p w14:paraId="041973BB">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color w:val="auto"/>
          <w:sz w:val="32"/>
          <w:szCs w:val="32"/>
          <w:highlight w:val="none"/>
          <w:lang w:val="en-US" w:eastAsia="zh-CN"/>
        </w:rPr>
        <w:t>本规划于公布之日起三十日后施行，</w:t>
      </w:r>
      <w:r>
        <w:rPr>
          <w:rFonts w:hint="eastAsia" w:ascii="仿宋_GB2312" w:hAnsi="仿宋_GB2312" w:eastAsia="仿宋_GB2312" w:cs="仿宋_GB2312"/>
          <w:color w:val="auto"/>
          <w:sz w:val="32"/>
          <w:szCs w:val="32"/>
          <w:highlight w:val="none"/>
          <w:lang w:val="en-US" w:eastAsia="zh-CN"/>
        </w:rPr>
        <w:t>2024</w:t>
      </w:r>
      <w:r>
        <w:rPr>
          <w:rFonts w:hint="eastAsia" w:eastAsia="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lang w:val="en-US" w:eastAsia="zh-CN"/>
        </w:rPr>
        <w:t>8</w:t>
      </w:r>
      <w:r>
        <w:rPr>
          <w:rFonts w:hint="eastAsia" w:eastAsia="仿宋_GB2312"/>
          <w:color w:val="auto"/>
          <w:sz w:val="32"/>
          <w:szCs w:val="32"/>
          <w:highlight w:val="none"/>
          <w:lang w:val="en-US" w:eastAsia="zh-CN"/>
        </w:rPr>
        <w:t>月</w:t>
      </w:r>
      <w:r>
        <w:rPr>
          <w:rFonts w:hint="eastAsia" w:ascii="仿宋_GB2312" w:hAnsi="仿宋_GB2312" w:eastAsia="仿宋_GB2312" w:cs="仿宋_GB2312"/>
          <w:color w:val="auto"/>
          <w:sz w:val="32"/>
          <w:szCs w:val="32"/>
          <w:highlight w:val="none"/>
          <w:lang w:val="en-US" w:eastAsia="zh-CN"/>
        </w:rPr>
        <w:t>5</w:t>
      </w:r>
      <w:r>
        <w:rPr>
          <w:rFonts w:hint="eastAsia" w:eastAsia="仿宋_GB2312"/>
          <w:color w:val="auto"/>
          <w:sz w:val="32"/>
          <w:szCs w:val="32"/>
          <w:highlight w:val="none"/>
          <w:lang w:val="en-US" w:eastAsia="zh-CN"/>
        </w:rPr>
        <w:t>日起实施的《云南省昆明市五华区烟草制品零售点合理布局规划》（五烟局〔</w:t>
      </w:r>
      <w:r>
        <w:rPr>
          <w:rFonts w:hint="eastAsia" w:ascii="仿宋_GB2312" w:hAnsi="仿宋_GB2312" w:eastAsia="仿宋_GB2312" w:cs="仿宋_GB2312"/>
          <w:color w:val="auto"/>
          <w:sz w:val="32"/>
          <w:szCs w:val="32"/>
          <w:highlight w:val="none"/>
          <w:lang w:val="en-US" w:eastAsia="zh-CN"/>
        </w:rPr>
        <w:t>2024</w:t>
      </w:r>
      <w:r>
        <w:rPr>
          <w:rFonts w:hint="eastAsia" w:eastAsia="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3</w:t>
      </w:r>
      <w:r>
        <w:rPr>
          <w:rFonts w:hint="eastAsia" w:eastAsia="仿宋_GB2312"/>
          <w:color w:val="auto"/>
          <w:sz w:val="32"/>
          <w:szCs w:val="32"/>
          <w:highlight w:val="none"/>
          <w:lang w:val="en-US" w:eastAsia="zh-CN"/>
        </w:rPr>
        <w:t>号）同时废止。</w:t>
      </w:r>
    </w:p>
    <w:p w14:paraId="4BD5B520">
      <w:pPr>
        <w:pStyle w:val="2"/>
        <w:rPr>
          <w:color w:val="auto"/>
        </w:rPr>
      </w:pPr>
    </w:p>
    <w:p w14:paraId="398FC904">
      <w:pPr>
        <w:snapToGrid w:val="0"/>
        <w:spacing w:line="360" w:lineRule="auto"/>
        <w:ind w:firstLine="640" w:firstLineChars="200"/>
        <w:textAlignment w:val="baseline"/>
        <w:rPr>
          <w:rFonts w:eastAsia="仿宋_GB2312"/>
          <w:sz w:val="32"/>
          <w:szCs w:val="32"/>
        </w:rPr>
      </w:pPr>
    </w:p>
    <w:p w14:paraId="62DD33DF">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附件1：</w:t>
      </w:r>
      <w:r>
        <w:rPr>
          <w:rFonts w:hint="eastAsia" w:eastAsia="仿宋_GB2312"/>
          <w:sz w:val="32"/>
          <w:szCs w:val="32"/>
          <w:lang w:eastAsia="zh-CN"/>
        </w:rPr>
        <w:t>云南省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烟草制品零售点间距测量规则及标准</w:t>
      </w:r>
      <w:r>
        <w:rPr>
          <w:rFonts w:hint="eastAsia" w:eastAsia="仿宋_GB2312"/>
          <w:sz w:val="32"/>
          <w:szCs w:val="32"/>
        </w:rPr>
        <w:t>；</w:t>
      </w:r>
    </w:p>
    <w:p w14:paraId="3F1EA754">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附件2：</w:t>
      </w:r>
      <w:r>
        <w:rPr>
          <w:rFonts w:hint="eastAsia" w:eastAsia="仿宋_GB2312"/>
          <w:sz w:val="32"/>
          <w:szCs w:val="32"/>
          <w:lang w:eastAsia="zh-CN"/>
        </w:rPr>
        <w:t>云南省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烟草专卖局烟草制品零售点合理布局公示表</w:t>
      </w:r>
      <w:r>
        <w:rPr>
          <w:rFonts w:hint="eastAsia" w:eastAsia="仿宋_GB2312"/>
          <w:sz w:val="32"/>
          <w:szCs w:val="32"/>
        </w:rPr>
        <w:t>；</w:t>
      </w:r>
    </w:p>
    <w:p w14:paraId="42C84374">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附件3：</w:t>
      </w:r>
      <w:r>
        <w:rPr>
          <w:rFonts w:hint="eastAsia" w:eastAsia="仿宋_GB2312"/>
          <w:sz w:val="32"/>
          <w:szCs w:val="32"/>
          <w:lang w:eastAsia="zh-CN"/>
        </w:rPr>
        <w:t>云南省</w:t>
      </w:r>
      <w:r>
        <w:rPr>
          <w:rFonts w:hint="eastAsia" w:eastAsia="仿宋_GB2312"/>
          <w:sz w:val="32"/>
          <w:szCs w:val="32"/>
        </w:rPr>
        <w:t>昆明市</w:t>
      </w:r>
      <w:r>
        <w:rPr>
          <w:rFonts w:hint="eastAsia" w:eastAsia="仿宋_GB2312"/>
          <w:sz w:val="32"/>
          <w:szCs w:val="32"/>
          <w:lang w:eastAsia="zh-CN"/>
        </w:rPr>
        <w:t>五华区</w:t>
      </w:r>
      <w:r>
        <w:rPr>
          <w:rFonts w:hint="eastAsia" w:eastAsia="仿宋_GB2312"/>
          <w:sz w:val="32"/>
          <w:szCs w:val="32"/>
        </w:rPr>
        <w:t>烟草专卖局雪茄烟专营店零售点合理布局公示表；</w:t>
      </w:r>
    </w:p>
    <w:p w14:paraId="755550B7">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w:t>
      </w:r>
      <w:r>
        <w:rPr>
          <w:rFonts w:hint="eastAsia" w:eastAsia="仿宋_GB2312"/>
          <w:sz w:val="32"/>
          <w:szCs w:val="32"/>
        </w:rPr>
        <w:t>4</w:t>
      </w:r>
      <w:r>
        <w:rPr>
          <w:rFonts w:eastAsia="仿宋_GB2312"/>
          <w:sz w:val="32"/>
          <w:szCs w:val="32"/>
        </w:rPr>
        <w:t>：</w:t>
      </w:r>
      <w:r>
        <w:rPr>
          <w:rFonts w:hint="eastAsia" w:eastAsia="仿宋_GB2312"/>
          <w:sz w:val="32"/>
          <w:szCs w:val="32"/>
          <w:lang w:eastAsia="zh-CN"/>
        </w:rPr>
        <w:t>云南省</w:t>
      </w:r>
      <w:r>
        <w:rPr>
          <w:rFonts w:hint="eastAsia" w:eastAsia="仿宋_GB2312"/>
          <w:sz w:val="32"/>
          <w:szCs w:val="32"/>
        </w:rPr>
        <w:t>昆明市</w:t>
      </w:r>
      <w:r>
        <w:rPr>
          <w:rFonts w:hint="eastAsia" w:eastAsia="仿宋_GB2312"/>
          <w:sz w:val="32"/>
          <w:szCs w:val="32"/>
          <w:lang w:eastAsia="zh-CN"/>
        </w:rPr>
        <w:t>五华区</w:t>
      </w:r>
      <w:r>
        <w:rPr>
          <w:rFonts w:eastAsia="仿宋_GB2312"/>
          <w:sz w:val="32"/>
          <w:szCs w:val="32"/>
        </w:rPr>
        <w:t>烟草专卖局烟草制品零售点合理布局规划网格示意图</w:t>
      </w:r>
      <w:r>
        <w:rPr>
          <w:rFonts w:hint="eastAsia" w:eastAsia="仿宋_GB2312"/>
          <w:sz w:val="32"/>
          <w:szCs w:val="32"/>
        </w:rPr>
        <w:t>；</w:t>
      </w:r>
    </w:p>
    <w:p w14:paraId="0A11B3BF">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w:t>
      </w:r>
      <w:r>
        <w:rPr>
          <w:rFonts w:hint="eastAsia" w:eastAsia="仿宋_GB2312"/>
          <w:sz w:val="32"/>
          <w:szCs w:val="32"/>
        </w:rPr>
        <w:t>5</w:t>
      </w:r>
      <w:r>
        <w:rPr>
          <w:rFonts w:eastAsia="仿宋_GB2312"/>
          <w:sz w:val="32"/>
          <w:szCs w:val="32"/>
        </w:rPr>
        <w:t>：</w:t>
      </w:r>
      <w:r>
        <w:rPr>
          <w:rFonts w:hint="eastAsia" w:eastAsia="仿宋_GB2312"/>
          <w:sz w:val="32"/>
          <w:szCs w:val="32"/>
          <w:lang w:eastAsia="zh-CN"/>
        </w:rPr>
        <w:t>云南省</w:t>
      </w:r>
      <w:r>
        <w:rPr>
          <w:rFonts w:hint="eastAsia" w:eastAsia="仿宋_GB2312"/>
          <w:sz w:val="32"/>
          <w:szCs w:val="32"/>
        </w:rPr>
        <w:t>昆明市</w:t>
      </w:r>
      <w:r>
        <w:rPr>
          <w:rFonts w:hint="eastAsia" w:eastAsia="仿宋_GB2312"/>
          <w:sz w:val="32"/>
          <w:szCs w:val="32"/>
          <w:lang w:eastAsia="zh-CN"/>
        </w:rPr>
        <w:t>五华区</w:t>
      </w:r>
      <w:r>
        <w:rPr>
          <w:rFonts w:hint="eastAsia" w:eastAsia="仿宋_GB2312"/>
          <w:sz w:val="32"/>
          <w:szCs w:val="32"/>
        </w:rPr>
        <w:t>烟草专卖局烟草制品零售点排队轮候制度；</w:t>
      </w:r>
    </w:p>
    <w:p w14:paraId="7420CE4F">
      <w:pPr>
        <w:snapToGrid w:val="0"/>
        <w:spacing w:line="360" w:lineRule="auto"/>
        <w:ind w:firstLine="640" w:firstLineChars="200"/>
        <w:textAlignment w:val="baseline"/>
        <w:rPr>
          <w:rFonts w:hint="eastAsia"/>
          <w:color w:val="auto"/>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eastAsia="仿宋_GB2312"/>
          <w:sz w:val="32"/>
          <w:szCs w:val="32"/>
        </w:rPr>
        <w:t>附件</w:t>
      </w:r>
      <w:r>
        <w:rPr>
          <w:rFonts w:hint="eastAsia" w:eastAsia="仿宋_GB2312"/>
          <w:sz w:val="32"/>
          <w:szCs w:val="32"/>
        </w:rPr>
        <w:t>6</w:t>
      </w:r>
      <w:r>
        <w:rPr>
          <w:rFonts w:eastAsia="仿宋_GB2312"/>
          <w:sz w:val="32"/>
          <w:szCs w:val="32"/>
        </w:rPr>
        <w:t>：</w:t>
      </w:r>
      <w:r>
        <w:rPr>
          <w:rFonts w:hint="eastAsia" w:eastAsia="仿宋_GB2312"/>
          <w:sz w:val="32"/>
          <w:szCs w:val="32"/>
          <w:lang w:eastAsia="zh-CN"/>
        </w:rPr>
        <w:t>云南省</w:t>
      </w:r>
      <w:r>
        <w:rPr>
          <w:rFonts w:hint="eastAsia" w:eastAsia="仿宋_GB2312"/>
          <w:sz w:val="32"/>
          <w:szCs w:val="32"/>
        </w:rPr>
        <w:t>昆明市</w:t>
      </w:r>
      <w:r>
        <w:rPr>
          <w:rFonts w:hint="eastAsia" w:eastAsia="仿宋_GB2312"/>
          <w:sz w:val="32"/>
          <w:szCs w:val="32"/>
          <w:lang w:eastAsia="zh-CN"/>
        </w:rPr>
        <w:t>五华区</w:t>
      </w:r>
      <w:r>
        <w:rPr>
          <w:rFonts w:hint="eastAsia" w:eastAsia="仿宋_GB2312"/>
          <w:sz w:val="32"/>
          <w:szCs w:val="32"/>
        </w:rPr>
        <w:t>烟草制品零售点合理布局规划数动态调整管理制度。</w:t>
      </w:r>
    </w:p>
    <w:p w14:paraId="50934120">
      <w:pPr>
        <w:numPr>
          <w:ilvl w:val="0"/>
          <w:numId w:val="0"/>
        </w:numPr>
        <w:adjustRightInd w:val="0"/>
        <w:snapToGrid w:val="0"/>
        <w:spacing w:line="336" w:lineRule="auto"/>
        <w:rPr>
          <w:rFonts w:hint="eastAsia" w:ascii="仿宋_GB2312" w:hAnsi="仿宋_GB2312" w:eastAsia="仿宋_GB2312" w:cs="仿宋_GB2312"/>
          <w:sz w:val="32"/>
          <w:szCs w:val="32"/>
        </w:rPr>
      </w:pP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5FB7A">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34035" cy="23050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14:paraId="1B79F569">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15pt;width:42.05pt;mso-position-horizontal:right;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s9TQdIAAAADAQAADwAAAAAAAAABACAAAAAiAAAAZHJzL2Rvd25yZXYueG1s&#10;UEsBAhQAFAAAAAgAh07iQG/nXjc3AgAAYwQAAA4AAAAAAAAAAQAgAAAAIQEAAGRycy9lMm9Eb2Mu&#10;eG1sUEsFBgAAAAAGAAYAWQEAAMoFAAAAAA==&#10;">
              <v:fill on="f" focussize="0,0"/>
              <v:stroke on="f" weight="0.5pt"/>
              <v:imagedata o:title=""/>
              <o:lock v:ext="edit" aspectratio="f"/>
              <v:textbox inset="0mm,0mm,0mm,0mm" style="mso-fit-shape-to-text:t;">
                <w:txbxContent>
                  <w:p w14:paraId="1B79F569">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- 11 -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25C78">
    <w:pPr>
      <w:pStyle w:val="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34035" cy="230505"/>
              <wp:effectExtent l="0" t="0" r="0" b="0"/>
              <wp:wrapNone/>
              <wp:docPr id="22" name="文本框 2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14:paraId="51BF08AA">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34</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1" o:spid="_x0000_s1026" o:spt="202" type="#_x0000_t202" style="position:absolute;left:0pt;margin-top:0pt;height:18.15pt;width:42.05pt;mso-position-horizontal:right;mso-position-horizontal-relative:margin;mso-wrap-style:none;z-index:251660288;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bPU0HSAAAAAwEAAA8AAAAAAAAAAQAgAAAAIgAAAGRycy9kb3ducmV2Lnht&#10;bFBLAQIUABQAAAAIAIdO4kCe56BoOAIAAGMEAAAOAAAAAAAAAAEAIAAAACEBAABkcnMvZTJvRG9j&#10;LnhtbFBLBQYAAAAABgAGAFkBAADLBQAAAAA=&#10;">
              <v:fill on="f" focussize="0,0"/>
              <v:stroke on="f" weight="0.5pt"/>
              <v:imagedata o:title=""/>
              <o:lock v:ext="edit" aspectratio="f"/>
              <v:textbox inset="0mm,0mm,0mm,0mm" style="mso-fit-shape-to-text:t;">
                <w:txbxContent>
                  <w:p w14:paraId="51BF08AA">
                    <w:pPr>
                      <w:pStyle w:val="5"/>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34</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06B93"/>
    <w:multiLevelType w:val="singleLevel"/>
    <w:tmpl w:val="9AE06B93"/>
    <w:lvl w:ilvl="0" w:tentative="0">
      <w:start w:val="1"/>
      <w:numFmt w:val="chineseCounting"/>
      <w:suff w:val="nothing"/>
      <w:lvlText w:val="（%1）"/>
      <w:lvlJc w:val="left"/>
      <w:rPr>
        <w:rFonts w:hint="eastAsia"/>
        <w:color w:val="auto"/>
      </w:rPr>
    </w:lvl>
  </w:abstractNum>
  <w:abstractNum w:abstractNumId="1">
    <w:nsid w:val="20CE79E8"/>
    <w:multiLevelType w:val="multilevel"/>
    <w:tmpl w:val="20CE79E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397"/>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57CC925A"/>
    <w:multiLevelType w:val="singleLevel"/>
    <w:tmpl w:val="57CC925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Yjk2MWFhNjZlOGFkYTgwMzQ5YTRlZDFjNTQwODIifQ=="/>
  </w:docVars>
  <w:rsids>
    <w:rsidRoot w:val="00921BF4"/>
    <w:rsid w:val="00255DF5"/>
    <w:rsid w:val="00320278"/>
    <w:rsid w:val="00492D23"/>
    <w:rsid w:val="007C6779"/>
    <w:rsid w:val="00921BF4"/>
    <w:rsid w:val="009C058E"/>
    <w:rsid w:val="00AA45E4"/>
    <w:rsid w:val="00DC6678"/>
    <w:rsid w:val="0293255D"/>
    <w:rsid w:val="032E1F38"/>
    <w:rsid w:val="0451751E"/>
    <w:rsid w:val="047C4263"/>
    <w:rsid w:val="04866998"/>
    <w:rsid w:val="04E7565C"/>
    <w:rsid w:val="051047A6"/>
    <w:rsid w:val="05A30D0A"/>
    <w:rsid w:val="05AC5838"/>
    <w:rsid w:val="087472AB"/>
    <w:rsid w:val="08F60724"/>
    <w:rsid w:val="09144F50"/>
    <w:rsid w:val="0A474B53"/>
    <w:rsid w:val="0A550098"/>
    <w:rsid w:val="0A80786B"/>
    <w:rsid w:val="0AED38FE"/>
    <w:rsid w:val="0B545807"/>
    <w:rsid w:val="0B811AED"/>
    <w:rsid w:val="0C1E07A5"/>
    <w:rsid w:val="0C422AAA"/>
    <w:rsid w:val="0CEA0AED"/>
    <w:rsid w:val="0D257B39"/>
    <w:rsid w:val="0DA87805"/>
    <w:rsid w:val="0F384BB8"/>
    <w:rsid w:val="0F4F67B5"/>
    <w:rsid w:val="1029294A"/>
    <w:rsid w:val="11B51D40"/>
    <w:rsid w:val="11FC3AFF"/>
    <w:rsid w:val="12241424"/>
    <w:rsid w:val="1264042B"/>
    <w:rsid w:val="12C56763"/>
    <w:rsid w:val="12F17558"/>
    <w:rsid w:val="13482EF0"/>
    <w:rsid w:val="13EA3CBE"/>
    <w:rsid w:val="14753828"/>
    <w:rsid w:val="15526579"/>
    <w:rsid w:val="15C238B7"/>
    <w:rsid w:val="15C4714B"/>
    <w:rsid w:val="15D25814"/>
    <w:rsid w:val="1606331B"/>
    <w:rsid w:val="16BA4750"/>
    <w:rsid w:val="17486B44"/>
    <w:rsid w:val="18157A03"/>
    <w:rsid w:val="186F4193"/>
    <w:rsid w:val="18FF22A3"/>
    <w:rsid w:val="19015DC7"/>
    <w:rsid w:val="1A42779C"/>
    <w:rsid w:val="1A937147"/>
    <w:rsid w:val="1AB9360B"/>
    <w:rsid w:val="1AC92B69"/>
    <w:rsid w:val="1C9251BD"/>
    <w:rsid w:val="1CBD66FD"/>
    <w:rsid w:val="1D4E39FB"/>
    <w:rsid w:val="1DA95C27"/>
    <w:rsid w:val="1E5E77FD"/>
    <w:rsid w:val="1E92484A"/>
    <w:rsid w:val="1EC00C2B"/>
    <w:rsid w:val="20722A5B"/>
    <w:rsid w:val="212A1E87"/>
    <w:rsid w:val="21A734D8"/>
    <w:rsid w:val="220B4938"/>
    <w:rsid w:val="22E70030"/>
    <w:rsid w:val="231041DF"/>
    <w:rsid w:val="234878DE"/>
    <w:rsid w:val="23745836"/>
    <w:rsid w:val="24F56CB7"/>
    <w:rsid w:val="25441769"/>
    <w:rsid w:val="25763FAD"/>
    <w:rsid w:val="25DD396C"/>
    <w:rsid w:val="26E00E9D"/>
    <w:rsid w:val="26F37FED"/>
    <w:rsid w:val="275D2823"/>
    <w:rsid w:val="27812BCE"/>
    <w:rsid w:val="28BA2C82"/>
    <w:rsid w:val="28E91C1B"/>
    <w:rsid w:val="29E90B31"/>
    <w:rsid w:val="2C5C383D"/>
    <w:rsid w:val="2CA0143E"/>
    <w:rsid w:val="2CDF6A8F"/>
    <w:rsid w:val="2D9E60D7"/>
    <w:rsid w:val="2DB72CF5"/>
    <w:rsid w:val="2DCD0020"/>
    <w:rsid w:val="2E5D1AEE"/>
    <w:rsid w:val="2E9B4386"/>
    <w:rsid w:val="2FDE577C"/>
    <w:rsid w:val="31D426B3"/>
    <w:rsid w:val="31D66E3C"/>
    <w:rsid w:val="32C6192F"/>
    <w:rsid w:val="337C47C4"/>
    <w:rsid w:val="33900270"/>
    <w:rsid w:val="340E1773"/>
    <w:rsid w:val="3456111A"/>
    <w:rsid w:val="35204BF2"/>
    <w:rsid w:val="35363B2B"/>
    <w:rsid w:val="35743113"/>
    <w:rsid w:val="36210F44"/>
    <w:rsid w:val="366F0610"/>
    <w:rsid w:val="37377380"/>
    <w:rsid w:val="37655042"/>
    <w:rsid w:val="37ED7A3F"/>
    <w:rsid w:val="380F0F50"/>
    <w:rsid w:val="38286CC9"/>
    <w:rsid w:val="38457E8E"/>
    <w:rsid w:val="388008B3"/>
    <w:rsid w:val="38AE3672"/>
    <w:rsid w:val="38D7394D"/>
    <w:rsid w:val="3AAC3BE1"/>
    <w:rsid w:val="3B465105"/>
    <w:rsid w:val="3BC30375"/>
    <w:rsid w:val="3BCB21B0"/>
    <w:rsid w:val="3C706E90"/>
    <w:rsid w:val="3D3D2968"/>
    <w:rsid w:val="3D73270E"/>
    <w:rsid w:val="3E0C2C4D"/>
    <w:rsid w:val="3E7A4B27"/>
    <w:rsid w:val="3EFA05A5"/>
    <w:rsid w:val="3F126659"/>
    <w:rsid w:val="3F425A69"/>
    <w:rsid w:val="40E70F9A"/>
    <w:rsid w:val="4148399D"/>
    <w:rsid w:val="4168325C"/>
    <w:rsid w:val="41BE1C6A"/>
    <w:rsid w:val="42212150"/>
    <w:rsid w:val="42482327"/>
    <w:rsid w:val="42760930"/>
    <w:rsid w:val="42F179E1"/>
    <w:rsid w:val="430D3E24"/>
    <w:rsid w:val="43655275"/>
    <w:rsid w:val="437E62AC"/>
    <w:rsid w:val="43CC52F4"/>
    <w:rsid w:val="44015C1D"/>
    <w:rsid w:val="442E0603"/>
    <w:rsid w:val="449B0C88"/>
    <w:rsid w:val="468774F1"/>
    <w:rsid w:val="481B4154"/>
    <w:rsid w:val="48B32CF9"/>
    <w:rsid w:val="48BB2454"/>
    <w:rsid w:val="4A314103"/>
    <w:rsid w:val="4A7933B4"/>
    <w:rsid w:val="4AF61349"/>
    <w:rsid w:val="4B252C84"/>
    <w:rsid w:val="4B771FE9"/>
    <w:rsid w:val="4B885FA4"/>
    <w:rsid w:val="4C112D4B"/>
    <w:rsid w:val="4C347DAD"/>
    <w:rsid w:val="4CFC4191"/>
    <w:rsid w:val="4D1921CD"/>
    <w:rsid w:val="4D591EBC"/>
    <w:rsid w:val="4E0C0E12"/>
    <w:rsid w:val="4E217FEA"/>
    <w:rsid w:val="4E6C4476"/>
    <w:rsid w:val="4EC75569"/>
    <w:rsid w:val="4FB85D49"/>
    <w:rsid w:val="4FDF1F0B"/>
    <w:rsid w:val="4FFE4422"/>
    <w:rsid w:val="50634E86"/>
    <w:rsid w:val="506B38B2"/>
    <w:rsid w:val="517069F7"/>
    <w:rsid w:val="519D2D48"/>
    <w:rsid w:val="51D20849"/>
    <w:rsid w:val="51FE5477"/>
    <w:rsid w:val="52033A97"/>
    <w:rsid w:val="52662B79"/>
    <w:rsid w:val="53FB308C"/>
    <w:rsid w:val="54280325"/>
    <w:rsid w:val="54F0660E"/>
    <w:rsid w:val="554C6D32"/>
    <w:rsid w:val="55B41E92"/>
    <w:rsid w:val="55E6514E"/>
    <w:rsid w:val="56130B60"/>
    <w:rsid w:val="56A241DD"/>
    <w:rsid w:val="56F148F5"/>
    <w:rsid w:val="5804082B"/>
    <w:rsid w:val="581B5404"/>
    <w:rsid w:val="584B0EAE"/>
    <w:rsid w:val="58AB7DCD"/>
    <w:rsid w:val="59D6437F"/>
    <w:rsid w:val="5AE65F83"/>
    <w:rsid w:val="5B1C67F4"/>
    <w:rsid w:val="5BF520D0"/>
    <w:rsid w:val="5C13097E"/>
    <w:rsid w:val="5C4A3F69"/>
    <w:rsid w:val="5D0B3225"/>
    <w:rsid w:val="5E982BE1"/>
    <w:rsid w:val="5FDDE697"/>
    <w:rsid w:val="60A611D2"/>
    <w:rsid w:val="60BB607C"/>
    <w:rsid w:val="60F670B5"/>
    <w:rsid w:val="630442D7"/>
    <w:rsid w:val="63D2524C"/>
    <w:rsid w:val="63D25BB7"/>
    <w:rsid w:val="649D5202"/>
    <w:rsid w:val="65A827C1"/>
    <w:rsid w:val="65F025BA"/>
    <w:rsid w:val="66024453"/>
    <w:rsid w:val="663F2EDF"/>
    <w:rsid w:val="68730B8F"/>
    <w:rsid w:val="68EC14C9"/>
    <w:rsid w:val="69107C1E"/>
    <w:rsid w:val="69205590"/>
    <w:rsid w:val="69674FF3"/>
    <w:rsid w:val="6A44248E"/>
    <w:rsid w:val="6A715D0D"/>
    <w:rsid w:val="6A8917B4"/>
    <w:rsid w:val="6A9115B7"/>
    <w:rsid w:val="6B27177D"/>
    <w:rsid w:val="6BC900B2"/>
    <w:rsid w:val="6C690E6D"/>
    <w:rsid w:val="6C983697"/>
    <w:rsid w:val="6CC54F8A"/>
    <w:rsid w:val="6D102BFA"/>
    <w:rsid w:val="6DC53D62"/>
    <w:rsid w:val="6DE23DCB"/>
    <w:rsid w:val="6E0C4D26"/>
    <w:rsid w:val="6E0E1FA0"/>
    <w:rsid w:val="6E987ABA"/>
    <w:rsid w:val="6E9B39E4"/>
    <w:rsid w:val="6EDF73DA"/>
    <w:rsid w:val="6F4D4C8B"/>
    <w:rsid w:val="6F5F0B10"/>
    <w:rsid w:val="705E5CE7"/>
    <w:rsid w:val="70F233A0"/>
    <w:rsid w:val="719972EE"/>
    <w:rsid w:val="726E19CE"/>
    <w:rsid w:val="72A93F87"/>
    <w:rsid w:val="72CC4119"/>
    <w:rsid w:val="73AA26AC"/>
    <w:rsid w:val="74DD5496"/>
    <w:rsid w:val="75BE243F"/>
    <w:rsid w:val="76614049"/>
    <w:rsid w:val="768B79D3"/>
    <w:rsid w:val="76E956FA"/>
    <w:rsid w:val="77503597"/>
    <w:rsid w:val="77560455"/>
    <w:rsid w:val="77EFB16B"/>
    <w:rsid w:val="78474BDC"/>
    <w:rsid w:val="78B81F88"/>
    <w:rsid w:val="7A0C61BB"/>
    <w:rsid w:val="7A813A3B"/>
    <w:rsid w:val="7B113011"/>
    <w:rsid w:val="7B702252"/>
    <w:rsid w:val="7BB15D69"/>
    <w:rsid w:val="7C010A0C"/>
    <w:rsid w:val="7C0F0C22"/>
    <w:rsid w:val="7C666864"/>
    <w:rsid w:val="7CB0778F"/>
    <w:rsid w:val="7E6F2369"/>
    <w:rsid w:val="7E906943"/>
    <w:rsid w:val="7ED7568D"/>
    <w:rsid w:val="7F390D88"/>
    <w:rsid w:val="7FA335D0"/>
    <w:rsid w:val="BA3D4BDA"/>
    <w:rsid w:val="EF9F13EA"/>
    <w:rsid w:val="EFED48E3"/>
    <w:rsid w:val="FA6F1407"/>
    <w:rsid w:val="FFEF01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3">
    <w:name w:val="annotation text"/>
    <w:basedOn w:val="1"/>
    <w:link w:val="12"/>
    <w:unhideWhenUsed/>
    <w:qFormat/>
    <w:uiPriority w:val="99"/>
    <w:pPr>
      <w:jc w:val="left"/>
    </w:pPr>
  </w:style>
  <w:style w:type="paragraph" w:styleId="4">
    <w:name w:val="Body Text"/>
    <w:basedOn w:val="1"/>
    <w:link w:val="13"/>
    <w:unhideWhenUsed/>
    <w:qFormat/>
    <w:uiPriority w:val="0"/>
    <w:pPr>
      <w:spacing w:after="120"/>
    </w:pPr>
  </w:style>
  <w:style w:type="paragraph" w:styleId="5">
    <w:name w:val="footer"/>
    <w:basedOn w:val="1"/>
    <w:link w:val="14"/>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6"/>
    <w:qFormat/>
    <w:uiPriority w:val="11"/>
    <w:pPr>
      <w:spacing w:before="240" w:after="240" w:line="312" w:lineRule="auto"/>
      <w:jc w:val="center"/>
      <w:outlineLvl w:val="1"/>
    </w:pPr>
    <w:rPr>
      <w:rFonts w:ascii="等线" w:hAnsi="等线" w:eastAsia="等线"/>
      <w:kern w:val="28"/>
      <w:sz w:val="40"/>
      <w:szCs w:val="40"/>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批注文字 字符"/>
    <w:link w:val="3"/>
    <w:qFormat/>
    <w:uiPriority w:val="99"/>
    <w:rPr>
      <w:rFonts w:ascii="Times New Roman" w:hAnsi="Times New Roman" w:eastAsia="宋体" w:cs="Times New Roman"/>
      <w:szCs w:val="24"/>
    </w:rPr>
  </w:style>
  <w:style w:type="character" w:customStyle="1" w:styleId="13">
    <w:name w:val="正文文本 字符"/>
    <w:link w:val="4"/>
    <w:qFormat/>
    <w:uiPriority w:val="0"/>
    <w:rPr>
      <w:rFonts w:ascii="Times New Roman" w:hAnsi="Times New Roman" w:eastAsia="宋体" w:cs="Times New Roman"/>
      <w:szCs w:val="24"/>
    </w:rPr>
  </w:style>
  <w:style w:type="character" w:customStyle="1" w:styleId="14">
    <w:name w:val="页脚 字符"/>
    <w:link w:val="5"/>
    <w:qFormat/>
    <w:uiPriority w:val="0"/>
    <w:rPr>
      <w:rFonts w:ascii="Times New Roman" w:hAnsi="Times New Roman" w:eastAsia="宋体" w:cs="Times New Roman"/>
      <w:sz w:val="18"/>
      <w:szCs w:val="24"/>
    </w:rPr>
  </w:style>
  <w:style w:type="character" w:customStyle="1" w:styleId="15">
    <w:name w:val="页眉 字符"/>
    <w:link w:val="6"/>
    <w:qFormat/>
    <w:uiPriority w:val="99"/>
    <w:rPr>
      <w:rFonts w:ascii="Times New Roman" w:hAnsi="Times New Roman" w:eastAsia="宋体" w:cs="Times New Roman"/>
      <w:sz w:val="18"/>
      <w:szCs w:val="18"/>
    </w:rPr>
  </w:style>
  <w:style w:type="character" w:customStyle="1" w:styleId="16">
    <w:name w:val="副标题 字符"/>
    <w:link w:val="7"/>
    <w:qFormat/>
    <w:uiPriority w:val="11"/>
    <w:rPr>
      <w:rFonts w:ascii="等线" w:hAnsi="等线" w:eastAsia="等线" w:cs="Times New Roman"/>
      <w:kern w:val="28"/>
      <w:sz w:val="40"/>
      <w:szCs w:val="40"/>
    </w:r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paragraph" w:styleId="18">
    <w:name w:val="List Paragraph"/>
    <w:basedOn w:val="1"/>
    <w:qFormat/>
    <w:uiPriority w:val="34"/>
    <w:pPr>
      <w:ind w:firstLine="420" w:firstLineChars="200"/>
    </w:pPr>
  </w:style>
  <w:style w:type="table" w:customStyle="1" w:styleId="19">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11</Pages>
  <Words>3911</Words>
  <Characters>3935</Characters>
  <Lines>76</Lines>
  <Paragraphs>21</Paragraphs>
  <TotalTime>0</TotalTime>
  <ScaleCrop>false</ScaleCrop>
  <LinksUpToDate>false</LinksUpToDate>
  <CharactersWithSpaces>3942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2024-06-08T11:49:00Z</dcterms:created>
  <dc:creator>汤世彤</dc:creator>
  <cp:lastModifiedBy>李锐</cp:lastModifiedBy>
  <cp:lastPrinted>2026-07-24T11:36:00Z</cp:lastPrinted>
  <dcterms:modified xsi:type="dcterms:W3CDTF">2026-08-20T00:55:24Z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C68D6535A03C4743A89B2AB4421EF94A_13</vt:lpwstr>
  </property>
  <property fmtid="{D5CDD505-2E9C-101B-9397-08002B2CF9AE}" pid="4" name="KSOTemplateDocerSaveRecord">
    <vt:lpwstr>eyJoZGlkIjoiY2NhNzljYmZkNTE1NmExZTM3MDFlZjNmMzVhNTk1NzgiLCJ1c2VySWQiOiI0OTM0ODA5NjEifQ==</vt:lpwstr>
  </property>
</Properties>
</file>