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CE4C37B">
      <w:pPr>
        <w:spacing w:line="570" w:lineRule="exact"/>
        <w:ind w:left="1120" w:right="96" w:hanging="480"/>
        <w:rPr>
          <w:sz w:val="34"/>
          <w:szCs w:val="34"/>
        </w:rPr>
      </w:pPr>
      <w:r>
        <w:drawing>
          <wp:anchor distT="0" distB="0" distL="114300" distR="114300" simplePos="0" relativeHeight="251659264" behindDoc="1" locked="0" layoutInCell="1" allowOverlap="1">
            <wp:simplePos x="0" y="0"/>
            <wp:positionH relativeFrom="column">
              <wp:posOffset>-996950</wp:posOffset>
            </wp:positionH>
            <wp:positionV relativeFrom="paragraph">
              <wp:posOffset>-1381125</wp:posOffset>
            </wp:positionV>
            <wp:extent cx="7886700" cy="5052060"/>
            <wp:effectExtent l="0" t="0" r="0" b="0"/>
            <wp:wrapNone/>
            <wp:docPr id="1" name="图片 4" descr="区委文件"/>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4" descr="区委文件"/>
                    <pic:cNvPicPr>
                      <a:picLocks noChangeAspect="1"/>
                    </pic:cNvPicPr>
                  </pic:nvPicPr>
                  <pic:blipFill>
                    <a:blip r:embed="rId5"/>
                    <a:srcRect r="-3302" b="53210"/>
                    <a:stretch>
                      <a:fillRect/>
                    </a:stretch>
                  </pic:blipFill>
                  <pic:spPr>
                    <a:xfrm>
                      <a:off x="0" y="0"/>
                      <a:ext cx="7886700" cy="5052060"/>
                    </a:xfrm>
                    <a:prstGeom prst="rect">
                      <a:avLst/>
                    </a:prstGeom>
                    <a:noFill/>
                    <a:ln>
                      <a:noFill/>
                    </a:ln>
                  </pic:spPr>
                </pic:pic>
              </a:graphicData>
            </a:graphic>
          </wp:anchor>
        </w:drawing>
      </w:r>
      <w:r>
        <mc:AlternateContent>
          <mc:Choice Requires="wps">
            <w:drawing>
              <wp:anchor distT="0" distB="0" distL="114300" distR="114300" simplePos="0" relativeHeight="251660288" behindDoc="0" locked="0" layoutInCell="1" allowOverlap="1">
                <wp:simplePos x="0" y="0"/>
                <wp:positionH relativeFrom="column">
                  <wp:posOffset>-114300</wp:posOffset>
                </wp:positionH>
                <wp:positionV relativeFrom="paragraph">
                  <wp:posOffset>0</wp:posOffset>
                </wp:positionV>
                <wp:extent cx="1485900" cy="495300"/>
                <wp:effectExtent l="0" t="0" r="0" b="0"/>
                <wp:wrapNone/>
                <wp:docPr id="2" name="文本框 5"/>
                <wp:cNvGraphicFramePr/>
                <a:graphic xmlns:a="http://schemas.openxmlformats.org/drawingml/2006/main">
                  <a:graphicData uri="http://schemas.microsoft.com/office/word/2010/wordprocessingShape">
                    <wps:wsp>
                      <wps:cNvSpPr txBox="1"/>
                      <wps:spPr>
                        <a:xfrm>
                          <a:off x="0" y="0"/>
                          <a:ext cx="1485900" cy="495300"/>
                        </a:xfrm>
                        <a:prstGeom prst="rect">
                          <a:avLst/>
                        </a:prstGeom>
                        <a:solidFill>
                          <a:srgbClr val="FFFFFF"/>
                        </a:solidFill>
                        <a:ln>
                          <a:noFill/>
                        </a:ln>
                      </wps:spPr>
                      <wps:txbx>
                        <w:txbxContent>
                          <w:p w14:paraId="4E2E9A14">
                            <w:pPr>
                              <w:ind w:left="1120" w:right="96" w:hanging="480"/>
                              <w:rPr>
                                <w:sz w:val="36"/>
                                <w:szCs w:val="36"/>
                              </w:rPr>
                            </w:pPr>
                            <w:r>
                              <w:t>000001</w:t>
                            </w:r>
                          </w:p>
                          <w:p w14:paraId="191F5384">
                            <w:pPr>
                              <w:ind w:left="1270" w:right="96" w:hanging="630"/>
                              <w:rPr>
                                <w:rFonts w:ascii="黑体" w:hAnsi="黑体" w:eastAsia="黑体"/>
                                <w:sz w:val="42"/>
                                <w:szCs w:val="42"/>
                              </w:rPr>
                            </w:pPr>
                          </w:p>
                        </w:txbxContent>
                      </wps:txbx>
                      <wps:bodyPr wrap="square" upright="1"/>
                    </wps:wsp>
                  </a:graphicData>
                </a:graphic>
              </wp:anchor>
            </w:drawing>
          </mc:Choice>
          <mc:Fallback>
            <w:pict>
              <v:shape id="文本框 5" o:spid="_x0000_s1026" o:spt="202" type="#_x0000_t202" style="position:absolute;left:0pt;margin-left:-9pt;margin-top:0pt;height:39pt;width:117pt;z-index:251660288;mso-width-relative:page;mso-height-relative:page;" fillcolor="#FFFFFF" filled="t" stroked="f" coordsize="21600,21600" o:gfxdata="UEsDBAoAAAAAAIdO4kAAAAAAAAAAAAAAAAAEAAAAZHJzL1BLAwQUAAAACACHTuJABFaUoNUAAAAH&#10;AQAADwAAAGRycy9kb3ducmV2LnhtbE2PwU7DMAyG70i8Q2QkLmhLO0E7uqaTQAJx3dgDuI3XVmuc&#10;qsnW7e0xJ7hYtn/r/z+X26sb1IWm0Hs2kC4TUMSNtz23Bg7fH4s1qBCRLQ6eycCNAmyr+7sSC+tn&#10;3tFlH1slJhwKNNDFOBZah6Yjh2HpR2LRjn5yGGWcWm0nnMXcDXqVJJl22LMkdDjSe0fNaX92Bo5f&#10;89PL61x/xkO+e87esM9rfzPm8SFNNqAiXePfMfziCzpUwlT7M9ugBgOLdC2/RANSRV6lmTS1gVzW&#10;uir1f/7qB1BLAwQUAAAACACHTuJA3vVOzckBAACFAwAADgAAAGRycy9lMm9Eb2MueG1srVPNjtMw&#10;EL4j8Q6W7zTZskW7VdOVoCoXBEgLD+A6TmLJf8y4TfoC8AacuHDnufocjJ1sl9297IEckvH8fDPf&#10;N87qZrCGHRSg9q7iF7OSM+Wkr7VrK/71y/bVFWcYhauF8U5V/KiQ36xfvlj1YanmvvOmVsAIxOGy&#10;DxXvYgzLokDZKStw5oNyFGw8WBHpCG1Rg+gJ3ZpiXpZvit5DHcBLhUjezRjkEyI8B9A3jZZq4+Xe&#10;KhdHVFBGRKKEnQ7I13naplEyfmoaVJGZihPTmN/UhOxdehfrlVi2IEKn5TSCeM4IjzhZoR01PUNt&#10;RBRsD/oJlNUSPPomzqS3xUgkK0IsLspH2tx2IqjMhaTGcBYd/x+s/Hj4DEzXFZ9z5oSlhZ9+/jj9&#10;+nP6/Z0tkjx9wCVl3QbKi8NbP9ClufMjORProQGbvsSHUZzEPZ7FVUNkMhVdXi2uSwpJil1eL16T&#10;TfDFfXUAjO+VtywZFQdaXtZUHD5gHFPvUlIz9EbXW21MPkC7e2eAHQQtepufCf1BmnEp2flUNiIm&#10;T5E4jlySFYfdMBHf+fpIvHu6IBXHb3sBirN9AN12NGHWIRfTdjKV6Sal9f97zi3u/571X1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DcEAABbQ29u&#10;dGVudF9UeXBlc10ueG1sUEsBAhQACgAAAAAAh07iQAAAAAAAAAAAAAAAAAYAAAAAAAAAAAAQAAAA&#10;GQMAAF9yZWxzL1BLAQIUABQAAAAIAIdO4kCKFGY80QAAAJQBAAALAAAAAAAAAAEAIAAAAD0DAABf&#10;cmVscy8ucmVsc1BLAQIUAAoAAAAAAIdO4kAAAAAAAAAAAAAAAAAEAAAAAAAAAAAAEAAAAAAAAABk&#10;cnMvUEsBAhQAFAAAAAgAh07iQARWlKDVAAAABwEAAA8AAAAAAAAAAQAgAAAAIgAAAGRycy9kb3du&#10;cmV2LnhtbFBLAQIUABQAAAAIAIdO4kDe9U7NyQEAAIUDAAAOAAAAAAAAAAEAIAAAACQBAABkcnMv&#10;ZTJvRG9jLnhtbFBLBQYAAAAABgAGAFkBAABfBQAAAAA=&#10;">
                <v:fill on="t" focussize="0,0"/>
                <v:stroke on="f"/>
                <v:imagedata o:title=""/>
                <o:lock v:ext="edit" aspectratio="f"/>
                <v:textbox>
                  <w:txbxContent>
                    <w:p w14:paraId="4E2E9A14">
                      <w:pPr>
                        <w:ind w:left="1120" w:right="96" w:hanging="480"/>
                        <w:rPr>
                          <w:sz w:val="36"/>
                          <w:szCs w:val="36"/>
                        </w:rPr>
                      </w:pPr>
                      <w:r>
                        <w:t>000001</w:t>
                      </w:r>
                    </w:p>
                    <w:p w14:paraId="191F5384">
                      <w:pPr>
                        <w:ind w:left="1270" w:right="96" w:hanging="630"/>
                        <w:rPr>
                          <w:rFonts w:ascii="黑体" w:hAnsi="黑体" w:eastAsia="黑体"/>
                          <w:sz w:val="42"/>
                          <w:szCs w:val="42"/>
                        </w:rPr>
                      </w:pPr>
                    </w:p>
                  </w:txbxContent>
                </v:textbox>
              </v:shape>
            </w:pict>
          </mc:Fallback>
        </mc:AlternateContent>
      </w:r>
    </w:p>
    <w:p w14:paraId="14E0CAD5">
      <w:pPr>
        <w:spacing w:line="700" w:lineRule="exact"/>
        <w:ind w:left="1150" w:right="96" w:hanging="510"/>
        <w:rPr>
          <w:sz w:val="34"/>
          <w:szCs w:val="34"/>
        </w:rPr>
      </w:pPr>
    </w:p>
    <w:p w14:paraId="50AF2A59">
      <w:pPr>
        <w:spacing w:line="700" w:lineRule="exact"/>
        <w:ind w:left="640" w:right="96"/>
        <w:rPr>
          <w:sz w:val="34"/>
          <w:szCs w:val="34"/>
        </w:rPr>
      </w:pPr>
    </w:p>
    <w:p w14:paraId="5ECA695E">
      <w:pPr>
        <w:spacing w:line="700" w:lineRule="exact"/>
        <w:ind w:left="640" w:right="96" w:firstLine="717" w:firstLineChars="211"/>
        <w:rPr>
          <w:sz w:val="34"/>
          <w:szCs w:val="34"/>
        </w:rPr>
      </w:pPr>
    </w:p>
    <w:p w14:paraId="3B10DF80">
      <w:pPr>
        <w:spacing w:line="570" w:lineRule="exact"/>
        <w:ind w:left="640" w:right="96" w:firstLine="717" w:firstLineChars="211"/>
        <w:rPr>
          <w:sz w:val="34"/>
          <w:szCs w:val="34"/>
        </w:rPr>
      </w:pPr>
    </w:p>
    <w:p w14:paraId="5A39DF81">
      <w:pPr>
        <w:spacing w:line="570" w:lineRule="exact"/>
        <w:ind w:right="96" w:firstLine="3200" w:firstLineChars="889"/>
        <w:rPr>
          <w:sz w:val="36"/>
          <w:szCs w:val="36"/>
        </w:rPr>
      </w:pPr>
    </w:p>
    <w:p w14:paraId="255BCBB8">
      <w:pPr>
        <w:spacing w:line="570" w:lineRule="exact"/>
        <w:ind w:right="96" w:firstLine="3200" w:firstLineChars="889"/>
        <w:rPr>
          <w:sz w:val="36"/>
          <w:szCs w:val="36"/>
        </w:rPr>
      </w:pPr>
    </w:p>
    <w:p w14:paraId="457C44DE">
      <w:pPr>
        <w:spacing w:line="570" w:lineRule="exact"/>
        <w:ind w:right="96"/>
        <w:jc w:val="center"/>
      </w:pPr>
      <w:bookmarkStart w:id="0" w:name="OLE_LINK1"/>
      <w:r>
        <w:t>五发〔2018〕</w:t>
      </w:r>
      <w:r>
        <w:rPr>
          <w:rFonts w:hint="eastAsia"/>
        </w:rPr>
        <w:t>6</w:t>
      </w:r>
      <w:r>
        <w:t>号</w:t>
      </w:r>
    </w:p>
    <w:bookmarkEnd w:id="0"/>
    <w:p w14:paraId="182F860F">
      <w:pPr>
        <w:spacing w:line="570" w:lineRule="exact"/>
        <w:ind w:left="640" w:right="96" w:firstLine="717" w:firstLineChars="211"/>
        <w:rPr>
          <w:sz w:val="34"/>
          <w:szCs w:val="34"/>
        </w:rPr>
      </w:pPr>
    </w:p>
    <w:p w14:paraId="61F2F27A">
      <w:pPr>
        <w:spacing w:line="560" w:lineRule="exact"/>
        <w:ind w:left="-3" w:leftChars="-1" w:right="96"/>
        <w:jc w:val="center"/>
        <w:rPr>
          <w:rFonts w:hint="eastAsia" w:eastAsia="方正小标宋简体"/>
          <w:sz w:val="44"/>
          <w:szCs w:val="44"/>
        </w:rPr>
      </w:pPr>
      <w:r>
        <w:rPr>
          <w:rFonts w:eastAsia="方正小标宋简体"/>
          <w:sz w:val="44"/>
          <w:szCs w:val="44"/>
        </w:rPr>
        <w:t>中共五华区委</w:t>
      </w:r>
      <w:r>
        <w:rPr>
          <w:rFonts w:hint="eastAsia" w:eastAsia="方正小标宋简体"/>
          <w:sz w:val="44"/>
          <w:szCs w:val="44"/>
        </w:rPr>
        <w:t xml:space="preserve">    </w:t>
      </w:r>
      <w:r>
        <w:rPr>
          <w:rFonts w:eastAsia="方正小标宋简体"/>
          <w:sz w:val="44"/>
          <w:szCs w:val="44"/>
        </w:rPr>
        <w:t>五华区</w:t>
      </w:r>
      <w:r>
        <w:rPr>
          <w:rFonts w:hint="eastAsia" w:eastAsia="方正小标宋简体"/>
          <w:sz w:val="44"/>
          <w:szCs w:val="44"/>
        </w:rPr>
        <w:t>人民政府</w:t>
      </w:r>
    </w:p>
    <w:p w14:paraId="6A7D37DA">
      <w:pPr>
        <w:spacing w:line="560" w:lineRule="exact"/>
        <w:ind w:right="-115" w:rightChars="-36"/>
        <w:jc w:val="center"/>
        <w:rPr>
          <w:rFonts w:hint="eastAsia" w:ascii="方正小标宋_GBK" w:hAnsi="宋体" w:eastAsia="方正小标宋_GBK" w:cs="宋体"/>
          <w:bCs/>
          <w:kern w:val="36"/>
          <w:sz w:val="44"/>
          <w:szCs w:val="44"/>
        </w:rPr>
      </w:pPr>
      <w:r>
        <w:rPr>
          <w:rFonts w:eastAsia="方正小标宋简体"/>
          <w:w w:val="95"/>
          <w:sz w:val="44"/>
          <w:szCs w:val="44"/>
        </w:rPr>
        <w:t>关于印发《</w:t>
      </w:r>
      <w:r>
        <w:rPr>
          <w:rFonts w:hint="eastAsia" w:ascii="方正小标宋_GBK" w:hAnsi="宋体" w:eastAsia="方正小标宋_GBK" w:cs="宋体"/>
          <w:bCs/>
          <w:kern w:val="36"/>
          <w:sz w:val="44"/>
          <w:szCs w:val="44"/>
        </w:rPr>
        <w:t>五华区关于加强和完善社区治理的</w:t>
      </w:r>
    </w:p>
    <w:p w14:paraId="2F39759C">
      <w:pPr>
        <w:spacing w:line="560" w:lineRule="exact"/>
        <w:ind w:right="-115" w:rightChars="-36"/>
        <w:jc w:val="center"/>
        <w:rPr>
          <w:rFonts w:eastAsia="方正小标宋简体"/>
          <w:spacing w:val="-20"/>
          <w:sz w:val="44"/>
          <w:szCs w:val="44"/>
        </w:rPr>
      </w:pPr>
      <w:r>
        <w:rPr>
          <w:rFonts w:hint="eastAsia" w:ascii="方正小标宋_GBK" w:hAnsi="宋体" w:eastAsia="方正小标宋_GBK" w:cs="宋体"/>
          <w:bCs/>
          <w:kern w:val="36"/>
          <w:sz w:val="44"/>
          <w:szCs w:val="44"/>
        </w:rPr>
        <w:t>实施意见</w:t>
      </w:r>
      <w:r>
        <w:rPr>
          <w:rFonts w:eastAsia="方正小标宋简体"/>
          <w:w w:val="95"/>
          <w:sz w:val="44"/>
          <w:szCs w:val="44"/>
        </w:rPr>
        <w:t>》的通知</w:t>
      </w:r>
    </w:p>
    <w:p w14:paraId="12DFE259">
      <w:pPr>
        <w:spacing w:line="540" w:lineRule="exact"/>
        <w:ind w:left="480" w:hanging="480"/>
        <w:rPr>
          <w:rFonts w:eastAsia="楷体_GB2312"/>
          <w:snapToGrid w:val="0"/>
          <w:color w:val="000000"/>
          <w:sz w:val="24"/>
        </w:rPr>
      </w:pPr>
    </w:p>
    <w:p w14:paraId="6B5D95DD">
      <w:pPr>
        <w:spacing w:line="560" w:lineRule="exact"/>
        <w:rPr>
          <w:rFonts w:hint="eastAsia" w:eastAsia="楷体_GB2312"/>
          <w:snapToGrid w:val="0"/>
          <w:color w:val="000000"/>
        </w:rPr>
      </w:pPr>
      <w:r>
        <w:rPr>
          <w:rFonts w:eastAsia="楷体_GB2312"/>
          <w:snapToGrid w:val="0"/>
          <w:color w:val="000000"/>
        </w:rPr>
        <w:t>区属各党委（党工委、党组），区委和区级国家机关各部委办局，各人民团体，区属企事业单位：</w:t>
      </w:r>
    </w:p>
    <w:p w14:paraId="2057D002">
      <w:pPr>
        <w:spacing w:line="560" w:lineRule="exact"/>
        <w:ind w:firstLine="640" w:firstLineChars="200"/>
        <w:rPr>
          <w:rFonts w:eastAsia="楷体_GB2312"/>
        </w:rPr>
      </w:pPr>
      <w:r>
        <w:rPr>
          <w:rFonts w:hint="eastAsia" w:ascii="楷体_GB2312" w:eastAsia="楷体_GB2312"/>
        </w:rPr>
        <w:t>《</w:t>
      </w:r>
      <w:r>
        <w:rPr>
          <w:rFonts w:hint="eastAsia" w:ascii="楷体_GB2312" w:hAnsi="宋体" w:eastAsia="楷体_GB2312" w:cs="宋体"/>
          <w:bCs/>
          <w:kern w:val="36"/>
        </w:rPr>
        <w:t>五华区关于加强和完善社区治理的实施意见</w:t>
      </w:r>
      <w:r>
        <w:rPr>
          <w:rFonts w:hint="eastAsia" w:ascii="楷体_GB2312" w:eastAsia="楷体_GB2312"/>
        </w:rPr>
        <w:t>》</w:t>
      </w:r>
      <w:r>
        <w:rPr>
          <w:rFonts w:eastAsia="楷体_GB2312"/>
        </w:rPr>
        <w:t>已经</w:t>
      </w:r>
      <w:r>
        <w:rPr>
          <w:rFonts w:hint="eastAsia" w:ascii="楷体_GB2312" w:hAnsi="宋体" w:eastAsia="楷体_GB2312"/>
          <w:snapToGrid w:val="0"/>
          <w:color w:val="000000"/>
        </w:rPr>
        <w:t>十一届区委全面深化改革领导小组第九次会议</w:t>
      </w:r>
      <w:r>
        <w:rPr>
          <w:rFonts w:eastAsia="楷体_GB2312"/>
        </w:rPr>
        <w:t>审议通过，现印发给你们，请结合实际认真贯彻执行。</w:t>
      </w:r>
    </w:p>
    <w:p w14:paraId="62A7414A">
      <w:pPr>
        <w:adjustRightInd w:val="0"/>
        <w:snapToGrid w:val="0"/>
        <w:spacing w:line="560" w:lineRule="exact"/>
        <w:rPr>
          <w:rFonts w:eastAsia="楷体_GB2312"/>
          <w:color w:val="800000"/>
        </w:rPr>
      </w:pPr>
    </w:p>
    <w:p w14:paraId="5A0880B1">
      <w:pPr>
        <w:adjustRightInd w:val="0"/>
        <w:snapToGrid w:val="0"/>
        <w:spacing w:line="560" w:lineRule="exact"/>
        <w:ind w:firstLine="640" w:firstLineChars="200"/>
        <w:rPr>
          <w:rFonts w:eastAsia="楷体_GB2312"/>
          <w:color w:val="000000"/>
        </w:rPr>
      </w:pPr>
      <w:r>
        <w:rPr>
          <w:rFonts w:eastAsia="楷体_GB2312"/>
          <w:color w:val="800000"/>
        </w:rPr>
        <w:t xml:space="preserve">                         </w:t>
      </w:r>
      <w:r>
        <w:rPr>
          <w:rFonts w:eastAsia="楷体_GB2312"/>
          <w:color w:val="000000"/>
        </w:rPr>
        <w:t xml:space="preserve">     中共昆明市五华区委</w:t>
      </w:r>
    </w:p>
    <w:p w14:paraId="55A6445A">
      <w:pPr>
        <w:adjustRightInd w:val="0"/>
        <w:snapToGrid w:val="0"/>
        <w:spacing w:line="560" w:lineRule="exact"/>
        <w:ind w:firstLine="640" w:firstLineChars="200"/>
        <w:rPr>
          <w:rFonts w:eastAsia="楷体_GB2312"/>
          <w:color w:val="000000"/>
        </w:rPr>
      </w:pPr>
      <w:r>
        <w:rPr>
          <w:rFonts w:eastAsia="楷体_GB2312"/>
          <w:color w:val="000000"/>
        </w:rPr>
        <w:t xml:space="preserve">                                  2018年</w:t>
      </w:r>
      <w:r>
        <w:rPr>
          <w:rFonts w:hint="eastAsia" w:eastAsia="楷体_GB2312"/>
          <w:color w:val="000000"/>
        </w:rPr>
        <w:t>5</w:t>
      </w:r>
      <w:r>
        <w:rPr>
          <w:rFonts w:eastAsia="楷体_GB2312"/>
          <w:color w:val="000000"/>
        </w:rPr>
        <w:t>月</w:t>
      </w:r>
      <w:r>
        <w:rPr>
          <w:rFonts w:hint="eastAsia" w:eastAsia="楷体_GB2312"/>
          <w:color w:val="000000"/>
        </w:rPr>
        <w:t>14</w:t>
      </w:r>
      <w:r>
        <w:rPr>
          <w:rFonts w:eastAsia="楷体_GB2312"/>
          <w:color w:val="000000"/>
        </w:rPr>
        <w:t>日</w:t>
      </w:r>
    </w:p>
    <w:p w14:paraId="69481158">
      <w:pPr>
        <w:widowControl/>
        <w:spacing w:line="560" w:lineRule="exact"/>
        <w:jc w:val="center"/>
        <w:outlineLvl w:val="0"/>
        <w:rPr>
          <w:rFonts w:hint="eastAsia" w:ascii="方正小标宋_GBK" w:hAnsi="宋体" w:eastAsia="方正小标宋_GBK" w:cs="宋体"/>
          <w:bCs/>
          <w:kern w:val="36"/>
          <w:sz w:val="44"/>
          <w:szCs w:val="44"/>
        </w:rPr>
      </w:pPr>
      <w:r>
        <w:rPr>
          <w:rFonts w:eastAsia="方正小标宋简体"/>
          <w:spacing w:val="-8"/>
          <w:sz w:val="44"/>
          <w:szCs w:val="44"/>
        </w:rPr>
        <w:br w:type="page"/>
      </w:r>
      <w:r>
        <w:rPr>
          <w:rFonts w:hint="eastAsia" w:ascii="方正小标宋_GBK" w:hAnsi="宋体" w:eastAsia="方正小标宋_GBK" w:cs="宋体"/>
          <w:bCs/>
          <w:kern w:val="36"/>
          <w:sz w:val="44"/>
          <w:szCs w:val="44"/>
        </w:rPr>
        <w:t>五华区关于加强和完善社区治理的实施意见</w:t>
      </w:r>
    </w:p>
    <w:p w14:paraId="233D1D96">
      <w:pPr>
        <w:widowControl/>
        <w:spacing w:line="560" w:lineRule="exact"/>
        <w:jc w:val="center"/>
        <w:outlineLvl w:val="0"/>
        <w:rPr>
          <w:rFonts w:hint="eastAsia" w:ascii="方正小标宋_GBK" w:hAnsi="宋体" w:eastAsia="方正小标宋_GBK" w:cs="宋体"/>
          <w:bCs/>
          <w:kern w:val="36"/>
          <w:sz w:val="44"/>
          <w:szCs w:val="44"/>
        </w:rPr>
      </w:pPr>
    </w:p>
    <w:p w14:paraId="6FF25821">
      <w:pPr>
        <w:widowControl/>
        <w:spacing w:line="560" w:lineRule="exact"/>
        <w:ind w:firstLine="640"/>
        <w:jc w:val="left"/>
        <w:rPr>
          <w:rFonts w:hint="eastAsia" w:ascii="仿宋_GB2312" w:hAnsi="仿宋" w:cs="宋体"/>
        </w:rPr>
      </w:pPr>
      <w:r>
        <w:rPr>
          <w:rFonts w:hint="eastAsia" w:ascii="仿宋_GB2312" w:hAnsi="仿宋" w:cs="宋体"/>
        </w:rPr>
        <w:t>为认真贯彻落实《中共中央 国务院</w:t>
      </w:r>
      <w:r>
        <w:rPr>
          <w:rFonts w:hint="eastAsia" w:ascii="仿宋_GB2312" w:hAnsi="仿宋"/>
        </w:rPr>
        <w:t>关于加强和完善城乡社区治理的意见</w:t>
      </w:r>
      <w:r>
        <w:rPr>
          <w:rFonts w:hint="eastAsia" w:ascii="仿宋_GB2312" w:hAnsi="仿宋" w:cs="宋体"/>
        </w:rPr>
        <w:t>》（中发〔2017〕13号）、《中共云南省委 云南省人民政府关于加强</w:t>
      </w:r>
      <w:r>
        <w:rPr>
          <w:rFonts w:hint="eastAsia" w:ascii="仿宋_GB2312" w:hAnsi="仿宋"/>
        </w:rPr>
        <w:t>和完善城乡社区治理的实施意见</w:t>
      </w:r>
      <w:r>
        <w:rPr>
          <w:rFonts w:hint="eastAsia" w:ascii="仿宋_GB2312" w:hAnsi="仿宋" w:cs="宋体"/>
        </w:rPr>
        <w:t>》（云发〔2018〕5号）精神，进一步激发社区自治活力，推动社会治理重心向基层下移，全面提升我区社区治理法治化、科学化、精细化水平和组织化程度，促进社区治理体系和治理能力现代化，结合我区实际，提出以下实施意见。</w:t>
      </w:r>
    </w:p>
    <w:p w14:paraId="6713EDDF">
      <w:pPr>
        <w:spacing w:line="560" w:lineRule="exact"/>
        <w:ind w:left="243" w:leftChars="76" w:firstLine="519"/>
        <w:rPr>
          <w:rFonts w:hint="eastAsia" w:ascii="楷体" w:hAnsi="楷体" w:eastAsia="楷体" w:cs="宋体"/>
        </w:rPr>
      </w:pPr>
      <w:r>
        <w:rPr>
          <w:rFonts w:hint="eastAsia" w:ascii="黑体" w:hAnsi="黑体" w:eastAsia="黑体" w:cs="宋体"/>
        </w:rPr>
        <w:t>一、总体要求</w:t>
      </w:r>
      <w:r>
        <w:rPr>
          <w:rFonts w:hint="eastAsia" w:ascii="黑体" w:hAnsi="黑体" w:eastAsia="黑体" w:cs="宋体"/>
        </w:rPr>
        <w:br w:type="textWrapping"/>
      </w:r>
      <w:r>
        <w:rPr>
          <w:rFonts w:hint="eastAsia" w:ascii="黑体" w:hAnsi="黑体" w:eastAsia="黑体" w:cs="宋体"/>
        </w:rPr>
        <w:t>　</w:t>
      </w:r>
      <w:r>
        <w:rPr>
          <w:rFonts w:hint="eastAsia" w:ascii="楷体_GB2312" w:hAnsi="楷体" w:eastAsia="楷体_GB2312" w:cs="宋体"/>
        </w:rPr>
        <w:t>（一）指导思想</w:t>
      </w:r>
    </w:p>
    <w:p w14:paraId="772D575A">
      <w:pPr>
        <w:spacing w:line="560" w:lineRule="exact"/>
        <w:ind w:firstLine="640"/>
        <w:rPr>
          <w:rFonts w:hint="eastAsia" w:ascii="仿宋_GB2312" w:hAnsi="仿宋" w:cs="宋体"/>
        </w:rPr>
      </w:pPr>
      <w:r>
        <w:rPr>
          <w:rFonts w:hint="eastAsia" w:ascii="仿宋_GB2312"/>
        </w:rPr>
        <w:t>以习近平新时代中国特色社会主义思想为指导，全面贯彻落实党的十九大精神，</w:t>
      </w:r>
      <w:r>
        <w:rPr>
          <w:rFonts w:hint="eastAsia" w:ascii="仿宋_GB2312" w:hAnsi="仿宋" w:cs="宋体"/>
        </w:rPr>
        <w:t xml:space="preserve">围绕统筹推进“五位一体”总体布局和协调推进“四个全面”战略布局，坚持以基层党组织建设为关键、政府治理为主导、居民需求为导向、改革创新为动力，以创新社区治理体制机制为重点、以提升社区为民服务能力为主线、以满足社区居民多层次多样化需求为根本，努力把社区建设成为和谐有序、绿色文明、创新包容、共建共享的幸福家园，为五华区决胜全面建成小康社会、推动区域性国际中心城市高品质核心区建设提供有力保证。 </w:t>
      </w:r>
    </w:p>
    <w:p w14:paraId="48191FB7">
      <w:pPr>
        <w:widowControl/>
        <w:snapToGrid w:val="0"/>
        <w:spacing w:line="560" w:lineRule="exact"/>
        <w:ind w:firstLine="689"/>
        <w:jc w:val="left"/>
        <w:rPr>
          <w:rFonts w:hint="eastAsia" w:ascii="楷体_GB2312" w:hAnsi="楷体" w:eastAsia="楷体_GB2312" w:cs="宋体"/>
        </w:rPr>
      </w:pPr>
      <w:r>
        <w:rPr>
          <w:rFonts w:hint="eastAsia" w:ascii="楷体_GB2312" w:hAnsi="楷体" w:eastAsia="楷体_GB2312" w:cs="宋体"/>
        </w:rPr>
        <w:t xml:space="preserve">（二）基本原则 </w:t>
      </w:r>
    </w:p>
    <w:p w14:paraId="660D05CA">
      <w:pPr>
        <w:spacing w:line="560" w:lineRule="exact"/>
        <w:ind w:firstLine="640"/>
        <w:rPr>
          <w:rFonts w:hint="eastAsia" w:ascii="仿宋_GB2312" w:hAnsi="仿宋" w:cs="仿宋"/>
        </w:rPr>
      </w:pPr>
      <w:r>
        <w:rPr>
          <w:rFonts w:hint="eastAsia" w:ascii="仿宋_GB2312" w:hAnsi="仿宋" w:cs="仿宋"/>
          <w:b/>
        </w:rPr>
        <w:t>——坚持党的领导,政府负责。</w:t>
      </w:r>
      <w:r>
        <w:rPr>
          <w:rFonts w:hint="eastAsia" w:ascii="仿宋_GB2312" w:hAnsi="仿宋" w:cs="仿宋"/>
        </w:rPr>
        <w:t>加强党对社区治理工作的领导，切实发挥基层党组织领导核心作用，确保社区治理始终保持正确政治方向。充分发挥政府在社会治理中的负责作用，不断提升政府社会管理和公共服务水平，实现政府治理和社会调节、居民自治良性互动。</w:t>
      </w:r>
    </w:p>
    <w:p w14:paraId="64F4E07E">
      <w:pPr>
        <w:spacing w:line="560" w:lineRule="exact"/>
        <w:ind w:firstLine="640"/>
        <w:rPr>
          <w:rFonts w:hint="eastAsia" w:ascii="仿宋_GB2312" w:hAnsi="仿宋" w:cs="仿宋"/>
        </w:rPr>
      </w:pPr>
      <w:r>
        <w:rPr>
          <w:rFonts w:hint="eastAsia" w:ascii="仿宋_GB2312" w:hAnsi="仿宋" w:cs="仿宋"/>
          <w:b/>
        </w:rPr>
        <w:t>——坚持以人为本，服务居民。</w:t>
      </w:r>
      <w:r>
        <w:rPr>
          <w:rFonts w:hint="eastAsia" w:ascii="仿宋_GB2312" w:hAnsi="仿宋" w:cs="仿宋"/>
        </w:rPr>
        <w:t>坚持以人民为中心的发展思想，把服务居民、造福居民作为社区治理的出发点和落脚点，适应人民日益增长的美好生活需要，以精细管理和良好服务造福居民群众，实现服务在基层拓展、矛盾在基层化解、民心在基层凝聚。坚持依靠居民、依法有序组织居民群众参与社区治理，实现人人参与、人人尽力、人人共享。</w:t>
      </w:r>
    </w:p>
    <w:p w14:paraId="79F9BD99">
      <w:pPr>
        <w:spacing w:line="560" w:lineRule="exact"/>
        <w:ind w:firstLine="640"/>
        <w:rPr>
          <w:rFonts w:hint="eastAsia" w:ascii="仿宋_GB2312" w:hAnsi="仿宋" w:cs="仿宋"/>
        </w:rPr>
      </w:pPr>
      <w:r>
        <w:rPr>
          <w:rFonts w:hint="eastAsia" w:ascii="仿宋_GB2312" w:hAnsi="仿宋" w:cs="仿宋"/>
          <w:b/>
        </w:rPr>
        <w:t>——坚持法治观念，居民自治。</w:t>
      </w:r>
      <w:r>
        <w:rPr>
          <w:rFonts w:hint="eastAsia" w:ascii="仿宋_GB2312" w:hAnsi="仿宋" w:cs="仿宋"/>
        </w:rPr>
        <w:t>弘扬社会主义法治精神，树立法治规矩和理念，增强法治观念和依法办事能力，坚持运用法治思维和法治方式推进社区治理，破解社区治理难题。加强社区民主选举、民主决策、民主管理、民主监督制度建设，实现居民自我管理、自我教育、自我服务、自我监督，保障居民民主权益。</w:t>
      </w:r>
    </w:p>
    <w:p w14:paraId="3FAE7D55">
      <w:pPr>
        <w:spacing w:line="560" w:lineRule="exact"/>
        <w:ind w:firstLine="640"/>
        <w:rPr>
          <w:rFonts w:hint="eastAsia" w:ascii="仿宋_GB2312" w:hAnsi="仿宋" w:cs="仿宋"/>
        </w:rPr>
      </w:pPr>
      <w:r>
        <w:rPr>
          <w:rFonts w:hint="eastAsia" w:ascii="仿宋_GB2312" w:hAnsi="仿宋" w:cs="仿宋"/>
          <w:b/>
        </w:rPr>
        <w:t>——坚持协商民主，多元共治。</w:t>
      </w:r>
      <w:r>
        <w:rPr>
          <w:rFonts w:hint="eastAsia" w:ascii="仿宋_GB2312" w:hAnsi="仿宋" w:cs="仿宋"/>
        </w:rPr>
        <w:t>开展形式多样的基层协商民主，培育社区治理多元主体，推进社区协商制度化、规范化、程序化。发挥社会组织作用，整合社会资源，激发社会活力，扩大有序参与。统筹协调各类组织和社区居民共商区域发展、共担社会责任、共享发展成果、共建美好家园。</w:t>
      </w:r>
    </w:p>
    <w:p w14:paraId="32757289">
      <w:pPr>
        <w:spacing w:line="560" w:lineRule="exact"/>
        <w:ind w:firstLine="643"/>
      </w:pPr>
      <w:r>
        <w:rPr>
          <w:rFonts w:hint="eastAsia" w:ascii="仿宋_GB2312" w:hAnsi="仿宋" w:cs="仿宋"/>
          <w:b/>
        </w:rPr>
        <w:t>——坚持改革创新，突出特色。</w:t>
      </w:r>
      <w:r>
        <w:rPr>
          <w:rFonts w:hint="eastAsia"/>
          <w:lang w:val="zh-CN"/>
        </w:rPr>
        <w:t>强化问题导向和底线思维，积极推进社区治理理论创新、实践创新、制度创新。</w:t>
      </w:r>
      <w:r>
        <w:rPr>
          <w:lang w:val="zh-CN"/>
        </w:rPr>
        <w:t>结合</w:t>
      </w:r>
      <w:r>
        <w:rPr>
          <w:rFonts w:hint="eastAsia"/>
          <w:lang w:val="zh-CN"/>
        </w:rPr>
        <w:t>五华</w:t>
      </w:r>
      <w:r>
        <w:rPr>
          <w:lang w:val="zh-CN"/>
        </w:rPr>
        <w:t>实际，立足资源禀赋、基础条件、人文特色等，加快形成既有共性又有特色的社区治理模式。</w:t>
      </w:r>
    </w:p>
    <w:p w14:paraId="2CB8AB1A">
      <w:pPr>
        <w:widowControl/>
        <w:snapToGrid w:val="0"/>
        <w:spacing w:line="560" w:lineRule="exact"/>
        <w:ind w:firstLine="689"/>
        <w:jc w:val="left"/>
        <w:rPr>
          <w:rFonts w:hint="eastAsia" w:ascii="楷体_GB2312" w:hAnsi="楷体" w:eastAsia="楷体_GB2312" w:cs="宋体"/>
        </w:rPr>
      </w:pPr>
      <w:r>
        <w:rPr>
          <w:rFonts w:hint="eastAsia" w:ascii="楷体_GB2312" w:hAnsi="楷体" w:eastAsia="楷体_GB2312" w:cs="宋体"/>
        </w:rPr>
        <w:t>（三）总体目标</w:t>
      </w:r>
    </w:p>
    <w:p w14:paraId="68B36A73">
      <w:pPr>
        <w:spacing w:line="560" w:lineRule="exact"/>
        <w:ind w:firstLine="640" w:firstLineChars="200"/>
        <w:rPr>
          <w:rFonts w:hint="eastAsia" w:ascii="仿宋_GB2312" w:hAnsi="宋体" w:cs="宋体"/>
        </w:rPr>
      </w:pPr>
      <w:r>
        <w:rPr>
          <w:rFonts w:hint="eastAsia" w:ascii="仿宋_GB2312" w:hAnsi="宋体" w:cs="宋体"/>
        </w:rPr>
        <w:t>通过抓好完善社区治理体系、提升社区治理水平、补齐社区治理短板的30条措施，实施10项“社区+”行动计划，</w:t>
      </w:r>
      <w:r>
        <w:rPr>
          <w:rFonts w:hint="eastAsia" w:ascii="仿宋_GB2312"/>
        </w:rPr>
        <w:t>形成党建区域化、自治单元化、动员社会化、服务标准化、管理精细化“五化协同”的社区治理格局。</w:t>
      </w:r>
      <w:r>
        <w:rPr>
          <w:rFonts w:hint="eastAsia" w:ascii="仿宋_GB2312" w:hAnsi="宋体" w:cs="宋体"/>
        </w:rPr>
        <w:t>到2020年，基本形成基层党组织领导、基层</w:t>
      </w:r>
      <w:r>
        <w:rPr>
          <w:rFonts w:hint="eastAsia" w:ascii="仿宋_GB2312" w:hAnsi="仿宋" w:cs="宋体"/>
        </w:rPr>
        <w:t>政府负责的多方参与、共同治理的社区治理体系，</w:t>
      </w:r>
      <w:r>
        <w:rPr>
          <w:rFonts w:hint="eastAsia" w:ascii="仿宋_GB2312" w:hAnsi="仿宋"/>
        </w:rPr>
        <w:t>使党执政的基层基础进一步巩固，社区治理体制更加完善，社区治理能力显著增强，社区公共服务、公共管理、公共安全得到有效保障，社区服务功能进一步强化，居民生活品质进一步提高，居民文明素养进一步提升，打造一批具有示范引领效应的社区治理创新示范社区。再过3至5年，社区治理体制更加成熟定型，社区治理能力更为精准</w:t>
      </w:r>
      <w:r>
        <w:rPr>
          <w:rFonts w:hint="eastAsia" w:ascii="仿宋_GB2312" w:hAnsi="宋体" w:cs="宋体"/>
        </w:rPr>
        <w:t xml:space="preserve">全面，社区居民的幸福感、获得感、满意度更加增强，全区80%以上的社区探索形成既有共性又有特色的社区治理模式，为夯实党的执政根基、巩固基层政权提供有力支撑。 </w:t>
      </w:r>
    </w:p>
    <w:p w14:paraId="27A96432">
      <w:pPr>
        <w:widowControl/>
        <w:spacing w:line="560" w:lineRule="exact"/>
        <w:ind w:firstLine="689"/>
        <w:jc w:val="left"/>
        <w:rPr>
          <w:rFonts w:hint="eastAsia" w:ascii="黑体" w:hAnsi="黑体" w:eastAsia="黑体" w:cs="宋体"/>
        </w:rPr>
      </w:pPr>
      <w:r>
        <w:rPr>
          <w:rFonts w:hint="eastAsia" w:ascii="黑体" w:hAnsi="黑体" w:eastAsia="黑体" w:cs="宋体"/>
        </w:rPr>
        <w:t xml:space="preserve">二、健全完善社区治理体系 </w:t>
      </w:r>
    </w:p>
    <w:p w14:paraId="4BBBE795">
      <w:pPr>
        <w:widowControl/>
        <w:snapToGrid w:val="0"/>
        <w:spacing w:line="560" w:lineRule="exact"/>
        <w:ind w:firstLine="689"/>
        <w:jc w:val="left"/>
        <w:rPr>
          <w:rFonts w:hint="eastAsia" w:ascii="楷体_GB2312" w:hAnsi="楷体" w:eastAsia="楷体_GB2312" w:cs="宋体"/>
        </w:rPr>
      </w:pPr>
      <w:r>
        <w:rPr>
          <w:rFonts w:hint="eastAsia" w:ascii="楷体_GB2312" w:hAnsi="楷体" w:eastAsia="楷体_GB2312" w:cs="宋体"/>
        </w:rPr>
        <w:t>（一）强化基层党组织领导核心作用</w:t>
      </w:r>
    </w:p>
    <w:p w14:paraId="4408BE05">
      <w:pPr>
        <w:widowControl/>
        <w:spacing w:line="560" w:lineRule="exact"/>
        <w:ind w:firstLine="689"/>
        <w:jc w:val="left"/>
        <w:rPr>
          <w:rFonts w:hint="eastAsia" w:ascii="仿宋_GB2312" w:hAnsi="宋体" w:cs="宋体"/>
          <w:highlight w:val="yellow"/>
        </w:rPr>
      </w:pPr>
      <w:r>
        <w:rPr>
          <w:rFonts w:hint="eastAsia" w:ascii="仿宋_GB2312" w:hAnsi="宋体" w:cs="宋体"/>
          <w:b/>
        </w:rPr>
        <w:t>1．坚持党对社区治理工作的领导。</w:t>
      </w:r>
      <w:r>
        <w:rPr>
          <w:rFonts w:hint="eastAsia" w:ascii="仿宋_GB2312" w:hAnsi="宋体" w:cs="宋体"/>
        </w:rPr>
        <w:t>探索加强社区党的建设引领社区治理的路径，加强和改进街道党工委、社区党组织对社区各类组织和各项工作的领导,确保党的路线方针政策在社区全面贯彻落实。健全党组织领导下的居民自治机制、民主协商机制、群团带动机制、社会参与机制，引领社区其他各类组织和社区居民形成共驻、共建、共商、共治、共享的社区治理体系。强化社区党组织政治功能，聚焦主业主责，把社区工作重心转移到抓党建、抓治理、抓服务上。</w:t>
      </w:r>
      <w:r>
        <w:rPr>
          <w:rFonts w:hint="eastAsia" w:ascii="仿宋_GB2312"/>
        </w:rPr>
        <w:t>深入拓展区域化“大党建”工作，</w:t>
      </w:r>
      <w:r>
        <w:rPr>
          <w:rFonts w:hint="eastAsia" w:ascii="仿宋_GB2312"/>
          <w:snapToGrid w:val="0"/>
        </w:rPr>
        <w:t>积极推进党组织“建在楼宇中、建在片区内、建在市</w:t>
      </w:r>
      <w:r>
        <w:rPr>
          <w:rFonts w:hint="eastAsia" w:ascii="仿宋_GB2312" w:hAnsi="宋体" w:cs="宋体"/>
        </w:rPr>
        <w:t>场上、建在街巷里”的方法，着力扩大非公有制经济组织和新社会组织党建工作覆盖面。把社区党组织建设成为宣传党的主张、贯彻党的决定、领导基层治理、团结动员群众、推动改革发展的坚强战斗堡垒。</w:t>
      </w:r>
    </w:p>
    <w:p w14:paraId="587997EE">
      <w:pPr>
        <w:widowControl/>
        <w:spacing w:line="560" w:lineRule="exact"/>
        <w:ind w:firstLine="689"/>
        <w:jc w:val="left"/>
        <w:rPr>
          <w:rFonts w:hint="eastAsia" w:ascii="仿宋_GB2312" w:hAnsi="宋体" w:cs="宋体"/>
        </w:rPr>
      </w:pPr>
      <w:r>
        <w:rPr>
          <w:rFonts w:hint="eastAsia" w:ascii="仿宋_GB2312" w:hAnsi="宋体" w:cs="宋体"/>
          <w:b/>
        </w:rPr>
        <w:t>2．深化服务型党组织建设。</w:t>
      </w:r>
      <w:r>
        <w:rPr>
          <w:rFonts w:hint="eastAsia" w:ascii="仿宋_GB2312" w:hAnsi="宋体" w:cs="宋体"/>
        </w:rPr>
        <w:t>着力提升服务能力和水平，更好地服务改革、服务发展、服务民生、服务群众、服务党员。担负好直接教育党员、管理党员、监督党员和组织群众、宣传群众、凝聚群众、服务群众的职责，引导广大党员发挥先锋模范作用。推进社区党组织设置和活动方式创新，建立“民情收集、民情受理、民情分析、民情办理、民情反馈”的民情跟踪办理工作制度,</w:t>
      </w:r>
      <w:r>
        <w:rPr>
          <w:rFonts w:hint="eastAsia" w:ascii="仿宋_GB2312" w:hAnsi="宋体" w:cs="宋体"/>
          <w:shd w:val="pct15" w:color="auto" w:fill="FFFFFF"/>
        </w:rPr>
        <w:t xml:space="preserve"> </w:t>
      </w:r>
      <w:r>
        <w:rPr>
          <w:rFonts w:hint="eastAsia" w:ascii="仿宋_GB2312" w:hAnsi="宋体" w:cs="宋体"/>
        </w:rPr>
        <w:t>全面推进“三亮一树”在职党员进社区活动，机关在职党员每月参加社区活动不少于1次。社区要建立居民服务需求公开栏，定期征集和发布居民服务需求“微心愿”，并根据群众需求和工作需要，合理设置社区服务岗位，由党员主动认领对接服务项目和服务岗位，调动区域党员扎根基层、服务群众的主动性和参与社区事务的积极性，让社区从单打独斗成为“千手观音”。</w:t>
      </w:r>
    </w:p>
    <w:p w14:paraId="6F376D71">
      <w:pPr>
        <w:spacing w:line="560" w:lineRule="exact"/>
        <w:ind w:firstLine="723" w:firstLineChars="225"/>
        <w:rPr>
          <w:rFonts w:hint="eastAsia" w:ascii="仿宋_GB2312" w:hAnsi="宋体" w:cs="宋体"/>
        </w:rPr>
      </w:pPr>
      <w:r>
        <w:rPr>
          <w:rFonts w:hint="eastAsia" w:ascii="仿宋_GB2312" w:hAnsi="宋体" w:cs="宋体"/>
          <w:b/>
        </w:rPr>
        <w:t>3．夯实社区党组织</w:t>
      </w:r>
      <w:r>
        <w:rPr>
          <w:rFonts w:ascii="仿宋_GB2312" w:hAnsi="宋体" w:cs="宋体"/>
          <w:b/>
        </w:rPr>
        <w:t>阵地。</w:t>
      </w:r>
      <w:r>
        <w:rPr>
          <w:rFonts w:hint="eastAsia" w:ascii="仿宋_GB2312" w:hAnsi="宋体" w:cs="宋体"/>
        </w:rPr>
        <w:t>全面落实社区党建“三有一化”要求，</w:t>
      </w:r>
      <w:r>
        <w:rPr>
          <w:rFonts w:ascii="仿宋_GB2312" w:hAnsi="宋体" w:cs="宋体"/>
        </w:rPr>
        <w:t>各街道、社区</w:t>
      </w:r>
      <w:r>
        <w:rPr>
          <w:rFonts w:hint="eastAsia" w:ascii="仿宋_GB2312" w:hAnsi="宋体" w:cs="宋体"/>
        </w:rPr>
        <w:t>要</w:t>
      </w:r>
      <w:r>
        <w:rPr>
          <w:rFonts w:ascii="仿宋_GB2312" w:hAnsi="宋体" w:cs="宋体"/>
        </w:rPr>
        <w:t>依托现有资源，整合党建活动场所，打造集学习讲堂、道德讲堂、党</w:t>
      </w:r>
      <w:r>
        <w:rPr>
          <w:rFonts w:hint="eastAsia" w:ascii="仿宋_GB2312" w:hAnsi="宋体" w:cs="宋体"/>
        </w:rPr>
        <w:t>群</w:t>
      </w:r>
      <w:r>
        <w:rPr>
          <w:rFonts w:ascii="仿宋_GB2312" w:hAnsi="宋体" w:cs="宋体"/>
        </w:rPr>
        <w:t>活动</w:t>
      </w:r>
      <w:r>
        <w:rPr>
          <w:rFonts w:hint="eastAsia" w:ascii="仿宋_GB2312" w:hAnsi="宋体" w:cs="宋体"/>
        </w:rPr>
        <w:t>服务中心（站）</w:t>
      </w:r>
      <w:r>
        <w:rPr>
          <w:rFonts w:ascii="仿宋_GB2312" w:hAnsi="宋体" w:cs="宋体"/>
        </w:rPr>
        <w:t>于一体的多功能学习阵地，从建设内容、环境设计、服务功能等几个方面进行规划设计，力求做到设施齐全、管理规范、内容充实严谨，强化公益活动、仪式教育、群团服务等特色服务功能，增强党组织的号召力、凝聚力、战斗力、创造力。</w:t>
      </w:r>
    </w:p>
    <w:p w14:paraId="611A42D3">
      <w:pPr>
        <w:widowControl/>
        <w:spacing w:line="560" w:lineRule="exact"/>
        <w:ind w:firstLine="689"/>
        <w:jc w:val="left"/>
        <w:rPr>
          <w:rFonts w:hint="eastAsia" w:ascii="仿宋_GB2312" w:hAnsi="仿宋" w:cs="宋体"/>
        </w:rPr>
      </w:pPr>
      <w:r>
        <w:rPr>
          <w:rFonts w:hint="eastAsia" w:ascii="仿宋_GB2312" w:hAnsi="宋体" w:cs="宋体"/>
          <w:b/>
        </w:rPr>
        <w:t>4．推进社区党风廉政建设。</w:t>
      </w:r>
      <w:r>
        <w:rPr>
          <w:rFonts w:hint="eastAsia" w:ascii="仿宋_GB2312" w:hAnsi="宋体" w:cs="宋体"/>
        </w:rPr>
        <w:t>加强社区党组织自身建设，推动“两学一做”学习教育常态化、制度化。推进党务公开，畅通党员参与党内事务、监督党的组织和干部、向上级党组织提出意见和建议的渠道，稳妥有序开展不合格党员处理工作。推动全面从严治党向社区延伸，切实解决居民群众身边的腐败问题。完善涉农社区“三资”监管体制和运营机制，</w:t>
      </w:r>
      <w:r>
        <w:rPr>
          <w:rFonts w:hint="eastAsia" w:ascii="仿宋_GB2312" w:hAnsi="仿宋" w:cs="宋体"/>
        </w:rPr>
        <w:t>确保农村集体经济健康有序发展。</w:t>
      </w:r>
    </w:p>
    <w:p w14:paraId="59A4EEB6">
      <w:pPr>
        <w:widowControl/>
        <w:snapToGrid w:val="0"/>
        <w:spacing w:line="560" w:lineRule="exact"/>
        <w:ind w:firstLine="689"/>
        <w:jc w:val="left"/>
        <w:rPr>
          <w:rFonts w:hint="eastAsia" w:ascii="楷体_GB2312" w:hAnsi="楷体" w:eastAsia="楷体_GB2312" w:cs="宋体"/>
        </w:rPr>
      </w:pPr>
      <w:r>
        <w:rPr>
          <w:rFonts w:hint="eastAsia" w:ascii="楷体_GB2312" w:hAnsi="楷体" w:eastAsia="楷体_GB2312" w:cs="宋体"/>
        </w:rPr>
        <w:t>（二）强化基层政府主导负责作用</w:t>
      </w:r>
    </w:p>
    <w:p w14:paraId="794CE433">
      <w:pPr>
        <w:spacing w:line="560" w:lineRule="exact"/>
        <w:ind w:firstLine="640"/>
        <w:rPr>
          <w:rFonts w:hint="eastAsia" w:ascii="仿宋_GB2312" w:hAnsi="宋体" w:cs="宋体"/>
        </w:rPr>
      </w:pPr>
      <w:r>
        <w:rPr>
          <w:rFonts w:hint="eastAsia" w:ascii="仿宋_GB2312" w:hAnsi="宋体" w:cs="宋体"/>
          <w:b/>
        </w:rPr>
        <w:t>5．</w:t>
      </w:r>
      <w:r>
        <w:rPr>
          <w:b/>
        </w:rPr>
        <w:t>切实履行社区治理工作</w:t>
      </w:r>
      <w:r>
        <w:rPr>
          <w:rFonts w:hint="eastAsia"/>
          <w:b/>
        </w:rPr>
        <w:t>主体</w:t>
      </w:r>
      <w:r>
        <w:rPr>
          <w:b/>
        </w:rPr>
        <w:t>责任</w:t>
      </w:r>
      <w:r>
        <w:rPr>
          <w:rFonts w:hint="eastAsia"/>
          <w:b/>
        </w:rPr>
        <w:t>。</w:t>
      </w:r>
      <w:r>
        <w:t>制定</w:t>
      </w:r>
      <w:r>
        <w:rPr>
          <w:rFonts w:hint="eastAsia"/>
        </w:rPr>
        <w:t>区级各</w:t>
      </w:r>
      <w:r>
        <w:t>职能部门、街道</w:t>
      </w:r>
      <w:r>
        <w:rPr>
          <w:rFonts w:hint="eastAsia"/>
        </w:rPr>
        <w:t>办事处</w:t>
      </w:r>
      <w:r>
        <w:t>在社区治理方面的</w:t>
      </w:r>
      <w:r>
        <w:rPr>
          <w:rFonts w:hint="eastAsia"/>
        </w:rPr>
        <w:t>任务分工，</w:t>
      </w:r>
      <w:r>
        <w:t>加强对社区治理的政策支持、财力物力保障和能力建设指导，</w:t>
      </w:r>
      <w:r>
        <w:rPr>
          <w:rFonts w:hint="eastAsia" w:ascii="仿宋_GB2312" w:hAnsi="宋体" w:cs="宋体"/>
        </w:rPr>
        <w:t>把更多的人力、物力、财力下沉到社区，实现公共资源向社区聚集、公共财政向社区倾斜、公共服务向社区延伸。加强对基层群众性自治组织建设的指导规范，不断提高依法指导社区治理的能力和水平。</w:t>
      </w:r>
    </w:p>
    <w:p w14:paraId="664161FF">
      <w:pPr>
        <w:spacing w:line="560" w:lineRule="exact"/>
        <w:ind w:firstLine="640"/>
        <w:rPr>
          <w:rFonts w:hint="eastAsia" w:ascii="仿宋_GB2312" w:hAnsi="宋体" w:cs="宋体"/>
        </w:rPr>
      </w:pPr>
      <w:r>
        <w:rPr>
          <w:rFonts w:hint="eastAsia" w:ascii="仿宋_GB2312"/>
          <w:b/>
        </w:rPr>
        <w:t>6．</w:t>
      </w:r>
      <w:r>
        <w:rPr>
          <w:rFonts w:hint="eastAsia" w:ascii="仿宋_GB2312" w:hAnsi="宋体" w:cs="宋体"/>
          <w:b/>
        </w:rPr>
        <w:t>推进社区减负增效。</w:t>
      </w:r>
      <w:r>
        <w:rPr>
          <w:rFonts w:hint="eastAsia" w:ascii="仿宋_GB2312" w:hAnsi="宋体" w:cs="宋体"/>
        </w:rPr>
        <w:t>全面实施社区工作准入制度，区级职能部门、街道办事处职责范围内的事项，不得转嫁给社区；需要社区协助配合的事项，应当提供相应的工作经费和必要的工作条件；社区工作事项清单之外的其他事项，可通过向基层群众性自治组织等购买服务的方式提供。不得将社区居委会作为行政执法、拆迁拆违、环境整治、城市管理、招商引资等事项的责任主体。全面清理各职能部门及社会各类组织、事业单位等要求基层群众性自治组织出具的各类证明，清理规范各职能部门在社区设立的工作机构和加挂的各种牌子，精简社区会议、检查考核评比,推行电子台账、档案。探索建立基层政府与基层群众性自治组织履职履约双向评价机制，进一步理顺社区工作关系，减轻社区行政负担，打通联系服务群众“最后一公里”。</w:t>
      </w:r>
    </w:p>
    <w:p w14:paraId="3FC1E858">
      <w:pPr>
        <w:widowControl/>
        <w:snapToGrid w:val="0"/>
        <w:spacing w:line="560" w:lineRule="exact"/>
        <w:ind w:firstLine="689"/>
        <w:jc w:val="left"/>
        <w:rPr>
          <w:rFonts w:hint="eastAsia" w:ascii="楷体_GB2312" w:hAnsi="楷体" w:eastAsia="楷体_GB2312" w:cs="宋体"/>
        </w:rPr>
      </w:pPr>
      <w:r>
        <w:rPr>
          <w:rFonts w:hint="eastAsia" w:ascii="楷体_GB2312" w:hAnsi="楷体" w:eastAsia="楷体_GB2312" w:cs="宋体"/>
        </w:rPr>
        <w:t>（三）强化基层群众性自治组织基础作用</w:t>
      </w:r>
    </w:p>
    <w:p w14:paraId="4BE57439">
      <w:pPr>
        <w:spacing w:line="560" w:lineRule="exact"/>
        <w:ind w:firstLine="643" w:firstLineChars="200"/>
        <w:rPr>
          <w:rFonts w:hint="eastAsia" w:ascii="仿宋_GB2312" w:hAnsi="宋体" w:cs="宋体"/>
        </w:rPr>
      </w:pPr>
      <w:r>
        <w:rPr>
          <w:rFonts w:hint="eastAsia" w:ascii="仿宋_GB2312" w:hAnsi="宋体" w:cs="宋体"/>
          <w:b/>
        </w:rPr>
        <w:t>7．</w:t>
      </w:r>
      <w:r>
        <w:rPr>
          <w:b/>
        </w:rPr>
        <w:t>合理</w:t>
      </w:r>
      <w:r>
        <w:rPr>
          <w:rFonts w:hint="eastAsia"/>
          <w:b/>
        </w:rPr>
        <w:t>划分服务管理</w:t>
      </w:r>
      <w:r>
        <w:rPr>
          <w:b/>
        </w:rPr>
        <w:t>范围和规模。</w:t>
      </w:r>
      <w:r>
        <w:rPr>
          <w:rFonts w:hint="eastAsia"/>
        </w:rPr>
        <w:t>原则上</w:t>
      </w:r>
      <w:r>
        <w:t>城市社区</w:t>
      </w:r>
      <w:r>
        <w:rPr>
          <w:rFonts w:hint="eastAsia"/>
        </w:rPr>
        <w:t>服务管理</w:t>
      </w:r>
      <w:r>
        <w:t>户数在3000－5000户</w:t>
      </w:r>
      <w:r>
        <w:rPr>
          <w:rFonts w:hint="eastAsia"/>
        </w:rPr>
        <w:t>，</w:t>
      </w:r>
      <w:r>
        <w:t>每500户居民配备一名社区</w:t>
      </w:r>
      <w:r>
        <w:rPr>
          <w:rFonts w:hint="eastAsia"/>
        </w:rPr>
        <w:t>工作者</w:t>
      </w:r>
      <w:r>
        <w:rPr>
          <w:rFonts w:hint="eastAsia" w:ascii="仿宋_GB2312" w:hAnsi="宋体" w:cs="宋体"/>
        </w:rPr>
        <w:t>。政府保障房、公租房等困难和低收入人群集中居住的社区，可适当增加职数；由封闭小区组成、物业服务完善的社区，可适当减少职数。</w:t>
      </w:r>
      <w:r>
        <w:rPr>
          <w:rFonts w:ascii="仿宋_GB2312" w:hAnsi="宋体" w:cs="宋体"/>
        </w:rPr>
        <w:t>按照规模相对集中，户数相对合理，辖区面积相对均衡的标准，成熟一个，调整一个，确保社区规模调整的合理性；按照便于管理、便于服务、便于居民自治的原则</w:t>
      </w:r>
      <w:r>
        <w:rPr>
          <w:rFonts w:hint="eastAsia" w:ascii="仿宋_GB2312" w:hAnsi="宋体" w:cs="宋体"/>
        </w:rPr>
        <w:t>，规范设立社区居民委员会的条件和程序。在</w:t>
      </w:r>
      <w:r>
        <w:rPr>
          <w:rFonts w:ascii="仿宋_GB2312" w:hAnsi="宋体" w:cs="宋体"/>
        </w:rPr>
        <w:t>新建住宅区</w:t>
      </w:r>
      <w:r>
        <w:rPr>
          <w:rFonts w:hint="eastAsia" w:ascii="仿宋_GB2312" w:hAnsi="宋体" w:cs="宋体"/>
        </w:rPr>
        <w:t xml:space="preserve">、城中村改造、全域城镇化建设中，根据项目建设情况和人员居住情况，适时设立、撤销、调整社区居民委员会。合理划分、整合各类网格，实行一岗多责、一员多能，有效避免工作“盲区”和“真空”。积极探索社会组织直接承接因暂不具备成立新社区的新建小区居民的公共管理服务事项，消除社区公共管理服务死角。 </w:t>
      </w:r>
    </w:p>
    <w:p w14:paraId="5D2E053A">
      <w:pPr>
        <w:widowControl/>
        <w:spacing w:line="560" w:lineRule="exact"/>
        <w:ind w:firstLine="689"/>
        <w:jc w:val="left"/>
        <w:rPr>
          <w:rFonts w:hint="eastAsia" w:ascii="仿宋_GB2312" w:hAnsi="宋体" w:cs="宋体"/>
        </w:rPr>
      </w:pPr>
      <w:r>
        <w:rPr>
          <w:rFonts w:hint="eastAsia" w:ascii="仿宋_GB2312" w:hAnsi="宋体" w:cs="宋体"/>
          <w:b/>
        </w:rPr>
        <w:t>8．坚持和发展基层群众自治制度。</w:t>
      </w:r>
      <w:r>
        <w:rPr>
          <w:rFonts w:ascii="仿宋_GB2312" w:hAnsi="宋体" w:cs="宋体"/>
        </w:rPr>
        <w:t>深入开展民主选举、民主决策、民主管理、民主监督实践，扩大基层群众自治范围，丰富自治内容，</w:t>
      </w:r>
      <w:r>
        <w:rPr>
          <w:rFonts w:hint="eastAsia" w:ascii="仿宋_GB2312" w:hAnsi="宋体" w:cs="宋体"/>
        </w:rPr>
        <w:t>创新自治方式，</w:t>
      </w:r>
      <w:r>
        <w:rPr>
          <w:rFonts w:ascii="仿宋_GB2312" w:hAnsi="宋体" w:cs="宋体"/>
        </w:rPr>
        <w:t>拓宽参与渠道，保障和促进居民群众在社区治理、基层公共事务和公益事业中依法自我管理、自我教育、自我服务、自我监督。</w:t>
      </w:r>
      <w:r>
        <w:rPr>
          <w:rFonts w:hint="eastAsia" w:ascii="仿宋_GB2312" w:hAnsi="宋体" w:cs="宋体"/>
        </w:rPr>
        <w:t xml:space="preserve">要因地制宜，广泛深入开展社区自治、小区自治、业主自治、楼院自治, 实现“还权、赋能、归位”，以单元化自治，充分发挥居民主体作用，培养居民理性参与的意识和能力，推动社区治理由“为民做主”向“由民作主”转变。要结合时代发展，协商修定社区自治章程、村规民约、居民公约,强化规则意识，倡导契约精神，弘扬公序良俗，促进法治、德治、自治有机融合。  </w:t>
      </w:r>
    </w:p>
    <w:p w14:paraId="389DC8C4">
      <w:pPr>
        <w:spacing w:line="560" w:lineRule="exact"/>
        <w:ind w:firstLine="643" w:firstLineChars="200"/>
        <w:rPr>
          <w:rFonts w:hint="eastAsia" w:ascii="仿宋_GB2312" w:hAnsi="宋体" w:cs="宋体"/>
          <w:b/>
          <w:i/>
        </w:rPr>
      </w:pPr>
      <w:r>
        <w:rPr>
          <w:rFonts w:hint="eastAsia" w:ascii="仿宋_GB2312" w:hAnsi="宋体" w:cs="宋体"/>
          <w:b/>
        </w:rPr>
        <w:t>9．推进居务公开和民主管理。</w:t>
      </w:r>
      <w:r>
        <w:rPr>
          <w:rFonts w:hint="eastAsia" w:ascii="仿宋_GB2312" w:hAnsi="宋体" w:cs="宋体"/>
        </w:rPr>
        <w:t>建立健全</w:t>
      </w:r>
      <w:r>
        <w:rPr>
          <w:rFonts w:hint="eastAsia"/>
        </w:rPr>
        <w:t>村（居）务监督委员会，</w:t>
      </w:r>
      <w:r>
        <w:t>完善民主监督</w:t>
      </w:r>
      <w:r>
        <w:rPr>
          <w:rFonts w:hint="eastAsia"/>
        </w:rPr>
        <w:t>机制。</w:t>
      </w:r>
      <w:r>
        <w:rPr>
          <w:rFonts w:ascii="仿宋_GB2312" w:hAnsi="宋体" w:cs="宋体"/>
        </w:rPr>
        <w:t>建立健全社区</w:t>
      </w:r>
      <w:r>
        <w:rPr>
          <w:rFonts w:hint="eastAsia" w:ascii="仿宋_GB2312" w:hAnsi="宋体" w:cs="宋体"/>
        </w:rPr>
        <w:t>工作者</w:t>
      </w:r>
      <w:r>
        <w:rPr>
          <w:rFonts w:ascii="仿宋_GB2312" w:hAnsi="宋体" w:cs="宋体"/>
        </w:rPr>
        <w:t>述职、评议</w:t>
      </w:r>
      <w:r>
        <w:rPr>
          <w:rFonts w:hint="eastAsia" w:ascii="仿宋_GB2312" w:hAnsi="宋体" w:cs="宋体"/>
        </w:rPr>
        <w:t>及社区、小组负责人</w:t>
      </w:r>
      <w:r>
        <w:rPr>
          <w:rFonts w:ascii="仿宋_GB2312" w:hAnsi="宋体" w:cs="宋体"/>
        </w:rPr>
        <w:t>任期和离任经济责任审计等制度，</w:t>
      </w:r>
      <w:r>
        <w:rPr>
          <w:rFonts w:hint="eastAsia" w:ascii="仿宋_GB2312" w:hAnsi="宋体" w:cs="宋体"/>
        </w:rPr>
        <w:t>推进</w:t>
      </w:r>
      <w:r>
        <w:rPr>
          <w:rFonts w:ascii="仿宋_GB2312" w:hAnsi="宋体" w:cs="宋体"/>
        </w:rPr>
        <w:t>党务、居务、财务等信息公开。</w:t>
      </w:r>
      <w:r>
        <w:rPr>
          <w:rFonts w:hint="eastAsia" w:ascii="仿宋_GB2312" w:hAnsi="宋体" w:cs="宋体"/>
        </w:rPr>
        <w:t>大力推行“四提四议两公开两监督”工作法，集中民智、顺应民心、激发民力，使民主决策机制更加完善，实施结果监督更加规范，切实保证党的领导、居民自治、依法办事的有机统一。完善社区民主选举制度，规范社区民主选举程序，通过依法选举稳步提高城市社区居民委员会成员中本社区居民比例，促进</w:t>
      </w:r>
      <w:r>
        <w:rPr>
          <w:rFonts w:ascii="仿宋_GB2312" w:hAnsi="宋体" w:cs="宋体"/>
        </w:rPr>
        <w:t>流动人口在居住地</w:t>
      </w:r>
      <w:r>
        <w:rPr>
          <w:rFonts w:hint="eastAsia" w:ascii="仿宋_GB2312" w:hAnsi="宋体" w:cs="宋体"/>
        </w:rPr>
        <w:t>有效</w:t>
      </w:r>
      <w:r>
        <w:rPr>
          <w:rFonts w:ascii="仿宋_GB2312" w:hAnsi="宋体" w:cs="宋体"/>
        </w:rPr>
        <w:t>参加社区选举</w:t>
      </w:r>
      <w:r>
        <w:rPr>
          <w:rFonts w:hint="eastAsia" w:ascii="仿宋_GB2312" w:hAnsi="宋体" w:cs="宋体"/>
        </w:rPr>
        <w:t>，切实保障外出务工人员民主权利。</w:t>
      </w:r>
    </w:p>
    <w:p w14:paraId="70302683">
      <w:pPr>
        <w:widowControl/>
        <w:snapToGrid w:val="0"/>
        <w:spacing w:line="560" w:lineRule="exact"/>
        <w:ind w:firstLine="689"/>
        <w:jc w:val="left"/>
        <w:rPr>
          <w:rFonts w:hint="eastAsia" w:ascii="楷体_GB2312" w:hAnsi="楷体" w:eastAsia="楷体_GB2312" w:cs="宋体"/>
        </w:rPr>
      </w:pPr>
      <w:r>
        <w:rPr>
          <w:rFonts w:hint="eastAsia" w:ascii="楷体_GB2312" w:hAnsi="楷体" w:eastAsia="楷体_GB2312" w:cs="宋体"/>
        </w:rPr>
        <w:t>（四）强化社会力量协同作用</w:t>
      </w:r>
    </w:p>
    <w:p w14:paraId="48DB74DC">
      <w:pPr>
        <w:spacing w:line="560" w:lineRule="exact"/>
        <w:ind w:firstLine="630"/>
        <w:rPr>
          <w:rFonts w:hint="eastAsia" w:ascii="仿宋_GB2312" w:hAnsi="宋体" w:cs="宋体"/>
        </w:rPr>
      </w:pPr>
      <w:r>
        <w:rPr>
          <w:rFonts w:hint="eastAsia" w:ascii="仿宋_GB2312" w:hAnsi="宋体" w:cs="宋体"/>
          <w:b/>
        </w:rPr>
        <w:t>10．整合调动社区公共资源。</w:t>
      </w:r>
      <w:r>
        <w:rPr>
          <w:rFonts w:ascii="仿宋_GB2312" w:hAnsi="宋体" w:cs="宋体"/>
        </w:rPr>
        <w:t>利用现有党组织</w:t>
      </w:r>
      <w:r>
        <w:rPr>
          <w:rFonts w:hint="eastAsia" w:ascii="仿宋_GB2312" w:hAnsi="宋体" w:cs="宋体"/>
        </w:rPr>
        <w:t>、</w:t>
      </w:r>
      <w:r>
        <w:rPr>
          <w:rFonts w:ascii="仿宋_GB2312" w:hAnsi="宋体" w:cs="宋体"/>
        </w:rPr>
        <w:t>行政组织</w:t>
      </w:r>
      <w:r>
        <w:rPr>
          <w:rFonts w:hint="eastAsia" w:ascii="仿宋_GB2312" w:hAnsi="宋体" w:cs="宋体"/>
        </w:rPr>
        <w:t>、群团组织</w:t>
      </w:r>
      <w:r>
        <w:rPr>
          <w:rFonts w:ascii="仿宋_GB2312" w:hAnsi="宋体" w:cs="宋体"/>
        </w:rPr>
        <w:t>的组织体系、组织力量和管理框架、管理手段优势，加强对</w:t>
      </w:r>
      <w:r>
        <w:rPr>
          <w:rFonts w:hint="eastAsia" w:ascii="仿宋_GB2312" w:hAnsi="宋体" w:cs="宋体"/>
        </w:rPr>
        <w:t>包括非公经济组织、新社会组织、新的社会阶层人士等</w:t>
      </w:r>
      <w:r>
        <w:rPr>
          <w:rFonts w:ascii="仿宋_GB2312" w:hAnsi="宋体" w:cs="宋体"/>
        </w:rPr>
        <w:t>社会</w:t>
      </w:r>
      <w:r>
        <w:rPr>
          <w:rFonts w:hint="eastAsia" w:ascii="仿宋_GB2312" w:hAnsi="宋体" w:cs="宋体"/>
        </w:rPr>
        <w:t>各界</w:t>
      </w:r>
      <w:r>
        <w:rPr>
          <w:rFonts w:ascii="仿宋_GB2312" w:hAnsi="宋体" w:cs="宋体"/>
        </w:rPr>
        <w:t>的动员统筹，增强社会</w:t>
      </w:r>
      <w:r>
        <w:rPr>
          <w:rFonts w:hint="eastAsia" w:ascii="仿宋_GB2312" w:hAnsi="宋体" w:cs="宋体"/>
        </w:rPr>
        <w:t>力量</w:t>
      </w:r>
      <w:r>
        <w:rPr>
          <w:rFonts w:ascii="仿宋_GB2312" w:hAnsi="宋体" w:cs="宋体"/>
        </w:rPr>
        <w:t>合力</w:t>
      </w:r>
      <w:r>
        <w:rPr>
          <w:rFonts w:hint="eastAsia" w:ascii="仿宋_GB2312" w:hAnsi="宋体" w:cs="宋体"/>
        </w:rPr>
        <w:t>。</w:t>
      </w:r>
      <w:r>
        <w:rPr>
          <w:rFonts w:ascii="仿宋_GB2312" w:hAnsi="宋体" w:cs="宋体"/>
        </w:rPr>
        <w:t>支持群团组织积极参与社区治理创新</w:t>
      </w:r>
      <w:r>
        <w:rPr>
          <w:rFonts w:hint="eastAsia" w:ascii="仿宋_GB2312" w:hAnsi="宋体" w:cs="宋体"/>
        </w:rPr>
        <w:t>。社区党组织要加强对社区各类组织的领导和指导，定期召开有社区居委会、业主委员会、物业公司、社会组织和驻区单位等参加的联席会议，讨论本社区重要工作和共建事项。</w:t>
      </w:r>
      <w:r>
        <w:rPr>
          <w:rFonts w:ascii="仿宋_GB2312" w:hAnsi="宋体" w:cs="宋体"/>
        </w:rPr>
        <w:t>引导社会组织、社会工作者和社区志愿者有序参与社区治理和服务</w:t>
      </w:r>
      <w:r>
        <w:rPr>
          <w:rFonts w:hint="eastAsia" w:ascii="仿宋_GB2312" w:hAnsi="宋体" w:cs="宋体"/>
        </w:rPr>
        <w:t>。在有条件的街道，探索建立社区社会组织联合会，成立以社区工作者、辖区单位和企业负责人、社工机构负责人和居民代表为主的管理委员会，进行社区公共资源整合、运用与管理。</w:t>
      </w:r>
      <w:r>
        <w:rPr>
          <w:rFonts w:ascii="仿宋_GB2312" w:hAnsi="宋体" w:cs="宋体"/>
        </w:rPr>
        <w:t>引导驻社区的机关、团体、部队和企事业单位按照互惠互利、资源共享原则，</w:t>
      </w:r>
      <w:r>
        <w:rPr>
          <w:rFonts w:hint="eastAsia" w:ascii="仿宋_GB2312" w:hAnsi="宋体" w:cs="宋体"/>
        </w:rPr>
        <w:t>履行社会责任，面向社区开放文化、教育、体育等活动设施，为社区办实事、解难题。</w:t>
      </w:r>
      <w:r>
        <w:rPr>
          <w:rFonts w:ascii="仿宋_GB2312" w:hAnsi="宋体" w:cs="宋体"/>
        </w:rPr>
        <w:t>发挥社区党员、小组长、居民代表、楼栋长等社区骨干在调动资源、组织活动、凝聚力量等方面的积极作用，带动更多居民参与社区公共事务，</w:t>
      </w:r>
      <w:r>
        <w:rPr>
          <w:rFonts w:hint="eastAsia" w:ascii="仿宋_GB2312" w:hAnsi="宋体" w:cs="宋体"/>
        </w:rPr>
        <w:t>激发</w:t>
      </w:r>
      <w:r>
        <w:rPr>
          <w:rFonts w:ascii="仿宋_GB2312" w:hAnsi="宋体" w:cs="宋体"/>
        </w:rPr>
        <w:t>居民群众主动关心社区公共事务、投身社区公益事业、参与社区治理活动</w:t>
      </w:r>
      <w:r>
        <w:rPr>
          <w:rFonts w:hint="eastAsia" w:ascii="仿宋_GB2312" w:hAnsi="宋体" w:cs="宋体"/>
        </w:rPr>
        <w:t>的</w:t>
      </w:r>
      <w:r>
        <w:rPr>
          <w:rFonts w:ascii="仿宋_GB2312" w:hAnsi="宋体" w:cs="宋体"/>
        </w:rPr>
        <w:t>积极性</w:t>
      </w:r>
      <w:r>
        <w:rPr>
          <w:rFonts w:hint="eastAsia" w:ascii="仿宋_GB2312" w:hAnsi="宋体" w:cs="宋体"/>
        </w:rPr>
        <w:t xml:space="preserve">。 </w:t>
      </w:r>
    </w:p>
    <w:p w14:paraId="3946F64F">
      <w:pPr>
        <w:spacing w:line="560" w:lineRule="exact"/>
        <w:ind w:firstLine="645"/>
        <w:rPr>
          <w:rFonts w:hint="eastAsia" w:ascii="仿宋_GB2312" w:hAnsi="宋体" w:cs="宋体"/>
          <w:b/>
        </w:rPr>
      </w:pPr>
      <w:r>
        <w:rPr>
          <w:rFonts w:ascii="仿宋_GB2312" w:hAnsi="宋体" w:cs="宋体"/>
          <w:b/>
        </w:rPr>
        <w:t>1</w:t>
      </w:r>
      <w:r>
        <w:rPr>
          <w:rFonts w:hint="eastAsia" w:ascii="仿宋_GB2312" w:hAnsi="宋体" w:cs="宋体"/>
          <w:b/>
        </w:rPr>
        <w:t>1．</w:t>
      </w:r>
      <w:r>
        <w:rPr>
          <w:rFonts w:ascii="仿宋_GB2312" w:hAnsi="宋体" w:cs="宋体"/>
          <w:b/>
        </w:rPr>
        <w:t>培育</w:t>
      </w:r>
      <w:r>
        <w:rPr>
          <w:rFonts w:hint="eastAsia" w:ascii="仿宋_GB2312" w:hAnsi="宋体" w:cs="宋体"/>
          <w:b/>
        </w:rPr>
        <w:t>发展</w:t>
      </w:r>
      <w:r>
        <w:rPr>
          <w:rFonts w:ascii="仿宋_GB2312" w:hAnsi="宋体" w:cs="宋体"/>
          <w:b/>
        </w:rPr>
        <w:t>社区社会组织。</w:t>
      </w:r>
      <w:r>
        <w:rPr>
          <w:rFonts w:hint="eastAsia" w:ascii="仿宋_GB2312" w:hAnsi="宋体" w:cs="宋体"/>
        </w:rPr>
        <w:t>把社会组织的参与作为加强和创新社区治理的突破口，</w:t>
      </w:r>
      <w:r>
        <w:rPr>
          <w:rFonts w:ascii="仿宋_GB2312" w:hAnsi="宋体" w:cs="宋体"/>
        </w:rPr>
        <w:t>在区级建立社会组织服务中心，优先发展和重点培养</w:t>
      </w:r>
      <w:r>
        <w:rPr>
          <w:rFonts w:hint="eastAsia" w:ascii="仿宋_GB2312" w:hAnsi="宋体" w:cs="宋体"/>
        </w:rPr>
        <w:t>公益类、慈善类、帮扶类、文体活动类的社区社会组织；</w:t>
      </w:r>
      <w:r>
        <w:rPr>
          <w:rFonts w:ascii="仿宋_GB2312" w:hAnsi="宋体" w:cs="宋体"/>
        </w:rPr>
        <w:t>在街道建立社区社会组织孵化中心，</w:t>
      </w:r>
      <w:r>
        <w:rPr>
          <w:rFonts w:hint="eastAsia" w:ascii="仿宋_GB2312" w:hAnsi="宋体" w:cs="宋体"/>
        </w:rPr>
        <w:t>大力培育和引进专业性的社区社会组织，尤其是在社区开展</w:t>
      </w:r>
      <w:r>
        <w:rPr>
          <w:rFonts w:ascii="仿宋_GB2312" w:hAnsi="宋体" w:cs="宋体"/>
        </w:rPr>
        <w:t>纠纷调解、健康养老、教育培训、公益慈善、防灾减灾、文体娱乐、邻里互助、居民融入</w:t>
      </w:r>
      <w:r>
        <w:rPr>
          <w:rFonts w:hint="eastAsia" w:ascii="仿宋_GB2312" w:hAnsi="宋体" w:cs="宋体"/>
        </w:rPr>
        <w:t>、</w:t>
      </w:r>
      <w:r>
        <w:rPr>
          <w:rFonts w:hint="eastAsia" w:ascii="仿宋_GB2312" w:hAnsi="宋体" w:cs="宋体"/>
          <w:lang w:eastAsia="zh-CN"/>
        </w:rPr>
        <w:t>脱贫攻坚</w:t>
      </w:r>
      <w:bookmarkStart w:id="2" w:name="_GoBack"/>
      <w:bookmarkEnd w:id="2"/>
      <w:r>
        <w:rPr>
          <w:rFonts w:hint="eastAsia" w:ascii="仿宋_GB2312" w:hAnsi="宋体" w:cs="宋体"/>
        </w:rPr>
        <w:t>、社会服务保障</w:t>
      </w:r>
      <w:r>
        <w:rPr>
          <w:rFonts w:ascii="仿宋_GB2312" w:hAnsi="宋体" w:cs="宋体"/>
        </w:rPr>
        <w:t>及</w:t>
      </w:r>
      <w:r>
        <w:rPr>
          <w:rFonts w:hint="eastAsia" w:ascii="仿宋_GB2312" w:hAnsi="宋体" w:cs="宋体"/>
        </w:rPr>
        <w:t>就业技能、</w:t>
      </w:r>
      <w:r>
        <w:rPr>
          <w:rFonts w:ascii="仿宋_GB2312" w:hAnsi="宋体" w:cs="宋体"/>
        </w:rPr>
        <w:t>生产技术服务等活动的社区社会组织</w:t>
      </w:r>
      <w:r>
        <w:rPr>
          <w:rFonts w:hint="eastAsia" w:ascii="仿宋_GB2312" w:hAnsi="宋体" w:cs="宋体"/>
        </w:rPr>
        <w:t>，重点支持社会组织和专业社工参与承接政府购买的社区公共服务和面向社区困难群体的便民服务</w:t>
      </w:r>
      <w:r>
        <w:rPr>
          <w:rFonts w:ascii="仿宋_GB2312" w:hAnsi="宋体" w:cs="宋体"/>
        </w:rPr>
        <w:t>；引导社区</w:t>
      </w:r>
      <w:r>
        <w:rPr>
          <w:rFonts w:hint="eastAsia" w:ascii="仿宋_GB2312" w:hAnsi="宋体" w:cs="宋体"/>
        </w:rPr>
        <w:t>积极</w:t>
      </w:r>
      <w:r>
        <w:rPr>
          <w:rFonts w:ascii="仿宋_GB2312" w:hAnsi="宋体" w:cs="宋体"/>
        </w:rPr>
        <w:t>对接专业社会组织，并</w:t>
      </w:r>
      <w:r>
        <w:rPr>
          <w:rFonts w:hint="eastAsia" w:ascii="仿宋_GB2312" w:hAnsi="宋体" w:cs="宋体"/>
        </w:rPr>
        <w:t>按下属工作委员会类别对应</w:t>
      </w:r>
      <w:r>
        <w:rPr>
          <w:rFonts w:ascii="仿宋_GB2312" w:hAnsi="宋体" w:cs="宋体"/>
        </w:rPr>
        <w:t>培育</w:t>
      </w:r>
      <w:r>
        <w:rPr>
          <w:rFonts w:hint="eastAsia" w:ascii="仿宋_GB2312" w:hAnsi="宋体" w:cs="宋体"/>
        </w:rPr>
        <w:t>各种类型的</w:t>
      </w:r>
      <w:r>
        <w:rPr>
          <w:rFonts w:ascii="仿宋_GB2312" w:hAnsi="宋体" w:cs="宋体"/>
        </w:rPr>
        <w:t>社区社会组织</w:t>
      </w:r>
      <w:r>
        <w:rPr>
          <w:rFonts w:hint="eastAsia" w:ascii="仿宋_GB2312" w:hAnsi="宋体" w:cs="宋体"/>
        </w:rPr>
        <w:t>、草根组织</w:t>
      </w:r>
      <w:r>
        <w:rPr>
          <w:rFonts w:ascii="仿宋_GB2312" w:hAnsi="宋体" w:cs="宋体"/>
        </w:rPr>
        <w:t>，织密社区动员网络。</w:t>
      </w:r>
      <w:r>
        <w:rPr>
          <w:rFonts w:hint="eastAsia" w:ascii="仿宋_GB2312"/>
        </w:rPr>
        <w:t>加大政府向社会组织购买服务的力度,结合政府职能转变和行政审批改革,将政府部门不宜直接承担、适合市场和社会提供的事务性管理工作及公共服务,通过竞争性方式交由社会组织承担,逐步扩大政府向社会组织购买服务的范围和规模。</w:t>
      </w:r>
    </w:p>
    <w:p w14:paraId="64669BA9">
      <w:pPr>
        <w:spacing w:line="560" w:lineRule="exact"/>
        <w:ind w:firstLine="645"/>
        <w:rPr>
          <w:rFonts w:hint="eastAsia" w:ascii="仿宋_GB2312" w:hAnsi="宋体" w:cs="宋体"/>
        </w:rPr>
      </w:pPr>
      <w:r>
        <w:rPr>
          <w:rFonts w:ascii="仿宋_GB2312" w:hAnsi="宋体" w:cs="宋体"/>
          <w:b/>
        </w:rPr>
        <w:t>1</w:t>
      </w:r>
      <w:r>
        <w:rPr>
          <w:rFonts w:hint="eastAsia" w:ascii="仿宋_GB2312" w:hAnsi="宋体" w:cs="宋体"/>
          <w:b/>
        </w:rPr>
        <w:t>2．促进“三社联动”提质增效。</w:t>
      </w:r>
      <w:r>
        <w:rPr>
          <w:rFonts w:hint="eastAsia" w:ascii="仿宋_GB2312" w:hAnsi="宋体" w:cs="宋体"/>
        </w:rPr>
        <w:t>继续推广“三社联动”在创新社区治理中的成功经验，</w:t>
      </w:r>
      <w:r>
        <w:rPr>
          <w:rFonts w:ascii="仿宋_GB2312" w:hAnsi="宋体" w:cs="宋体"/>
        </w:rPr>
        <w:t>完善以社区为平台、社会组织为载体、社会工作</w:t>
      </w:r>
      <w:r>
        <w:rPr>
          <w:rFonts w:hint="eastAsia" w:ascii="仿宋_GB2312" w:hAnsi="宋体" w:cs="宋体"/>
        </w:rPr>
        <w:t>为支撑</w:t>
      </w:r>
      <w:r>
        <w:rPr>
          <w:rFonts w:ascii="仿宋_GB2312" w:hAnsi="宋体" w:cs="宋体"/>
        </w:rPr>
        <w:t>的新型社区服务管理机制，在区、街道、社区三个层级分别开展社区、社会组织、社工动员工作试点</w:t>
      </w:r>
      <w:r>
        <w:rPr>
          <w:rFonts w:hint="eastAsia" w:ascii="仿宋_GB2312" w:hAnsi="宋体" w:cs="宋体"/>
        </w:rPr>
        <w:t>，推进社区工作队伍“社工化”和“社工带义工”服务机制，</w:t>
      </w:r>
      <w:r>
        <w:rPr>
          <w:rFonts w:hint="eastAsia" w:ascii="仿宋_GB2312" w:hAnsi="仿宋" w:cs="宋体"/>
        </w:rPr>
        <w:t>提升社区治理与服务的专业化水平</w:t>
      </w:r>
      <w:r>
        <w:rPr>
          <w:rFonts w:hint="eastAsia" w:ascii="仿宋_GB2312" w:hAnsi="宋体" w:cs="宋体"/>
        </w:rPr>
        <w:t>。要进一步完善社区组织发现居民需求、统筹设计服务项目、支持社会组织承接、引导专业社会工作团队参与的工作体系，</w:t>
      </w:r>
      <w:r>
        <w:t>建立社区信息库、资源库和项目库</w:t>
      </w:r>
      <w:r>
        <w:rPr>
          <w:rFonts w:hint="eastAsia" w:ascii="仿宋_GB2312" w:hAnsi="宋体" w:cs="宋体"/>
        </w:rPr>
        <w:t>。</w:t>
      </w:r>
    </w:p>
    <w:p w14:paraId="13DE2BC4">
      <w:pPr>
        <w:widowControl/>
        <w:spacing w:line="560" w:lineRule="exact"/>
        <w:ind w:firstLine="689"/>
        <w:jc w:val="left"/>
        <w:rPr>
          <w:rFonts w:hint="eastAsia" w:ascii="黑体" w:hAnsi="黑体" w:eastAsia="黑体" w:cs="宋体"/>
        </w:rPr>
      </w:pPr>
      <w:r>
        <w:rPr>
          <w:rFonts w:hint="eastAsia" w:ascii="黑体" w:hAnsi="黑体" w:eastAsia="黑体" w:cs="宋体"/>
        </w:rPr>
        <w:t>三、不断提升社区治理水平</w:t>
      </w:r>
    </w:p>
    <w:p w14:paraId="34B14DD9">
      <w:pPr>
        <w:widowControl/>
        <w:snapToGrid w:val="0"/>
        <w:spacing w:line="560" w:lineRule="exact"/>
        <w:ind w:firstLine="689"/>
        <w:jc w:val="left"/>
        <w:rPr>
          <w:rFonts w:hint="eastAsia" w:ascii="楷体_GB2312" w:hAnsi="楷体" w:eastAsia="楷体_GB2312" w:cs="宋体"/>
        </w:rPr>
      </w:pPr>
      <w:r>
        <w:rPr>
          <w:rFonts w:hint="eastAsia" w:ascii="楷体_GB2312" w:hAnsi="楷体" w:eastAsia="楷体_GB2312" w:cs="宋体"/>
        </w:rPr>
        <w:t>（一）提升社区居民参与能力</w:t>
      </w:r>
    </w:p>
    <w:p w14:paraId="72C544D1">
      <w:pPr>
        <w:widowControl/>
        <w:spacing w:line="560" w:lineRule="exact"/>
        <w:ind w:firstLine="689"/>
        <w:jc w:val="left"/>
        <w:rPr>
          <w:rFonts w:hint="eastAsia" w:ascii="仿宋_GB2312" w:hAnsi="宋体" w:cs="宋体"/>
        </w:rPr>
      </w:pPr>
      <w:r>
        <w:rPr>
          <w:rFonts w:hint="eastAsia" w:ascii="仿宋_GB2312" w:hAnsi="宋体" w:cs="宋体"/>
          <w:b/>
        </w:rPr>
        <w:t>13．健全</w:t>
      </w:r>
      <w:r>
        <w:rPr>
          <w:rFonts w:ascii="仿宋_GB2312" w:hAnsi="宋体" w:cs="宋体"/>
          <w:b/>
        </w:rPr>
        <w:t>社区</w:t>
      </w:r>
      <w:r>
        <w:rPr>
          <w:rFonts w:hint="eastAsia" w:ascii="仿宋_GB2312" w:hAnsi="宋体" w:cs="宋体"/>
          <w:b/>
        </w:rPr>
        <w:t>议事</w:t>
      </w:r>
      <w:r>
        <w:rPr>
          <w:rFonts w:ascii="仿宋_GB2312" w:hAnsi="宋体" w:cs="宋体"/>
          <w:b/>
        </w:rPr>
        <w:t>协商机制。</w:t>
      </w:r>
      <w:r>
        <w:rPr>
          <w:rFonts w:hint="eastAsia" w:ascii="仿宋_GB2312" w:hAnsi="宋体" w:cs="宋体"/>
        </w:rPr>
        <w:t>推进</w:t>
      </w:r>
      <w:r>
        <w:rPr>
          <w:rFonts w:ascii="仿宋_GB2312" w:hAnsi="宋体" w:cs="宋体"/>
        </w:rPr>
        <w:t>民情恳谈会、</w:t>
      </w:r>
      <w:r>
        <w:rPr>
          <w:rFonts w:hint="eastAsia" w:ascii="仿宋_GB2312" w:hAnsi="宋体" w:cs="宋体"/>
        </w:rPr>
        <w:t>民主议事会、</w:t>
      </w:r>
      <w:r>
        <w:rPr>
          <w:rFonts w:ascii="仿宋_GB2312" w:hAnsi="宋体" w:cs="宋体"/>
        </w:rPr>
        <w:t>社区论坛、社区听证会、社区评议会</w:t>
      </w:r>
      <w:r>
        <w:rPr>
          <w:rFonts w:hint="eastAsia" w:ascii="仿宋_GB2312" w:hAnsi="宋体" w:cs="宋体"/>
        </w:rPr>
        <w:t>、“面对面交流”、“串门式”谈心</w:t>
      </w:r>
      <w:r>
        <w:rPr>
          <w:rFonts w:ascii="仿宋_GB2312" w:hAnsi="宋体" w:cs="宋体"/>
        </w:rPr>
        <w:t>等协商形式，拓宽社区媒体、互联网络、移动设备等协商渠道，鼓励社区居民和驻区单位广泛参与，切实保障社区居民的知情权、参与权、决策权、监督权</w:t>
      </w:r>
      <w:r>
        <w:rPr>
          <w:rFonts w:hint="eastAsia" w:ascii="仿宋_GB2312" w:hAnsi="宋体" w:cs="宋体"/>
        </w:rPr>
        <w:t>，支持和帮助居民群众养成协商意识、掌握协商方法、提高协商能力，推动形成既有民主又有集中，既尊重多数人意愿，又保护少数人合法权益的社区协商机制，</w:t>
      </w:r>
      <w:r>
        <w:rPr>
          <w:rFonts w:ascii="仿宋_GB2312" w:hAnsi="宋体" w:cs="宋体"/>
        </w:rPr>
        <w:t>逐步实现基层协商经常化、规范化、制度化，努力形成参与多元、层次立体、形式灵活、制度健全的社区协商格局。建立“提议、合议、群议、决议、评议”的协商民主“五议工作法”，成立“一核多元”的治理委员会、</w:t>
      </w:r>
      <w:r>
        <w:rPr>
          <w:rFonts w:hint="eastAsia" w:ascii="仿宋_GB2312" w:hAnsi="宋体" w:cs="宋体"/>
        </w:rPr>
        <w:t>协商议事会、</w:t>
      </w:r>
      <w:r>
        <w:rPr>
          <w:rFonts w:ascii="仿宋_GB2312" w:hAnsi="宋体" w:cs="宋体"/>
        </w:rPr>
        <w:t>理事会等议事组织，形成社区治理的共建合力。</w:t>
      </w:r>
    </w:p>
    <w:p w14:paraId="15940F9B">
      <w:pPr>
        <w:spacing w:line="560" w:lineRule="exact"/>
        <w:ind w:firstLine="643" w:firstLineChars="200"/>
        <w:rPr>
          <w:rFonts w:hint="eastAsia" w:ascii="仿宋_GB2312" w:hAnsi="宋体" w:cs="宋体"/>
        </w:rPr>
      </w:pPr>
      <w:r>
        <w:rPr>
          <w:rFonts w:hint="eastAsia" w:ascii="仿宋_GB2312" w:hAnsi="宋体" w:cs="宋体"/>
          <w:b/>
        </w:rPr>
        <w:t>14．提高社区居民议事协商能力。</w:t>
      </w:r>
      <w:r>
        <w:rPr>
          <w:rFonts w:hint="eastAsia" w:ascii="仿宋_GB2312" w:hAnsi="宋体" w:cs="宋体"/>
        </w:rPr>
        <w:t>凡涉及社区公共利益的重大决策事项、关乎居民群众切身利益的实际困难问题和矛盾纠纷，原则上由社区党组织、基层群众性自治组织牵头，组织居民群众协商解决。探索“楼组微自治”，在基础较好的小区选举成立楼院自治管理委员会，搭建楼组居民自治议事平台，</w:t>
      </w:r>
      <w:r>
        <w:rPr>
          <w:rFonts w:ascii="仿宋_GB2312" w:hAnsi="宋体" w:cs="宋体"/>
        </w:rPr>
        <w:t>充分发挥楼院门栋</w:t>
      </w:r>
      <w:r>
        <w:rPr>
          <w:rFonts w:hint="eastAsia" w:ascii="仿宋_GB2312" w:hAnsi="宋体" w:cs="宋体"/>
        </w:rPr>
        <w:t>在</w:t>
      </w:r>
      <w:r>
        <w:rPr>
          <w:rFonts w:ascii="仿宋_GB2312" w:hAnsi="宋体" w:cs="宋体"/>
        </w:rPr>
        <w:t>畅通诉求、化解矛盾、联系群众</w:t>
      </w:r>
      <w:r>
        <w:rPr>
          <w:rFonts w:hint="eastAsia" w:ascii="仿宋_GB2312" w:hAnsi="宋体" w:cs="宋体"/>
        </w:rPr>
        <w:t>中</w:t>
      </w:r>
      <w:r>
        <w:rPr>
          <w:rFonts w:ascii="仿宋_GB2312" w:hAnsi="宋体" w:cs="宋体"/>
        </w:rPr>
        <w:t>的</w:t>
      </w:r>
      <w:r>
        <w:rPr>
          <w:rFonts w:hint="eastAsia" w:ascii="仿宋_GB2312" w:hAnsi="宋体" w:cs="宋体"/>
        </w:rPr>
        <w:t>积极</w:t>
      </w:r>
      <w:r>
        <w:rPr>
          <w:rFonts w:ascii="仿宋_GB2312" w:hAnsi="宋体" w:cs="宋体"/>
        </w:rPr>
        <w:t>作用</w:t>
      </w:r>
      <w:r>
        <w:rPr>
          <w:rFonts w:hint="eastAsia" w:ascii="仿宋_GB2312" w:hAnsi="宋体" w:cs="宋体"/>
        </w:rPr>
        <w:t>，集思广益自主解决自己家门口的实际问题。要善于发现并发挥社区党员、党外代表人士、群众活动团队带头人、业委会负责人、社会组织负责人等社区骨干的引领作用，通过社区骨干带动居民参与社区公共事务。大力培育以社区骨干为带头人的群众性组织和议事协商载体，通过组织化方式，引导群众依法、理性、有序地参与社区治理。</w:t>
      </w:r>
    </w:p>
    <w:p w14:paraId="3D1AAA58">
      <w:pPr>
        <w:widowControl/>
        <w:snapToGrid w:val="0"/>
        <w:spacing w:line="560" w:lineRule="exact"/>
        <w:ind w:firstLine="689"/>
        <w:jc w:val="left"/>
        <w:rPr>
          <w:rFonts w:hint="eastAsia" w:ascii="楷体_GB2312" w:hAnsi="楷体" w:eastAsia="楷体_GB2312" w:cs="宋体"/>
        </w:rPr>
      </w:pPr>
      <w:r>
        <w:rPr>
          <w:rFonts w:hint="eastAsia" w:ascii="楷体_GB2312" w:hAnsi="楷体" w:eastAsia="楷体_GB2312" w:cs="宋体"/>
        </w:rPr>
        <w:t>（二）提升社区服务供给能力</w:t>
      </w:r>
    </w:p>
    <w:p w14:paraId="31EA8613">
      <w:pPr>
        <w:spacing w:line="560" w:lineRule="exact"/>
        <w:ind w:firstLine="645"/>
        <w:rPr>
          <w:rFonts w:hint="eastAsia" w:ascii="仿宋_GB2312" w:hAnsi="宋体" w:cs="宋体"/>
          <w:shd w:val="pct15" w:color="auto" w:fill="FFFFFF"/>
        </w:rPr>
      </w:pPr>
      <w:r>
        <w:rPr>
          <w:rFonts w:hint="eastAsia" w:ascii="仿宋_GB2312" w:hAnsi="宋体" w:cs="宋体"/>
          <w:b/>
        </w:rPr>
        <w:t>15．提高社区公共服务水平。</w:t>
      </w:r>
      <w:r>
        <w:rPr>
          <w:rFonts w:hint="eastAsia" w:ascii="仿宋_GB2312" w:hAnsi="宋体" w:cs="宋体"/>
        </w:rPr>
        <w:t>加快社区公共服务体系建设，做好与社区居民利益密切相关的劳动就业、社会保障、卫生计生、教育事业、社会服务、住房保障、文化体育、公共安全、公共法律服务、调解仲裁等公共服务事项。创新社区公共服务供给方式，根据居民工作特点和生活规律，健全首问负责、服务承诺、AB岗互补、错时上班、节假日轮班、上门服务、公共服务代办等制度,针对社区老年人、残疾人和行动不便的居民，建立定期走访、全程代办、移动办公制度,简化工作程序，方便居民办事。结合自身实际，开展“军人之家”等活动，打造特色鲜明的拥军爱军服务体系。将社区服务纳入政府购买服务指导性目录，制定社会组织承接政府购买服务管理办法，进一步细化购买社区服务的基本条件、承接主体、购买程序、绩效评价等制度,引导社会组织有序参与。</w:t>
      </w:r>
      <w:r>
        <w:rPr>
          <w:rFonts w:ascii="仿宋_GB2312" w:hAnsi="宋体" w:cs="宋体"/>
        </w:rPr>
        <w:t>坚持社区服务项目化运作，探索引入第三方质量评估机制，</w:t>
      </w:r>
      <w:r>
        <w:rPr>
          <w:rFonts w:hint="eastAsia" w:ascii="仿宋_GB2312" w:hAnsi="宋体" w:cs="宋体"/>
        </w:rPr>
        <w:t>提高公共财政资金的使用效率和社会效益。</w:t>
      </w:r>
      <w:r>
        <w:rPr>
          <w:rFonts w:hint="eastAsia" w:ascii="仿宋_GB2312" w:hAnsi="宋体" w:cs="宋体"/>
          <w:shd w:val="pct15" w:color="auto" w:fill="FFFFFF"/>
        </w:rPr>
        <w:t xml:space="preserve"> </w:t>
      </w:r>
    </w:p>
    <w:p w14:paraId="6AB0DB7F">
      <w:pPr>
        <w:spacing w:line="560" w:lineRule="exact"/>
        <w:ind w:firstLine="643" w:firstLineChars="200"/>
        <w:rPr>
          <w:rFonts w:hint="eastAsia" w:ascii="仿宋_GB2312" w:hAnsi="宋体" w:cs="宋体"/>
        </w:rPr>
      </w:pPr>
      <w:r>
        <w:rPr>
          <w:rFonts w:hint="eastAsia" w:ascii="仿宋_GB2312" w:hAnsi="宋体" w:cs="宋体"/>
          <w:b/>
        </w:rPr>
        <w:t>16.优化社区便民服务。</w:t>
      </w:r>
      <w:r>
        <w:rPr>
          <w:rFonts w:hint="eastAsia" w:ascii="仿宋_GB2312" w:hAnsi="宋体" w:cs="宋体"/>
        </w:rPr>
        <w:t>按照政府扶持、社会力量参与的模式，大力发展社区养老、托幼、助残康复、心理咨询、家政保洁、文化体育等服务业态，重点做好面向老年人、残疾人、未成年人和困难家庭的日常生活性服务。针对社区居民多元化的生活需求，合理布局社区便利服务网点。鼓励和引导各类市场主体、专业社会组织参与社区服务业，拓展服务质态优化提升，把服务项目从简单的提供便民利民服务向提供更多的预防性、支持性服务拓展；把服务对象从特殊人群向全体居民延伸；把服务提供者从普通社区工作者向拥有专业社会工作知识、能够提供专业个案服务的专业社工过渡。积极开展以生产互助、养老互助、救济互助等为主要形式的社区互助活动。在有条件的社区探索成立社工服务站，</w:t>
      </w:r>
      <w:r>
        <w:rPr>
          <w:rFonts w:ascii="仿宋_GB2312" w:hAnsi="宋体" w:cs="宋体"/>
        </w:rPr>
        <w:t>让更多的居民享受到更多样、</w:t>
      </w:r>
      <w:r>
        <w:rPr>
          <w:rFonts w:hint="eastAsia" w:ascii="仿宋_GB2312" w:hAnsi="宋体" w:cs="宋体"/>
        </w:rPr>
        <w:t>更精细、更个性、</w:t>
      </w:r>
      <w:r>
        <w:rPr>
          <w:rFonts w:ascii="仿宋_GB2312" w:hAnsi="宋体" w:cs="宋体"/>
        </w:rPr>
        <w:t>更专业的社区服务。</w:t>
      </w:r>
    </w:p>
    <w:p w14:paraId="369717C9">
      <w:pPr>
        <w:spacing w:line="560" w:lineRule="exact"/>
        <w:ind w:firstLine="645"/>
        <w:rPr>
          <w:rFonts w:hint="eastAsia" w:ascii="仿宋_GB2312" w:hAnsi="宋体" w:cs="宋体"/>
        </w:rPr>
      </w:pPr>
      <w:r>
        <w:rPr>
          <w:rFonts w:hint="eastAsia" w:ascii="仿宋_GB2312" w:hAnsi="宋体" w:cs="宋体"/>
          <w:b/>
        </w:rPr>
        <w:t>17.发展社区志愿服务。</w:t>
      </w:r>
      <w:r>
        <w:rPr>
          <w:rFonts w:hint="eastAsia" w:ascii="仿宋_GB2312" w:hAnsi="宋体" w:cs="宋体"/>
        </w:rPr>
        <w:t>坚持把开展志愿服务与创新社区治理、学雷锋活动结合起来，依托</w:t>
      </w:r>
      <w:r>
        <w:rPr>
          <w:rFonts w:ascii="仿宋_GB2312" w:hAnsi="宋体" w:cs="宋体"/>
        </w:rPr>
        <w:t>社区</w:t>
      </w:r>
      <w:r>
        <w:rPr>
          <w:rFonts w:hint="eastAsia" w:ascii="仿宋_GB2312" w:hAnsi="宋体" w:cs="宋体"/>
        </w:rPr>
        <w:t>学雷锋志愿服务站</w:t>
      </w:r>
      <w:r>
        <w:rPr>
          <w:rFonts w:ascii="仿宋_GB2312" w:hAnsi="宋体" w:cs="宋体"/>
        </w:rPr>
        <w:t>，</w:t>
      </w:r>
      <w:r>
        <w:rPr>
          <w:rFonts w:hint="eastAsia" w:ascii="仿宋_GB2312" w:hAnsi="宋体" w:cs="宋体"/>
        </w:rPr>
        <w:t>搭建志愿者、服务对象和服务项目对接平台，整合志愿者队伍，开展“精准服务”。</w:t>
      </w:r>
      <w:r>
        <w:rPr>
          <w:rFonts w:ascii="仿宋_GB2312" w:hAnsi="宋体" w:cs="宋体"/>
        </w:rPr>
        <w:t>广泛动员和鼓励行政机关、企事业单位、</w:t>
      </w:r>
      <w:r>
        <w:rPr>
          <w:rFonts w:hint="eastAsia" w:ascii="仿宋_GB2312" w:hAnsi="宋体" w:cs="宋体"/>
        </w:rPr>
        <w:t>社会团体、</w:t>
      </w:r>
      <w:r>
        <w:rPr>
          <w:rFonts w:ascii="仿宋_GB2312" w:hAnsi="宋体" w:cs="宋体"/>
        </w:rPr>
        <w:t>社会组织和居民群众开展</w:t>
      </w:r>
      <w:r>
        <w:rPr>
          <w:rFonts w:hint="eastAsia" w:ascii="仿宋_GB2312" w:hAnsi="宋体" w:cs="宋体"/>
        </w:rPr>
        <w:t>形式多样的</w:t>
      </w:r>
      <w:r>
        <w:rPr>
          <w:rFonts w:ascii="仿宋_GB2312" w:hAnsi="宋体" w:cs="宋体"/>
        </w:rPr>
        <w:t>志愿服务，制定志愿者（义工）管理、奖励办法，试行志愿者积分制</w:t>
      </w:r>
      <w:r>
        <w:rPr>
          <w:rFonts w:hint="eastAsia" w:ascii="仿宋_GB2312" w:hAnsi="宋体" w:cs="宋体"/>
        </w:rPr>
        <w:t>、“时间银行”、“聚爱公积金”账户等，将</w:t>
      </w:r>
      <w:r>
        <w:rPr>
          <w:rFonts w:ascii="仿宋_GB2312" w:hAnsi="宋体" w:cs="宋体"/>
        </w:rPr>
        <w:t>志愿者开展志愿服务纳入各类评先评优</w:t>
      </w:r>
      <w:r>
        <w:rPr>
          <w:rFonts w:hint="eastAsia" w:ascii="仿宋_GB2312" w:hAnsi="宋体" w:cs="宋体"/>
        </w:rPr>
        <w:t>、奖励兑现、被服务优先等制度保障，达到互助共济的效果，推动社区志愿服务规范化、专业化、常态化。</w:t>
      </w:r>
      <w:r>
        <w:rPr>
          <w:rFonts w:ascii="仿宋_GB2312" w:hAnsi="宋体" w:cs="宋体"/>
        </w:rPr>
        <w:t>组建多种类型的社区志愿者队伍，形成功能齐全、方便快捷的社区志愿服务格局。</w:t>
      </w:r>
      <w:r>
        <w:rPr>
          <w:rFonts w:hint="eastAsia" w:ascii="仿宋_GB2312" w:hAnsi="宋体" w:cs="宋体"/>
        </w:rPr>
        <w:t xml:space="preserve"> </w:t>
      </w:r>
    </w:p>
    <w:p w14:paraId="527DC37D">
      <w:pPr>
        <w:widowControl/>
        <w:snapToGrid w:val="0"/>
        <w:spacing w:line="560" w:lineRule="exact"/>
        <w:ind w:firstLine="689"/>
        <w:jc w:val="left"/>
        <w:rPr>
          <w:rFonts w:hint="eastAsia" w:ascii="楷体_GB2312" w:hAnsi="楷体" w:eastAsia="楷体_GB2312" w:cs="宋体"/>
        </w:rPr>
      </w:pPr>
      <w:r>
        <w:rPr>
          <w:rFonts w:hint="eastAsia" w:ascii="楷体_GB2312" w:hAnsi="楷体" w:eastAsia="楷体_GB2312" w:cs="宋体"/>
        </w:rPr>
        <w:t>（三）提升社区文化引领能力</w:t>
      </w:r>
    </w:p>
    <w:p w14:paraId="3D7D337E">
      <w:pPr>
        <w:spacing w:line="560" w:lineRule="exact"/>
        <w:ind w:firstLine="643" w:firstLineChars="200"/>
        <w:rPr>
          <w:rFonts w:hint="eastAsia" w:ascii="仿宋_GB2312" w:hAnsi="宋体" w:cs="宋体"/>
        </w:rPr>
      </w:pPr>
      <w:r>
        <w:rPr>
          <w:rFonts w:hint="eastAsia" w:ascii="仿宋_GB2312" w:hAnsi="宋体" w:cs="宋体"/>
          <w:b/>
        </w:rPr>
        <w:t>18．</w:t>
      </w:r>
      <w:r>
        <w:rPr>
          <w:rFonts w:ascii="仿宋_GB2312" w:hAnsi="宋体" w:cs="宋体"/>
          <w:b/>
        </w:rPr>
        <w:t>培育和践行社会主义核心价值观</w:t>
      </w:r>
      <w:r>
        <w:rPr>
          <w:rFonts w:hint="eastAsia" w:ascii="仿宋_GB2312" w:hAnsi="宋体" w:cs="宋体"/>
          <w:b/>
        </w:rPr>
        <w:t>。</w:t>
      </w:r>
      <w:r>
        <w:rPr>
          <w:rFonts w:hint="eastAsia" w:ascii="仿宋_GB2312" w:hAnsi="宋体" w:cs="宋体"/>
        </w:rPr>
        <w:t>广泛开展群众性精神文明创建活动，持续开展文明城市创建“五项工程”，促进市民文明素质和城市文明程度提升。</w:t>
      </w:r>
      <w:r>
        <w:rPr>
          <w:rFonts w:ascii="仿宋_GB2312" w:hAnsi="宋体" w:cs="宋体"/>
        </w:rPr>
        <w:t>建立健全社区道德评议机制，发现和宣传社区道德模范，好人好事，评选身边好人、文明庭院、文明家庭、星级文明户等</w:t>
      </w:r>
      <w:r>
        <w:rPr>
          <w:rFonts w:hint="eastAsia" w:ascii="仿宋_GB2312" w:hAnsi="宋体" w:cs="宋体"/>
        </w:rPr>
        <w:t>；</w:t>
      </w:r>
      <w:r>
        <w:rPr>
          <w:rFonts w:ascii="仿宋_GB2312" w:hAnsi="宋体" w:cs="宋体"/>
        </w:rPr>
        <w:t>大力弘扬优秀传统文化，</w:t>
      </w:r>
      <w:r>
        <w:rPr>
          <w:rFonts w:hint="eastAsia" w:ascii="仿宋_GB2312" w:hAnsi="宋体" w:cs="宋体"/>
        </w:rPr>
        <w:t>培育心口相传的社区精神；</w:t>
      </w:r>
      <w:r>
        <w:rPr>
          <w:rFonts w:ascii="仿宋_GB2312" w:hAnsi="宋体" w:cs="宋体"/>
        </w:rPr>
        <w:t>建设集宣传文化、科学普及、普法教育、体育健身等服务功能于一体的社区综合文化服务中心</w:t>
      </w:r>
      <w:r>
        <w:rPr>
          <w:rFonts w:hint="eastAsia" w:ascii="仿宋_GB2312" w:hAnsi="宋体" w:cs="宋体"/>
        </w:rPr>
        <w:t>，持续推进公共文化服务“零距离”工程，继续开展“五华榜样”“最美少年”等评选活动，讲好五华故事，树好五华形象，弘扬五华精神，凝聚文化正能量。</w:t>
      </w:r>
    </w:p>
    <w:p w14:paraId="4F251472">
      <w:pPr>
        <w:spacing w:line="560" w:lineRule="exact"/>
        <w:ind w:firstLine="643" w:firstLineChars="200"/>
        <w:rPr>
          <w:rFonts w:ascii="仿宋_GB2312" w:hAnsi="宋体" w:cs="宋体"/>
        </w:rPr>
      </w:pPr>
      <w:r>
        <w:rPr>
          <w:rFonts w:hint="eastAsia" w:ascii="仿宋_GB2312" w:hAnsi="宋体" w:cs="宋体"/>
          <w:b/>
        </w:rPr>
        <w:t>19．丰富社区文化内涵。</w:t>
      </w:r>
      <w:r>
        <w:rPr>
          <w:rFonts w:ascii="仿宋_GB2312" w:hAnsi="宋体" w:cs="宋体"/>
        </w:rPr>
        <w:t>广泛开展</w:t>
      </w:r>
      <w:r>
        <w:rPr>
          <w:rFonts w:hint="eastAsia" w:ascii="仿宋_GB2312" w:hAnsi="宋体" w:cs="宋体"/>
        </w:rPr>
        <w:t>形式多样、健康向上、</w:t>
      </w:r>
      <w:r>
        <w:rPr>
          <w:rFonts w:ascii="仿宋_GB2312" w:hAnsi="宋体" w:cs="宋体"/>
        </w:rPr>
        <w:t>具有浓郁气息</w:t>
      </w:r>
      <w:r>
        <w:rPr>
          <w:rFonts w:hint="eastAsia" w:ascii="仿宋_GB2312" w:hAnsi="宋体" w:cs="宋体"/>
        </w:rPr>
        <w:t>和各具特色</w:t>
      </w:r>
      <w:r>
        <w:rPr>
          <w:rFonts w:ascii="仿宋_GB2312" w:hAnsi="宋体" w:cs="宋体"/>
        </w:rPr>
        <w:t>的社区文化</w:t>
      </w:r>
      <w:r>
        <w:rPr>
          <w:rFonts w:hint="eastAsia" w:ascii="仿宋_GB2312" w:hAnsi="宋体" w:cs="宋体"/>
        </w:rPr>
        <w:t>、体育</w:t>
      </w:r>
      <w:r>
        <w:rPr>
          <w:rFonts w:ascii="仿宋_GB2312" w:hAnsi="宋体" w:cs="宋体"/>
        </w:rPr>
        <w:t>活动，丰富</w:t>
      </w:r>
      <w:r>
        <w:rPr>
          <w:rFonts w:hint="eastAsia" w:ascii="仿宋_GB2312" w:hAnsi="宋体" w:cs="宋体"/>
        </w:rPr>
        <w:t>社区</w:t>
      </w:r>
      <w:r>
        <w:rPr>
          <w:rFonts w:ascii="仿宋_GB2312" w:hAnsi="宋体" w:cs="宋体"/>
        </w:rPr>
        <w:t>居民文化生活，凝聚有利于社区发展的内在动力和创新活力。深度推进家庭、楼栋、楼院文化建设，按照“1+1+1”的思路，</w:t>
      </w:r>
      <w:r>
        <w:rPr>
          <w:rFonts w:hint="eastAsia" w:ascii="仿宋_GB2312" w:hAnsi="宋体" w:cs="宋体"/>
        </w:rPr>
        <w:t>至少</w:t>
      </w:r>
      <w:r>
        <w:rPr>
          <w:rFonts w:ascii="仿宋_GB2312" w:hAnsi="宋体" w:cs="宋体"/>
        </w:rPr>
        <w:t>培育1个家园文化典型社区，每个街道至少培育1个楼院文化小区，每个社区至少组建1支楼栋文化志愿者队伍，重点打造具有时代特点、云南特征、昆明特色、居民喜闻乐见的 “精品楼栋、楼院文化品牌”。</w:t>
      </w:r>
      <w:r>
        <w:rPr>
          <w:rFonts w:hint="eastAsia" w:ascii="仿宋_GB2312" w:hAnsi="宋体" w:cs="宋体"/>
        </w:rPr>
        <w:t>根据区域特点、人口结构、人员素质、资源分布等情况，积极创建社区特色品牌，打造“微亮点”，增强居民群众的社区认同感、归属感、责任感和荣誉感。持续开展“邻里学、邻里和、邻里帮、邻里乐、邻里颂”为主要内容的“幸福五华.睦邻和谐”邻里节活动，吸引居民融入社区，增进交流互动，营造与邻为善、以邻为伴、守望相助的睦邻文化和熟人社区。积极发展社区教育，建立健全社区教育网络，推进学习型社区建设。</w:t>
      </w:r>
    </w:p>
    <w:p w14:paraId="1BAD31BD">
      <w:pPr>
        <w:widowControl/>
        <w:snapToGrid w:val="0"/>
        <w:spacing w:line="560" w:lineRule="exact"/>
        <w:ind w:firstLine="689"/>
        <w:jc w:val="left"/>
        <w:rPr>
          <w:rFonts w:hint="eastAsia" w:ascii="楷体_GB2312" w:hAnsi="楷体" w:eastAsia="楷体_GB2312" w:cs="宋体"/>
        </w:rPr>
      </w:pPr>
      <w:r>
        <w:rPr>
          <w:rFonts w:hint="eastAsia" w:ascii="楷体_GB2312" w:hAnsi="楷体" w:eastAsia="楷体_GB2312" w:cs="宋体"/>
        </w:rPr>
        <w:t>（四）提升社区矛盾预防化解能力</w:t>
      </w:r>
    </w:p>
    <w:p w14:paraId="0D2DFFF7">
      <w:pPr>
        <w:widowControl/>
        <w:spacing w:line="560" w:lineRule="exact"/>
        <w:ind w:firstLine="689"/>
        <w:jc w:val="left"/>
        <w:rPr>
          <w:rFonts w:hint="eastAsia" w:ascii="仿宋_GB2312" w:hAnsi="宋体" w:cs="宋体"/>
        </w:rPr>
      </w:pPr>
      <w:r>
        <w:rPr>
          <w:rFonts w:hint="eastAsia" w:ascii="仿宋_GB2312" w:hAnsi="宋体" w:cs="宋体"/>
          <w:b/>
        </w:rPr>
        <w:t>20．加强预防和化解社会矛盾机制建设。</w:t>
      </w:r>
      <w:r>
        <w:rPr>
          <w:rFonts w:hint="eastAsia" w:ascii="仿宋_GB2312" w:hAnsi="宋体" w:cs="宋体"/>
        </w:rPr>
        <w:t>建立党代表、人大代表、政协委员联系社区和党员干部直接联系群众制度，健全完善利益表达机制、心理疏导机制、矛盾纠纷调处机制，准确把握“维权与维稳”的关系，抓好源头预防、维稳预警、排查化解、多元调解、应急处置五个关键环节，着力维护社会稳定大局。</w:t>
      </w:r>
      <w:r>
        <w:rPr>
          <w:rFonts w:hint="eastAsia" w:ascii="仿宋_GB2312"/>
        </w:rPr>
        <w:t>继续推进“84510”群众工作法，通过“八必访”、“四必问”、“五到位”和建立“民情十本帐”，主动深入群众倾听民声，解决实际困难，促进社会和谐。</w:t>
      </w:r>
      <w:r>
        <w:rPr>
          <w:rFonts w:hint="eastAsia" w:ascii="仿宋_GB2312" w:hAnsi="宋体" w:cs="宋体"/>
        </w:rPr>
        <w:t>鼓励引入专业社工、心理咨询师等加入社区调解委员会，提升调解委员会的专业工作能力。</w:t>
      </w:r>
    </w:p>
    <w:p w14:paraId="6344392B">
      <w:pPr>
        <w:spacing w:line="560" w:lineRule="exact"/>
        <w:ind w:firstLine="643" w:firstLineChars="200"/>
        <w:rPr>
          <w:rFonts w:hint="eastAsia" w:ascii="仿宋_GB2312"/>
          <w:snapToGrid w:val="0"/>
        </w:rPr>
      </w:pPr>
      <w:r>
        <w:rPr>
          <w:rFonts w:hint="eastAsia" w:ascii="仿宋_GB2312" w:hAnsi="宋体" w:cs="宋体"/>
          <w:b/>
        </w:rPr>
        <w:t>21.深入开展法治宣传教育和法律进社区活动。</w:t>
      </w:r>
      <w:r>
        <w:rPr>
          <w:rFonts w:hint="eastAsia" w:ascii="仿宋_GB2312" w:hAnsi="宋体" w:cs="宋体"/>
        </w:rPr>
        <w:t xml:space="preserve">发挥警官、法官、检察官、律师、公证员、基层法律服务工作者作用，推进覆盖全体居民的公共法律服务体系建设。加大全民普法力度，建设社会主义法治文化，树立宪法、法律至上、法律面前人人平等的法治理念，培育自尊自信、理性平和、积极向上的社会心态，引导群众理性合法表达利益诉求。积极开展民主法治示范社区创建活动，力争80%以上的社区达到市级民主法治社区。鼓励律师、法律工作者积极提供社区志愿服务，在参与决策论证、提供法律意见、促进依法办事、防范法律风险等方面发挥作用，切实提高社区依法治理水平 。 </w:t>
      </w:r>
    </w:p>
    <w:p w14:paraId="76ABEB60">
      <w:pPr>
        <w:spacing w:line="560" w:lineRule="exact"/>
        <w:ind w:firstLine="643" w:firstLineChars="200"/>
        <w:rPr>
          <w:rFonts w:hint="eastAsia" w:ascii="仿宋_GB2312" w:hAnsi="宋体" w:cs="宋体"/>
        </w:rPr>
      </w:pPr>
      <w:r>
        <w:rPr>
          <w:rFonts w:hint="eastAsia" w:ascii="仿宋_GB2312" w:hAnsi="宋体" w:cs="宋体"/>
          <w:b/>
        </w:rPr>
        <w:t>22．推进平安社区建设。</w:t>
      </w:r>
      <w:r>
        <w:rPr>
          <w:rFonts w:hint="eastAsia" w:ascii="仿宋_GB2312" w:hAnsi="宋体" w:cs="宋体"/>
        </w:rPr>
        <w:t>进一步完善符合五华区域特点、行之有效的“基层平安建设管理机制、网格化服务管理机制、打防控一体化联动机制、综治维稳信访联动机制、矛盾纠纷排查化解”五个工作机制，按照社会管理人性化、公共服务均等化、司法服务高效化的要求，以物管小区“三色管理”机制为载体，规范城中村、老旧小区安全管理，规范软硬件设施安全标准，不断提升社区居民安全感、满意度。建立完善“以证管人”、“以业管人”、“以房管人”、“以网管人”相结合的工作机制，积极做好流动人口的服务管理工作。平安社区创建占总数的95%以上，示范平安社区达25%以上。</w:t>
      </w:r>
    </w:p>
    <w:p w14:paraId="15660E74">
      <w:pPr>
        <w:widowControl/>
        <w:snapToGrid w:val="0"/>
        <w:spacing w:line="560" w:lineRule="exact"/>
        <w:ind w:firstLine="689"/>
        <w:jc w:val="left"/>
        <w:rPr>
          <w:rFonts w:hint="eastAsia" w:ascii="楷体_GB2312" w:hAnsi="楷体" w:eastAsia="楷体_GB2312" w:cs="宋体"/>
        </w:rPr>
      </w:pPr>
      <w:r>
        <w:rPr>
          <w:rFonts w:hint="eastAsia" w:ascii="楷体_GB2312" w:hAnsi="楷体" w:eastAsia="楷体_GB2312" w:cs="宋体"/>
        </w:rPr>
        <w:t>（五）提升社区信息化应用能力</w:t>
      </w:r>
    </w:p>
    <w:p w14:paraId="7F4D529D">
      <w:pPr>
        <w:spacing w:line="560" w:lineRule="exact"/>
        <w:ind w:firstLine="643" w:firstLineChars="200"/>
        <w:rPr>
          <w:rFonts w:hint="eastAsia" w:ascii="仿宋_GB2312" w:hAnsi="宋体" w:cs="宋体"/>
        </w:rPr>
      </w:pPr>
      <w:r>
        <w:rPr>
          <w:rFonts w:hint="eastAsia" w:ascii="仿宋_GB2312" w:hAnsi="宋体" w:cs="宋体"/>
          <w:b/>
        </w:rPr>
        <w:t>23．加快智慧</w:t>
      </w:r>
      <w:r>
        <w:rPr>
          <w:rFonts w:ascii="仿宋_GB2312" w:hAnsi="宋体" w:cs="宋体"/>
          <w:b/>
        </w:rPr>
        <w:t>社区</w:t>
      </w:r>
      <w:r>
        <w:rPr>
          <w:rFonts w:hint="eastAsia" w:ascii="仿宋_GB2312" w:hAnsi="宋体" w:cs="宋体"/>
          <w:b/>
        </w:rPr>
        <w:t>建设。</w:t>
      </w:r>
      <w:r>
        <w:rPr>
          <w:rFonts w:ascii="仿宋_GB2312" w:hAnsi="宋体" w:cs="宋体"/>
        </w:rPr>
        <w:t>依托“互联网+政务服务”工程，加快社区公共服务综合信息平台建设，</w:t>
      </w:r>
      <w:r>
        <w:rPr>
          <w:rFonts w:hint="eastAsia" w:ascii="仿宋_GB2312" w:hAnsi="宋体" w:cs="宋体"/>
        </w:rPr>
        <w:t>最大限度集成不同层级、不同部门、分散孤立、用途单一的各类业务信息系统，推动政府公共服务信息数据共享共用，实行信息一次采集、多次使用、多方运用，</w:t>
      </w:r>
      <w:r>
        <w:rPr>
          <w:rFonts w:ascii="仿宋_GB2312" w:hAnsi="宋体" w:cs="宋体"/>
        </w:rPr>
        <w:t>实现一号申请、一窗受理、一网通办</w:t>
      </w:r>
      <w:r>
        <w:rPr>
          <w:rFonts w:hint="eastAsia" w:ascii="仿宋_GB2312" w:hAnsi="宋体" w:cs="宋体"/>
        </w:rPr>
        <w:t>。</w:t>
      </w:r>
      <w:r>
        <w:rPr>
          <w:rFonts w:ascii="仿宋_GB2312" w:hAnsi="宋体" w:cs="宋体"/>
        </w:rPr>
        <w:t>强化“一门式”服务模式的社区应用</w:t>
      </w:r>
      <w:r>
        <w:rPr>
          <w:rFonts w:hint="eastAsia" w:ascii="仿宋_GB2312" w:hAnsi="宋体" w:cs="宋体"/>
        </w:rPr>
        <w:t>，实现社区公共服务事项的一站式受理、全人群覆盖、全口径集成和全区域通办，让居民享受方便、快捷的政务服务。</w:t>
      </w:r>
      <w:r>
        <w:rPr>
          <w:rFonts w:ascii="仿宋_GB2312" w:hAnsi="宋体" w:cs="宋体"/>
        </w:rPr>
        <w:t>实施“互联网+</w:t>
      </w:r>
      <w:r>
        <w:rPr>
          <w:rFonts w:hint="eastAsia" w:ascii="仿宋_GB2312" w:hAnsi="宋体" w:cs="宋体"/>
        </w:rPr>
        <w:t>特色</w:t>
      </w:r>
      <w:r>
        <w:rPr>
          <w:rFonts w:ascii="仿宋_GB2312" w:hAnsi="宋体" w:cs="宋体"/>
        </w:rPr>
        <w:t>社区”行动计划，加快互联网与社区治理服务体系的深度融合，主动吸纳社区社会组织、社区服务企业信息资源，运用社区论坛、微博、微信、移动客户端等新媒体，将社区公共服务、公益服务、志愿服务、市场服务融为一体</w:t>
      </w:r>
      <w:r>
        <w:rPr>
          <w:rFonts w:hint="eastAsia" w:ascii="仿宋_GB2312" w:hAnsi="宋体" w:cs="宋体"/>
        </w:rPr>
        <w:t>，</w:t>
      </w:r>
      <w:r>
        <w:rPr>
          <w:rFonts w:ascii="仿宋_GB2312" w:hAnsi="宋体" w:cs="宋体"/>
        </w:rPr>
        <w:t>引导社区居民密切日常交往、参与公共事务、开展协商活动、组织邻里互助。</w:t>
      </w:r>
    </w:p>
    <w:p w14:paraId="081FE339">
      <w:pPr>
        <w:spacing w:line="560" w:lineRule="exact"/>
        <w:ind w:firstLine="630"/>
        <w:rPr>
          <w:rFonts w:hint="eastAsia" w:ascii="仿宋_GB2312" w:hAnsi="宋体" w:cs="宋体"/>
        </w:rPr>
      </w:pPr>
      <w:r>
        <w:rPr>
          <w:rFonts w:hint="eastAsia" w:ascii="仿宋_GB2312" w:hAnsi="宋体" w:cs="宋体"/>
          <w:b/>
        </w:rPr>
        <w:t>24．</w:t>
      </w:r>
      <w:r>
        <w:rPr>
          <w:rFonts w:ascii="仿宋_GB2312" w:hAnsi="宋体" w:cs="宋体"/>
          <w:b/>
        </w:rPr>
        <w:t>探索网络化社区治理和服务新模式</w:t>
      </w:r>
      <w:r>
        <w:rPr>
          <w:rFonts w:hint="eastAsia" w:ascii="仿宋_GB2312" w:hAnsi="宋体" w:cs="宋体"/>
          <w:b/>
        </w:rPr>
        <w:t>。</w:t>
      </w:r>
      <w:r>
        <w:rPr>
          <w:rFonts w:ascii="仿宋_GB2312" w:hAnsi="宋体" w:cs="宋体"/>
        </w:rPr>
        <w:t>推进城市管理网、社会服务管理网和社会治安网“三网”融合发展。实施“雪亮工程”，加快推进社区公共安全视频监控建设联网应用</w:t>
      </w:r>
      <w:r>
        <w:rPr>
          <w:rFonts w:hint="eastAsia" w:ascii="仿宋_GB2312" w:hAnsi="宋体" w:cs="宋体"/>
        </w:rPr>
        <w:t>。以</w:t>
      </w:r>
      <w:r>
        <w:rPr>
          <w:rFonts w:ascii="仿宋_GB2312" w:hAnsi="宋体" w:cs="宋体"/>
        </w:rPr>
        <w:t>智慧</w:t>
      </w:r>
      <w:r>
        <w:rPr>
          <w:rFonts w:hint="eastAsia" w:ascii="仿宋_GB2312" w:hAnsi="宋体" w:cs="宋体"/>
        </w:rPr>
        <w:t>城市建设为契机</w:t>
      </w:r>
      <w:r>
        <w:rPr>
          <w:rFonts w:ascii="仿宋_GB2312" w:hAnsi="宋体" w:cs="宋体"/>
        </w:rPr>
        <w:t>，</w:t>
      </w:r>
      <w:r>
        <w:rPr>
          <w:rFonts w:hint="eastAsia" w:ascii="仿宋_GB2312" w:hAnsi="宋体" w:cs="宋体"/>
        </w:rPr>
        <w:t>务实</w:t>
      </w:r>
      <w:r>
        <w:rPr>
          <w:rFonts w:ascii="仿宋_GB2312" w:hAnsi="宋体" w:cs="宋体"/>
        </w:rPr>
        <w:t>推进设施智能、服务便捷、管理精细的社区信息系统建设，实现服务项目、资源和信息的多平台交互和多终端同步。</w:t>
      </w:r>
      <w:r>
        <w:rPr>
          <w:rFonts w:hint="eastAsia" w:ascii="仿宋_GB2312" w:hAnsi="宋体" w:cs="宋体"/>
        </w:rPr>
        <w:t>以信息平台为载体，引导社区居民探索网上民主评议、民主协商和居务公开。推进智慧养老，建设高品质的社区居家养老项目，为老年人提供温馨周到的服务，实现社区服务线上线下有效融合。</w:t>
      </w:r>
      <w:r>
        <w:rPr>
          <w:rFonts w:ascii="仿宋_GB2312" w:hAnsi="宋体" w:cs="宋体"/>
        </w:rPr>
        <w:t>加强</w:t>
      </w:r>
      <w:r>
        <w:rPr>
          <w:rFonts w:hint="eastAsia" w:ascii="仿宋_GB2312" w:hAnsi="宋体" w:cs="宋体"/>
        </w:rPr>
        <w:t>涉农</w:t>
      </w:r>
      <w:r>
        <w:rPr>
          <w:rFonts w:ascii="仿宋_GB2312" w:hAnsi="宋体" w:cs="宋体"/>
        </w:rPr>
        <w:t>社区信息化建设，结合</w:t>
      </w:r>
      <w:r>
        <w:rPr>
          <w:rFonts w:hint="eastAsia" w:ascii="仿宋_GB2312" w:hAnsi="宋体" w:cs="宋体"/>
        </w:rPr>
        <w:t>光纤宽带进</w:t>
      </w:r>
      <w:r>
        <w:rPr>
          <w:rFonts w:ascii="仿宋_GB2312" w:hAnsi="宋体" w:cs="宋体"/>
        </w:rPr>
        <w:t>村入户和电子商务进农村综合示范</w:t>
      </w:r>
      <w:r>
        <w:rPr>
          <w:rFonts w:hint="eastAsia" w:ascii="仿宋_GB2312" w:hAnsi="宋体" w:cs="宋体"/>
        </w:rPr>
        <w:t>工作</w:t>
      </w:r>
      <w:r>
        <w:rPr>
          <w:rFonts w:ascii="仿宋_GB2312" w:hAnsi="宋体" w:cs="宋体"/>
        </w:rPr>
        <w:t>，积极发展农产品销售等农</w:t>
      </w:r>
      <w:r>
        <w:rPr>
          <w:rFonts w:hint="eastAsia" w:ascii="仿宋_GB2312" w:hAnsi="宋体" w:cs="宋体"/>
        </w:rPr>
        <w:t>村居民</w:t>
      </w:r>
      <w:r>
        <w:rPr>
          <w:rFonts w:ascii="仿宋_GB2312" w:hAnsi="宋体" w:cs="宋体"/>
        </w:rPr>
        <w:t>致富服务项目，</w:t>
      </w:r>
      <w:r>
        <w:rPr>
          <w:rFonts w:hint="eastAsia" w:ascii="仿宋_GB2312" w:hAnsi="宋体" w:cs="宋体"/>
        </w:rPr>
        <w:t>扩大农产品销售渠道，增加居民收入</w:t>
      </w:r>
      <w:r>
        <w:rPr>
          <w:rFonts w:ascii="仿宋_GB2312" w:hAnsi="宋体" w:cs="宋体"/>
        </w:rPr>
        <w:t>。</w:t>
      </w:r>
    </w:p>
    <w:p w14:paraId="5384BF65">
      <w:pPr>
        <w:spacing w:line="560" w:lineRule="exact"/>
        <w:ind w:firstLine="640" w:firstLineChars="200"/>
        <w:rPr>
          <w:rFonts w:hint="eastAsia" w:ascii="黑体" w:hAnsi="黑体" w:eastAsia="黑体" w:cs="宋体"/>
        </w:rPr>
      </w:pPr>
      <w:r>
        <w:rPr>
          <w:rFonts w:hint="eastAsia" w:ascii="黑体" w:hAnsi="黑体" w:eastAsia="黑体" w:cs="宋体"/>
        </w:rPr>
        <w:t>四、着力补齐社区治理短板</w:t>
      </w:r>
    </w:p>
    <w:p w14:paraId="6F8A162B">
      <w:pPr>
        <w:widowControl/>
        <w:snapToGrid w:val="0"/>
        <w:spacing w:line="560" w:lineRule="exact"/>
        <w:ind w:firstLine="689"/>
        <w:jc w:val="left"/>
        <w:rPr>
          <w:rFonts w:hint="eastAsia" w:ascii="楷体_GB2312" w:hAnsi="楷体" w:eastAsia="楷体_GB2312" w:cs="宋体"/>
        </w:rPr>
      </w:pPr>
      <w:r>
        <w:rPr>
          <w:rFonts w:hint="eastAsia" w:ascii="楷体_GB2312" w:hAnsi="楷体" w:eastAsia="楷体_GB2312" w:cs="宋体"/>
        </w:rPr>
        <w:t>（一）改善社区人居环境</w:t>
      </w:r>
    </w:p>
    <w:p w14:paraId="39413C3A">
      <w:pPr>
        <w:spacing w:line="560" w:lineRule="exact"/>
        <w:ind w:firstLine="643" w:firstLineChars="200"/>
        <w:rPr>
          <w:rFonts w:hint="eastAsia" w:ascii="仿宋_GB2312" w:hAnsi="宋体" w:cs="宋体"/>
        </w:rPr>
      </w:pPr>
      <w:r>
        <w:rPr>
          <w:rFonts w:hint="eastAsia" w:ascii="仿宋_GB2312" w:hAnsi="宋体" w:cs="宋体"/>
          <w:b/>
        </w:rPr>
        <w:t>25．持续开展社区人居环境提升行动。</w:t>
      </w:r>
      <w:r>
        <w:rPr>
          <w:rFonts w:hint="eastAsia" w:ascii="仿宋_GB2312" w:hAnsi="宋体" w:cs="宋体"/>
        </w:rPr>
        <w:t>以城市“四治三改一拆一增”和农村“七改三清”为重点，结合昆明市“四创两争”工作，大力实施城市社区绿化、美化、净化、亮化工程，实施门前三包、违规占道、车辆乱停、违法建设等综合整治，推行“街（路）长制”管理。着力解决涉农社区垃圾收集、污水排放、散埋乱葬、建房合理布局等问题，加快农村散居院落及新型农民集中居住区环境综合整治和城郊结合部环境连片整治，解决“脏、乱、差、破、暗”等问题。强化社区风险防范预案管理，有序组织开展社区应对突发事件应急演练，提高对自然灾害、事故灾难、公共卫生事件、社会安全事件的预防和处置能力。广泛动员和发动居民群众和驻社区机关企事业单位参与人居环境综合整治工作，建设资源节约型、环境友好型社区。</w:t>
      </w:r>
    </w:p>
    <w:p w14:paraId="52297798">
      <w:pPr>
        <w:spacing w:line="560" w:lineRule="exact"/>
        <w:ind w:firstLine="645"/>
        <w:rPr>
          <w:rFonts w:hint="eastAsia" w:ascii="仿宋_GB2312" w:hAnsi="宋体" w:cs="宋体"/>
        </w:rPr>
      </w:pPr>
      <w:r>
        <w:rPr>
          <w:rFonts w:hint="eastAsia" w:ascii="仿宋_GB2312" w:hAnsi="宋体" w:cs="宋体"/>
          <w:b/>
        </w:rPr>
        <w:t>26．</w:t>
      </w:r>
      <w:r>
        <w:rPr>
          <w:rFonts w:ascii="仿宋_GB2312" w:hAnsi="宋体" w:cs="宋体"/>
          <w:b/>
        </w:rPr>
        <w:t>破解老旧小区各类难点问题。</w:t>
      </w:r>
      <w:r>
        <w:rPr>
          <w:rFonts w:ascii="仿宋_GB2312" w:hAnsi="宋体" w:cs="宋体"/>
        </w:rPr>
        <w:t>围绕改善社区基础设施和服务设施，着力解决</w:t>
      </w:r>
      <w:r>
        <w:rPr>
          <w:rFonts w:hint="eastAsia" w:ascii="仿宋_GB2312" w:hAnsi="宋体" w:cs="宋体"/>
        </w:rPr>
        <w:t>老旧居民区</w:t>
      </w:r>
      <w:r>
        <w:rPr>
          <w:rFonts w:ascii="仿宋_GB2312" w:hAnsi="宋体" w:cs="宋体"/>
        </w:rPr>
        <w:t>民生服务、社区物业、社区治安</w:t>
      </w:r>
      <w:r>
        <w:rPr>
          <w:rFonts w:hint="eastAsia" w:ascii="仿宋_GB2312" w:hAnsi="宋体" w:cs="宋体"/>
        </w:rPr>
        <w:t>、电梯加装</w:t>
      </w:r>
      <w:r>
        <w:rPr>
          <w:rFonts w:ascii="仿宋_GB2312" w:hAnsi="宋体" w:cs="宋体"/>
        </w:rPr>
        <w:t>等问题。</w:t>
      </w:r>
      <w:r>
        <w:rPr>
          <w:rFonts w:hint="eastAsia" w:ascii="仿宋_GB2312" w:hAnsi="宋体" w:cs="宋体"/>
        </w:rPr>
        <w:t>区政府每年安排专项资金用于环境综合整治和U型断面提升改造，从</w:t>
      </w:r>
      <w:r>
        <w:rPr>
          <w:rFonts w:ascii="仿宋_GB2312" w:hAnsi="宋体" w:cs="宋体"/>
        </w:rPr>
        <w:t>提高群众幸福感、获得感入手，开展微循环、停车难综合改造、公共服务完善</w:t>
      </w:r>
      <w:r>
        <w:rPr>
          <w:rFonts w:hint="eastAsia" w:ascii="仿宋_GB2312" w:hAnsi="宋体" w:cs="宋体"/>
        </w:rPr>
        <w:t>等</w:t>
      </w:r>
      <w:r>
        <w:rPr>
          <w:rFonts w:ascii="仿宋_GB2312" w:hAnsi="宋体" w:cs="宋体"/>
        </w:rPr>
        <w:t>试点工作</w:t>
      </w:r>
      <w:r>
        <w:rPr>
          <w:rFonts w:hint="eastAsia" w:ascii="仿宋_GB2312" w:hAnsi="宋体" w:cs="宋体"/>
        </w:rPr>
        <w:t xml:space="preserve">,解决小区停车、治安、卫生、维修等问题。对于以出租为主的老旧小区，要加强服务管理工作，加强对流动人口的人文关怀，促进区内外就业创业者、常住人员与户籍人口基本公共服务均等化。要将流动人口纳入社区协商主体，拓展流动人口有序参与居住地社区治理渠道，丰富流动人口社区生活，促进流动人口社区融入，让不同民族、不同乡音、不同肤色、不同职业的人在社区和谐共融。探索流动人口自我管理、自我服务、自我教育的创新模式，推动流动人口社群治理。 </w:t>
      </w:r>
    </w:p>
    <w:p w14:paraId="2D6EE69C">
      <w:pPr>
        <w:widowControl/>
        <w:snapToGrid w:val="0"/>
        <w:spacing w:line="560" w:lineRule="exact"/>
        <w:ind w:firstLine="689"/>
        <w:jc w:val="left"/>
        <w:rPr>
          <w:rFonts w:hint="eastAsia" w:ascii="楷体_GB2312" w:hAnsi="楷体" w:eastAsia="楷体_GB2312" w:cs="宋体"/>
        </w:rPr>
      </w:pPr>
      <w:r>
        <w:rPr>
          <w:rFonts w:hint="eastAsia" w:ascii="楷体_GB2312" w:hAnsi="楷体" w:eastAsia="楷体_GB2312" w:cs="宋体"/>
        </w:rPr>
        <w:t xml:space="preserve">（二）加快社区综合服务设施建设 </w:t>
      </w:r>
    </w:p>
    <w:p w14:paraId="377CB79B">
      <w:pPr>
        <w:spacing w:line="560" w:lineRule="exact"/>
        <w:ind w:firstLine="640"/>
        <w:rPr>
          <w:rFonts w:hint="eastAsia" w:ascii="仿宋_GB2312" w:hAnsi="宋体" w:cs="宋体"/>
          <w:shd w:val="pct15" w:color="auto" w:fill="FFFFFF"/>
        </w:rPr>
      </w:pPr>
      <w:r>
        <w:rPr>
          <w:rFonts w:hint="eastAsia" w:ascii="仿宋_GB2312" w:hAnsi="宋体" w:cs="宋体"/>
          <w:b/>
        </w:rPr>
        <w:t>27．逐步实现社区综合服务设施全覆盖。</w:t>
      </w:r>
      <w:r>
        <w:rPr>
          <w:rFonts w:ascii="仿宋_GB2312" w:hAnsi="宋体" w:cs="宋体"/>
        </w:rPr>
        <w:t>按照每百户居民拥有综合服务设施面积不低于30平方米的标准，以新建、改造、购买、项目配套和整合</w:t>
      </w:r>
      <w:r>
        <w:rPr>
          <w:rFonts w:hint="eastAsia" w:ascii="仿宋_GB2312" w:hAnsi="宋体" w:cs="宋体"/>
        </w:rPr>
        <w:t>驻区单位资源</w:t>
      </w:r>
      <w:r>
        <w:rPr>
          <w:rFonts w:ascii="仿宋_GB2312" w:hAnsi="宋体" w:cs="宋体"/>
        </w:rPr>
        <w:t>共享等形式，实现社区综合服务设施全覆盖。</w:t>
      </w:r>
      <w:r>
        <w:rPr>
          <w:rFonts w:hint="eastAsia" w:ascii="仿宋_GB2312" w:hAnsi="宋体" w:cs="宋体"/>
        </w:rPr>
        <w:t>除国家另有规定外，所有以社区居民为对象的公共服务、志愿服务、专业社会工作服务，原则上在社区综合服务设施中提供。按照“办公区域最小化，活动空间最大化”的原则，</w:t>
      </w:r>
      <w:r>
        <w:rPr>
          <w:rFonts w:ascii="仿宋_GB2312" w:hAnsi="宋体" w:cs="宋体"/>
        </w:rPr>
        <w:t>开展社区</w:t>
      </w:r>
      <w:r>
        <w:rPr>
          <w:rFonts w:hint="eastAsia" w:ascii="仿宋_GB2312" w:hAnsi="宋体" w:cs="宋体"/>
        </w:rPr>
        <w:t>基础设施标准化、</w:t>
      </w:r>
      <w:r>
        <w:rPr>
          <w:rFonts w:ascii="仿宋_GB2312" w:hAnsi="宋体" w:cs="宋体"/>
        </w:rPr>
        <w:t>规范化建设</w:t>
      </w:r>
      <w:r>
        <w:rPr>
          <w:rFonts w:hint="eastAsia" w:ascii="仿宋_GB2312" w:hAnsi="宋体" w:cs="宋体"/>
        </w:rPr>
        <w:t>。</w:t>
      </w:r>
      <w:r>
        <w:rPr>
          <w:rFonts w:ascii="仿宋_GB2312" w:hAnsi="宋体" w:cs="宋体"/>
        </w:rPr>
        <w:t>加大社区公共服务基础设施的投入，深入推进社区办公用房及活动场所</w:t>
      </w:r>
      <w:r>
        <w:rPr>
          <w:rFonts w:hint="eastAsia" w:ascii="仿宋_GB2312" w:hAnsi="宋体" w:cs="宋体"/>
        </w:rPr>
        <w:t>用房</w:t>
      </w:r>
      <w:r>
        <w:rPr>
          <w:rFonts w:ascii="仿宋_GB2312" w:hAnsi="宋体" w:cs="宋体"/>
        </w:rPr>
        <w:t>达标</w:t>
      </w:r>
      <w:r>
        <w:rPr>
          <w:rFonts w:hint="eastAsia" w:ascii="仿宋_GB2312" w:hAnsi="宋体" w:cs="宋体"/>
        </w:rPr>
        <w:t>。</w:t>
      </w:r>
      <w:r>
        <w:rPr>
          <w:rFonts w:ascii="仿宋_GB2312" w:hAnsi="宋体" w:cs="宋体"/>
        </w:rPr>
        <w:t>加强对社区公共服务基础设施的使用管理，</w:t>
      </w:r>
      <w:r>
        <w:rPr>
          <w:rFonts w:hint="eastAsia" w:ascii="仿宋_GB2312" w:hAnsi="宋体" w:cs="宋体"/>
        </w:rPr>
        <w:t>充分发挥居民议事会等平台，提供居民对社区公共服务设施的设计与使用，增强居民获得感。</w:t>
      </w:r>
      <w:r>
        <w:rPr>
          <w:rFonts w:ascii="仿宋_GB2312" w:hAnsi="宋体" w:cs="宋体"/>
        </w:rPr>
        <w:t>采取多功能多用途的办法，完善办理公共事务、组织居民活动、开展社区服务等功能，最大限度地发挥社区服务设施的综合效益。从颜色、标识、门头、挂牌</w:t>
      </w:r>
      <w:r>
        <w:rPr>
          <w:rFonts w:hint="eastAsia" w:ascii="仿宋_GB2312" w:hAnsi="宋体" w:cs="宋体"/>
        </w:rPr>
        <w:t>等</w:t>
      </w:r>
      <w:r>
        <w:rPr>
          <w:rFonts w:ascii="仿宋_GB2312" w:hAnsi="宋体" w:cs="宋体"/>
        </w:rPr>
        <w:t>方面，</w:t>
      </w:r>
      <w:r>
        <w:rPr>
          <w:rFonts w:hint="eastAsia" w:ascii="仿宋_GB2312" w:hAnsi="宋体" w:cs="宋体"/>
        </w:rPr>
        <w:t>逐步</w:t>
      </w:r>
      <w:r>
        <w:rPr>
          <w:rFonts w:ascii="仿宋_GB2312" w:hAnsi="宋体" w:cs="宋体"/>
        </w:rPr>
        <w:t>统一社区办公用房和活动场所外观形象</w:t>
      </w:r>
      <w:r>
        <w:rPr>
          <w:rFonts w:hint="eastAsia" w:ascii="仿宋_GB2312" w:hAnsi="宋体" w:cs="宋体"/>
        </w:rPr>
        <w:t>、</w:t>
      </w:r>
      <w:r>
        <w:rPr>
          <w:rFonts w:ascii="仿宋_GB2312" w:hAnsi="宋体" w:cs="宋体"/>
        </w:rPr>
        <w:t>建设标准</w:t>
      </w:r>
      <w:r>
        <w:rPr>
          <w:rFonts w:hint="eastAsia" w:ascii="仿宋_GB2312" w:hAnsi="宋体" w:cs="宋体"/>
        </w:rPr>
        <w:t>、</w:t>
      </w:r>
      <w:r>
        <w:rPr>
          <w:rFonts w:ascii="仿宋_GB2312" w:hAnsi="宋体" w:cs="宋体"/>
        </w:rPr>
        <w:t>功能划分。</w:t>
      </w:r>
      <w:r>
        <w:rPr>
          <w:rFonts w:hint="eastAsia" w:ascii="仿宋_GB2312" w:hAnsi="宋体" w:cs="宋体"/>
        </w:rPr>
        <w:t>对设置不合理的社区公共服务设施进行清理、置换或重置，做到便民而不扰民。</w:t>
      </w:r>
    </w:p>
    <w:p w14:paraId="753311BA">
      <w:pPr>
        <w:spacing w:line="560" w:lineRule="exact"/>
        <w:ind w:firstLine="640"/>
        <w:rPr>
          <w:rFonts w:ascii="仿宋_GB2312" w:hAnsi="仿宋" w:cs="宋体"/>
        </w:rPr>
      </w:pPr>
      <w:r>
        <w:rPr>
          <w:rFonts w:hint="eastAsia" w:ascii="仿宋_GB2312" w:hAnsi="宋体" w:cs="宋体"/>
          <w:b/>
        </w:rPr>
        <w:t>28．完善社区为民服务平台建设。</w:t>
      </w:r>
      <w:r>
        <w:rPr>
          <w:rFonts w:hint="eastAsia" w:ascii="仿宋_GB2312" w:hAnsi="宋体" w:cs="宋体"/>
        </w:rPr>
        <w:t>按照服务区域相对集中、服务户数相对适当、资源配置相对合理的原则，试点对地域相近的社区为民服务站进行有机整合，对社区为民服务站窗口进行优化设置。社区为民服务站岗位由街道办事处根据服务区域大小和服务人群需求多少，在街道现有核定的社区工作者职数内自行核定，原则上</w:t>
      </w:r>
      <w:r>
        <w:rPr>
          <w:rFonts w:ascii="仿宋_GB2312" w:hAnsi="宋体" w:cs="宋体"/>
        </w:rPr>
        <w:t>每个社区</w:t>
      </w:r>
      <w:r>
        <w:rPr>
          <w:rFonts w:hint="eastAsia" w:ascii="仿宋_GB2312" w:hAnsi="宋体" w:cs="宋体"/>
        </w:rPr>
        <w:t>为民服务站</w:t>
      </w:r>
      <w:r>
        <w:rPr>
          <w:rFonts w:ascii="仿宋_GB2312" w:hAnsi="宋体" w:cs="宋体"/>
        </w:rPr>
        <w:t>设立2</w:t>
      </w:r>
      <w:r>
        <w:rPr>
          <w:rFonts w:hint="eastAsia" w:ascii="仿宋_GB2312" w:hAnsi="宋体" w:cs="宋体"/>
        </w:rPr>
        <w:t>—</w:t>
      </w:r>
      <w:r>
        <w:rPr>
          <w:rFonts w:ascii="仿宋_GB2312" w:hAnsi="宋体" w:cs="宋体"/>
        </w:rPr>
        <w:t>3个综合业务受理窗口</w:t>
      </w:r>
      <w:r>
        <w:rPr>
          <w:rFonts w:hint="eastAsia" w:ascii="仿宋_GB2312" w:hAnsi="宋体" w:cs="宋体"/>
        </w:rPr>
        <w:t>（集中办理业务高峰时根据需要增加临时窗口）。通过缩减社区行政事务受理窗口，减少固定窗口和固定工位，采用“走动式”、“搜索式”工作法，深入辖区、深入网格、深入群众，按照“人到格中去，事在网中办”的思路履职守责，将工作重心转向政策咨询、服务向导、了解民情、反映</w:t>
      </w:r>
      <w:r>
        <w:rPr>
          <w:rFonts w:hint="eastAsia" w:ascii="仿宋_GB2312" w:hAnsi="仿宋"/>
        </w:rPr>
        <w:t>诉求和组织开展公益服务、居民自我服务等方面，从根本上拉近党和政府与人民群众之间的距离，提高社区活动知晓率和社区工作满意度。</w:t>
      </w:r>
    </w:p>
    <w:p w14:paraId="3C4F446E">
      <w:pPr>
        <w:widowControl/>
        <w:snapToGrid w:val="0"/>
        <w:spacing w:line="560" w:lineRule="exact"/>
        <w:ind w:firstLine="689"/>
        <w:jc w:val="left"/>
        <w:rPr>
          <w:rFonts w:hint="eastAsia" w:ascii="楷体_GB2312" w:hAnsi="楷体" w:eastAsia="楷体_GB2312" w:cs="宋体"/>
        </w:rPr>
      </w:pPr>
      <w:r>
        <w:rPr>
          <w:rFonts w:hint="eastAsia" w:ascii="楷体_GB2312" w:hAnsi="楷体" w:eastAsia="楷体_GB2312" w:cs="宋体"/>
        </w:rPr>
        <w:t>（三）改进社区物业服务管理</w:t>
      </w:r>
    </w:p>
    <w:p w14:paraId="0FB31461">
      <w:pPr>
        <w:spacing w:line="560" w:lineRule="exact"/>
        <w:ind w:firstLine="645"/>
        <w:rPr>
          <w:rFonts w:hint="eastAsia" w:ascii="仿宋_GB2312" w:hAnsi="宋体" w:cs="宋体"/>
        </w:rPr>
      </w:pPr>
      <w:r>
        <w:rPr>
          <w:rFonts w:hint="eastAsia" w:ascii="仿宋_GB2312" w:hAnsi="宋体" w:cs="宋体"/>
          <w:b/>
        </w:rPr>
        <w:t>29．加强指导和监督工作。</w:t>
      </w:r>
      <w:r>
        <w:rPr>
          <w:rFonts w:hint="eastAsia" w:ascii="仿宋_GB2312" w:hAnsi="宋体" w:cs="宋体"/>
        </w:rPr>
        <w:t>社区居民委员会要协助住建部门、街道办事处，指导辖区住宅小区依法依规组建业主委员会，引导业主协商制定物业管理规约、议事规则、资金管理办法等，促进业委会和物业公司依法运行。要</w:t>
      </w:r>
      <w:r>
        <w:rPr>
          <w:rFonts w:ascii="仿宋_GB2312" w:hAnsi="宋体" w:cs="宋体"/>
        </w:rPr>
        <w:t>建立健全社区党组织、社区居民委员会、业主委员会和物业服务企业协调机制，</w:t>
      </w:r>
      <w:r>
        <w:rPr>
          <w:rFonts w:hint="eastAsia" w:ascii="仿宋_GB2312" w:hAnsi="宋体" w:cs="宋体"/>
        </w:rPr>
        <w:t>探索符合条件的社区居委会成员通过法定程序兼任业主委员会成员，推动物业服务等纠纷化解。</w:t>
      </w:r>
      <w:r>
        <w:rPr>
          <w:rFonts w:ascii="仿宋_GB2312" w:hAnsi="宋体" w:cs="宋体"/>
        </w:rPr>
        <w:t>引导业主通过居民自治和民主协商的方式，探索通过公共财政支持、产权单位分担、业主自觉缴纳物业费、社会资金资助等渠道，加快推进</w:t>
      </w:r>
      <w:r>
        <w:rPr>
          <w:rFonts w:hint="eastAsia" w:ascii="仿宋_GB2312" w:hAnsi="宋体" w:cs="宋体"/>
        </w:rPr>
        <w:t>小区综合</w:t>
      </w:r>
      <w:r>
        <w:rPr>
          <w:rFonts w:ascii="仿宋_GB2312" w:hAnsi="宋体" w:cs="宋体"/>
        </w:rPr>
        <w:t>整治改造，尽快实现物业管理全覆盖。</w:t>
      </w:r>
      <w:r>
        <w:rPr>
          <w:rFonts w:hint="eastAsia" w:ascii="仿宋_GB2312" w:hAnsi="宋体" w:cs="宋体"/>
        </w:rPr>
        <w:t>要加强业主委员会成员培训，提高他们的履职能力。业主委员会要自觉接受社区居民委员会的指导和监督，依法维护业主的合法权益。社区居民委员会要指导业主委员会依照有关规定，建立物业公司引进、调整、退出机制。物业公司要自觉接受社区居民委员会的指导和业主委员会的监督。积极推行物业公司等级评定活动，物业公司要认真执行与等级评定标准相适应的服务和收费标准，不断提高服务质量。</w:t>
      </w:r>
    </w:p>
    <w:p w14:paraId="481317F9">
      <w:pPr>
        <w:spacing w:line="560" w:lineRule="exact"/>
        <w:ind w:firstLine="640"/>
        <w:rPr>
          <w:rFonts w:hint="eastAsia" w:ascii="仿宋_GB2312" w:hAnsi="宋体" w:cs="宋体"/>
        </w:rPr>
      </w:pPr>
      <w:r>
        <w:rPr>
          <w:rFonts w:hint="eastAsia" w:ascii="仿宋_GB2312" w:hAnsi="宋体" w:cs="宋体"/>
          <w:b/>
        </w:rPr>
        <w:t>30．推行准物业管理方式。</w:t>
      </w:r>
      <w:r>
        <w:rPr>
          <w:rFonts w:hint="eastAsia" w:ascii="仿宋_GB2312" w:hAnsi="宋体" w:cs="宋体"/>
        </w:rPr>
        <w:t>无物业管理的老旧小区，要积极创造条件引进物业管理，暂时不具备实行物业管理条件的老旧小区,要积极探索依靠自治力量，通过委托代管、购买服务、自我管理等方式实行准物业管理，切实解决老旧小区环境脏乱差的问题。探索涉农</w:t>
      </w:r>
      <w:r>
        <w:rPr>
          <w:rFonts w:ascii="仿宋_GB2312" w:hAnsi="宋体" w:cs="宋体"/>
        </w:rPr>
        <w:t>社区物业管理</w:t>
      </w:r>
      <w:r>
        <w:rPr>
          <w:rFonts w:hint="eastAsia" w:ascii="仿宋_GB2312" w:hAnsi="宋体" w:cs="宋体"/>
        </w:rPr>
        <w:t>规范</w:t>
      </w:r>
      <w:r>
        <w:rPr>
          <w:rFonts w:ascii="仿宋_GB2312" w:hAnsi="宋体" w:cs="宋体"/>
        </w:rPr>
        <w:t>，</w:t>
      </w:r>
      <w:r>
        <w:rPr>
          <w:rFonts w:hint="eastAsia" w:ascii="仿宋_GB2312" w:hAnsi="宋体" w:cs="宋体"/>
        </w:rPr>
        <w:t>研究制定</w:t>
      </w:r>
      <w:r>
        <w:rPr>
          <w:rFonts w:ascii="仿宋_GB2312" w:hAnsi="宋体" w:cs="宋体"/>
        </w:rPr>
        <w:t>物业管理费管理办法</w:t>
      </w:r>
      <w:r>
        <w:rPr>
          <w:rFonts w:hint="eastAsia" w:ascii="仿宋_GB2312" w:hAnsi="宋体" w:cs="宋体"/>
        </w:rPr>
        <w:t>。</w:t>
      </w:r>
      <w:r>
        <w:rPr>
          <w:rFonts w:ascii="仿宋_GB2312" w:hAnsi="宋体" w:cs="宋体"/>
        </w:rPr>
        <w:t>探索在农村社区选聘物业服务企业，提供社区物业服务。</w:t>
      </w:r>
    </w:p>
    <w:p w14:paraId="0DDAF96F">
      <w:pPr>
        <w:widowControl/>
        <w:spacing w:line="560" w:lineRule="exact"/>
        <w:ind w:firstLine="689"/>
        <w:jc w:val="left"/>
        <w:rPr>
          <w:rFonts w:hint="eastAsia" w:ascii="黑体" w:hAnsi="黑体" w:eastAsia="黑体" w:cs="宋体"/>
        </w:rPr>
      </w:pPr>
      <w:r>
        <w:rPr>
          <w:rFonts w:hint="eastAsia" w:ascii="黑体" w:hAnsi="黑体" w:eastAsia="黑体" w:cs="宋体"/>
        </w:rPr>
        <w:t>五、保障措施</w:t>
      </w:r>
    </w:p>
    <w:p w14:paraId="6F7CA9E4">
      <w:pPr>
        <w:widowControl/>
        <w:snapToGrid w:val="0"/>
        <w:spacing w:line="560" w:lineRule="exact"/>
        <w:ind w:firstLine="689"/>
        <w:jc w:val="left"/>
        <w:rPr>
          <w:rFonts w:hint="eastAsia" w:ascii="楷体_GB2312" w:hAnsi="楷体" w:eastAsia="楷体_GB2312" w:cs="宋体"/>
        </w:rPr>
      </w:pPr>
      <w:r>
        <w:rPr>
          <w:rFonts w:hint="eastAsia" w:ascii="楷体_GB2312" w:hAnsi="楷体" w:eastAsia="楷体_GB2312" w:cs="宋体"/>
        </w:rPr>
        <w:t>（一）完善领导体制和工作机制</w:t>
      </w:r>
    </w:p>
    <w:p w14:paraId="50771D0A">
      <w:pPr>
        <w:widowControl/>
        <w:snapToGrid w:val="0"/>
        <w:spacing w:line="560" w:lineRule="exact"/>
        <w:ind w:firstLine="689"/>
        <w:jc w:val="left"/>
        <w:rPr>
          <w:rFonts w:hint="eastAsia" w:ascii="楷体" w:hAnsi="楷体" w:eastAsia="楷体" w:cs="宋体"/>
        </w:rPr>
      </w:pPr>
      <w:r>
        <w:rPr>
          <w:rFonts w:hint="eastAsia" w:ascii="仿宋_GB2312" w:hAnsi="宋体" w:cs="宋体"/>
        </w:rPr>
        <w:t>要把社区治理工作纳入重要议事日程，进一步完善党委领导、政府负责、相关部门密切配合，社会力量广泛参与的社区治理机制。成立由区委书记任组长的五华区社区治理工作领导小组，高位统筹全区社区治理各项工作。各成员单位要根据任务分工，加强协同配合，结合部门职能认真研究推进社区治理的办法措施，在资金支持、项目开发、基础设施建设等方面加大对社区的扶持力度，共同推进社区治理。街道党工委书记要履行好直接责任人职责。要把社区治理工作纳入党政领导班子和领导干部政绩考核指标体系，纳入街道党工委书记抓基层党建工作述职评议考核。</w:t>
      </w:r>
    </w:p>
    <w:p w14:paraId="42A82EA9">
      <w:pPr>
        <w:widowControl/>
        <w:snapToGrid w:val="0"/>
        <w:spacing w:line="560" w:lineRule="exact"/>
        <w:ind w:firstLine="689"/>
        <w:jc w:val="left"/>
        <w:rPr>
          <w:rFonts w:hint="eastAsia" w:ascii="楷体_GB2312" w:hAnsi="楷体" w:eastAsia="楷体_GB2312" w:cs="宋体"/>
        </w:rPr>
      </w:pPr>
      <w:r>
        <w:rPr>
          <w:rFonts w:hint="eastAsia" w:ascii="楷体_GB2312" w:hAnsi="楷体" w:eastAsia="楷体_GB2312" w:cs="宋体"/>
        </w:rPr>
        <w:t>（二）强化社区治理财力保障</w:t>
      </w:r>
    </w:p>
    <w:p w14:paraId="06631DAC">
      <w:pPr>
        <w:widowControl/>
        <w:snapToGrid w:val="0"/>
        <w:spacing w:line="560" w:lineRule="exact"/>
        <w:ind w:firstLine="689"/>
        <w:jc w:val="left"/>
        <w:rPr>
          <w:rFonts w:hint="eastAsia" w:ascii="仿宋_GB2312" w:hAnsi="宋体" w:cs="宋体"/>
        </w:rPr>
      </w:pPr>
      <w:r>
        <w:rPr>
          <w:rFonts w:hint="eastAsia" w:ascii="仿宋_GB2312" w:hAnsi="宋体" w:cs="宋体"/>
        </w:rPr>
        <w:t>要将社区基础设施建设和运转经费、人员报酬、社会力量购买社区服务资金纳入财政预算，建立以政府财政投入为主，政府与社会相结合的社区治理多元化投入机制。街道要统筹管好用好各部门投入社区的资金，提高资金使用效率。鼓励街道依据实际需求，采用项目化方式，自主购买社会工作服务机构在社区的服务项目。进一步规范社区党组织服务群众专项经费的使用，使其能够发挥最大的社会效益。要不断拓宽社区治理资金筹集渠道，引导社会资金投向社区治理领域。积极鼓励社会投入，探索建立政府投入与民间投入相结合、无偿服务与有偿服务相结合、社会化与产业化相结合的社区公共事业投入和发展机制，支持各类组织、企业和个人开展形式多样的社区服务。创新社区治理资金使用机制，有序引导居民群众参与确定资金使用方向和服务项目，全过程监督服务项目实施和资金使用。</w:t>
      </w:r>
    </w:p>
    <w:p w14:paraId="75DDE926">
      <w:pPr>
        <w:widowControl/>
        <w:snapToGrid w:val="0"/>
        <w:spacing w:line="560" w:lineRule="exact"/>
        <w:ind w:firstLine="689"/>
        <w:jc w:val="left"/>
        <w:rPr>
          <w:rFonts w:hint="eastAsia" w:ascii="楷体_GB2312" w:hAnsi="宋体" w:eastAsia="楷体_GB2312" w:cs="宋体"/>
        </w:rPr>
      </w:pPr>
      <w:r>
        <w:rPr>
          <w:rFonts w:hint="eastAsia" w:ascii="楷体_GB2312" w:hAnsi="楷体" w:eastAsia="楷体_GB2312" w:cs="宋体"/>
        </w:rPr>
        <w:t>（三）加强社区工作者队伍建设</w:t>
      </w:r>
    </w:p>
    <w:p w14:paraId="470F5E42">
      <w:pPr>
        <w:widowControl/>
        <w:snapToGrid w:val="0"/>
        <w:spacing w:line="560" w:lineRule="exact"/>
        <w:ind w:firstLine="689"/>
        <w:jc w:val="left"/>
        <w:rPr>
          <w:rFonts w:hint="eastAsia" w:ascii="仿宋_GB2312" w:hAnsi="宋体" w:cs="宋体"/>
        </w:rPr>
      </w:pPr>
      <w:r>
        <w:rPr>
          <w:rFonts w:hint="eastAsia" w:ascii="仿宋_GB2312" w:hAnsi="宋体" w:cs="宋体"/>
        </w:rPr>
        <w:t>进一步完善《五华区社区工作者管理办法》和《五华区社区工作者绩效考核指导意见》，努力建设一支素质优良、作风过硬的专业化社区工作者队伍。加强社区带头人队伍建设，</w:t>
      </w:r>
      <w:r>
        <w:rPr>
          <w:rFonts w:ascii="仿宋_GB2312" w:hAnsi="宋体" w:cs="宋体"/>
        </w:rPr>
        <w:t>选优配强社区党组织</w:t>
      </w:r>
      <w:r>
        <w:rPr>
          <w:rFonts w:hint="eastAsia" w:ascii="仿宋_GB2312" w:hAnsi="宋体" w:cs="宋体"/>
        </w:rPr>
        <w:t>书记</w:t>
      </w:r>
      <w:r>
        <w:rPr>
          <w:rFonts w:ascii="仿宋_GB2312" w:hAnsi="宋体" w:cs="宋体"/>
        </w:rPr>
        <w:t>、居委会</w:t>
      </w:r>
      <w:r>
        <w:rPr>
          <w:rFonts w:hint="eastAsia" w:ascii="仿宋_GB2312" w:hAnsi="宋体" w:cs="宋体"/>
        </w:rPr>
        <w:t>主任</w:t>
      </w:r>
      <w:r>
        <w:rPr>
          <w:rFonts w:ascii="仿宋_GB2312" w:hAnsi="宋体" w:cs="宋体"/>
        </w:rPr>
        <w:t>和村务监督委员会</w:t>
      </w:r>
      <w:r>
        <w:rPr>
          <w:rFonts w:hint="eastAsia" w:ascii="仿宋_GB2312" w:hAnsi="宋体" w:cs="宋体"/>
        </w:rPr>
        <w:t>主任</w:t>
      </w:r>
      <w:r>
        <w:rPr>
          <w:rFonts w:ascii="仿宋_GB2312" w:hAnsi="宋体" w:cs="宋体"/>
        </w:rPr>
        <w:t>。</w:t>
      </w:r>
      <w:r>
        <w:rPr>
          <w:rFonts w:hint="eastAsia" w:ascii="仿宋_GB2312" w:hAnsi="宋体" w:cs="宋体"/>
        </w:rPr>
        <w:t>加强对社区工作者的教育培训和专业社工人才队伍建设，支持社区工作者参加社会工作职业资格考试，力争到2020年社区工作者持证率达到30%。探索建立社区工作者的专业社工督导机制。不断完善社区人才队伍培养机制，拓宽社区人才多技能培训渠道，建立社区人才库。加强社区工作者作风建设，建立群众满意度占主要权重的社区工作者评价机制，探索社区工作者绩效管理的有效途径，建立容错纠错机制和奖惩机制，不断提高社区工作者待遇，调动社区工作者实干创业、改革创新的热情。</w:t>
      </w:r>
    </w:p>
    <w:p w14:paraId="41DF6083">
      <w:pPr>
        <w:widowControl/>
        <w:snapToGrid w:val="0"/>
        <w:spacing w:line="560" w:lineRule="exact"/>
        <w:ind w:firstLine="689"/>
        <w:jc w:val="left"/>
        <w:rPr>
          <w:rFonts w:hint="eastAsia" w:ascii="楷体_GB2312" w:hAnsi="楷体" w:eastAsia="楷体_GB2312" w:cs="宋体"/>
        </w:rPr>
      </w:pPr>
      <w:r>
        <w:rPr>
          <w:rFonts w:hint="eastAsia" w:ascii="楷体_GB2312" w:hAnsi="楷体" w:eastAsia="楷体_GB2312" w:cs="宋体"/>
        </w:rPr>
        <w:t>（四）</w:t>
      </w:r>
      <w:r>
        <w:rPr>
          <w:rFonts w:ascii="楷体_GB2312" w:hAnsi="楷体" w:eastAsia="楷体_GB2312" w:cs="宋体"/>
        </w:rPr>
        <w:t>建立督查、评价机制</w:t>
      </w:r>
    </w:p>
    <w:p w14:paraId="4F1E8642">
      <w:pPr>
        <w:widowControl/>
        <w:snapToGrid w:val="0"/>
        <w:spacing w:line="560" w:lineRule="exact"/>
        <w:ind w:firstLine="689"/>
        <w:jc w:val="left"/>
        <w:rPr>
          <w:rFonts w:hint="eastAsia" w:ascii="仿宋_GB2312" w:hAnsi="宋体" w:cs="宋体"/>
        </w:rPr>
      </w:pPr>
      <w:r>
        <w:rPr>
          <w:rFonts w:hint="eastAsia" w:ascii="仿宋_GB2312" w:hAnsi="宋体" w:cs="宋体"/>
        </w:rPr>
        <w:t>在全区范围内开展社区治理创新示范社区、特色项目评选，及时总结推广社区治理先进经验，对在社区治理中成绩突出、成效明显的社区组织和社区工作者给予表彰。建立以社区居民满意度为主要衡量标准的社区治理评价体系和评价结果公开机制。建立“自下而上”的评价机制，每半年开展一次对街道的社区治理考核评价，由领导小组办公室委托第三方进行测评；强化“自上而下”的工作督查机制，将社区治理工作纳入对区级职能部门、街道的区级年度综合目标考核范围，社区治理工作、共建共商共管共治工作纳入街道党政主要领导述职内容。各街道每季度向区社区治理工作领导小组书面汇报工作开展情况，及时总结经验，区社区治理工作领导小组采取定期和不定期的方式，对各街道开展社区治理工作进行抽查和督查。</w:t>
      </w:r>
    </w:p>
    <w:p w14:paraId="2DA10D40">
      <w:pPr>
        <w:widowControl/>
        <w:snapToGrid w:val="0"/>
        <w:spacing w:line="560" w:lineRule="exact"/>
        <w:ind w:firstLine="689"/>
        <w:jc w:val="left"/>
        <w:rPr>
          <w:rFonts w:hint="eastAsia"/>
        </w:rPr>
      </w:pPr>
      <w:r>
        <w:t>各</w:t>
      </w:r>
      <w:r>
        <w:rPr>
          <w:rFonts w:hint="eastAsia"/>
        </w:rPr>
        <w:t>职能</w:t>
      </w:r>
      <w:r>
        <w:t>部门要根据本实施意见的要求和</w:t>
      </w:r>
      <w:r>
        <w:rPr>
          <w:rFonts w:hint="eastAsia"/>
        </w:rPr>
        <w:t>实施方案中的重点任务</w:t>
      </w:r>
      <w:r>
        <w:t>分工，制定贯彻落实的具体措施。各</w:t>
      </w:r>
      <w:r>
        <w:rPr>
          <w:rFonts w:hint="eastAsia"/>
        </w:rPr>
        <w:t>街道办事处</w:t>
      </w:r>
      <w:r>
        <w:t>要按照本实施意见精神，结合实际制定加强</w:t>
      </w:r>
      <w:r>
        <w:rPr>
          <w:rFonts w:hint="eastAsia"/>
        </w:rPr>
        <w:t>和完善</w:t>
      </w:r>
      <w:r>
        <w:t>社区治理工作的具体办法</w:t>
      </w:r>
      <w:r>
        <w:rPr>
          <w:rFonts w:hint="eastAsia"/>
        </w:rPr>
        <w:t>或方案</w:t>
      </w:r>
      <w:r>
        <w:t>。</w:t>
      </w:r>
    </w:p>
    <w:p w14:paraId="192E1D02">
      <w:pPr>
        <w:widowControl/>
        <w:snapToGrid w:val="0"/>
        <w:spacing w:line="560" w:lineRule="exact"/>
        <w:ind w:firstLine="689"/>
        <w:jc w:val="left"/>
        <w:rPr>
          <w:rFonts w:hint="eastAsia" w:ascii="仿宋_GB2312" w:hAnsi="宋体" w:cs="宋体"/>
        </w:rPr>
      </w:pPr>
    </w:p>
    <w:p w14:paraId="062FA0C8">
      <w:pPr>
        <w:spacing w:line="560" w:lineRule="exact"/>
        <w:jc w:val="center"/>
        <w:rPr>
          <w:rFonts w:hint="eastAsia" w:eastAsia="方正小标宋简体"/>
        </w:rPr>
      </w:pPr>
    </w:p>
    <w:p w14:paraId="486505B3">
      <w:pPr>
        <w:spacing w:line="560" w:lineRule="exact"/>
        <w:jc w:val="center"/>
        <w:rPr>
          <w:rFonts w:hint="eastAsia" w:eastAsia="方正小标宋简体"/>
        </w:rPr>
      </w:pPr>
    </w:p>
    <w:p w14:paraId="17BDA456">
      <w:pPr>
        <w:spacing w:line="560" w:lineRule="exact"/>
        <w:jc w:val="center"/>
        <w:rPr>
          <w:rFonts w:hint="eastAsia" w:eastAsia="方正小标宋简体"/>
        </w:rPr>
      </w:pPr>
    </w:p>
    <w:p w14:paraId="23529798">
      <w:pPr>
        <w:spacing w:line="560" w:lineRule="exact"/>
        <w:jc w:val="center"/>
        <w:rPr>
          <w:rFonts w:hint="eastAsia" w:eastAsia="方正小标宋简体"/>
        </w:rPr>
      </w:pPr>
    </w:p>
    <w:p w14:paraId="687C642A">
      <w:pPr>
        <w:spacing w:line="560" w:lineRule="exact"/>
        <w:jc w:val="center"/>
        <w:rPr>
          <w:rFonts w:hint="eastAsia" w:eastAsia="方正小标宋简体"/>
        </w:rPr>
      </w:pPr>
    </w:p>
    <w:p w14:paraId="3B74E42B">
      <w:pPr>
        <w:spacing w:line="560" w:lineRule="exact"/>
        <w:jc w:val="center"/>
        <w:rPr>
          <w:rFonts w:hint="eastAsia" w:ascii="方正小标宋_GBK" w:eastAsia="方正小标宋_GBK"/>
        </w:rPr>
      </w:pPr>
      <w:r>
        <w:rPr>
          <w:rFonts w:hint="eastAsia" w:ascii="方正小标宋_GBK" w:eastAsia="方正小标宋_GBK"/>
        </w:rPr>
        <w:t>名  词  解  释</w:t>
      </w:r>
    </w:p>
    <w:p w14:paraId="1C33DC37">
      <w:pPr>
        <w:widowControl/>
        <w:snapToGrid w:val="0"/>
        <w:spacing w:line="560" w:lineRule="exact"/>
        <w:jc w:val="left"/>
        <w:rPr>
          <w:rFonts w:hint="eastAsia" w:ascii="仿宋_GB2312" w:hAnsi="楷体" w:cs="宋体"/>
          <w:color w:val="333333"/>
        </w:rPr>
      </w:pPr>
      <w:r>
        <w:rPr>
          <w:rFonts w:hint="eastAsia" w:ascii="仿宋_GB2312" w:hAnsi="楷体"/>
          <w:b/>
        </w:rPr>
        <w:t>1.“五位一体”：</w:t>
      </w:r>
      <w:r>
        <w:rPr>
          <w:rFonts w:hint="eastAsia" w:ascii="仿宋_GB2312" w:hAnsi="楷体"/>
        </w:rPr>
        <w:t>即</w:t>
      </w:r>
      <w:r>
        <w:rPr>
          <w:rFonts w:ascii="仿宋_GB2312" w:hAnsi="楷体" w:cs="宋体"/>
          <w:color w:val="333333"/>
        </w:rPr>
        <w:t>经济建设、政治建设、文化建设、社会建设、生态文明建设</w:t>
      </w:r>
      <w:r>
        <w:rPr>
          <w:rFonts w:hint="eastAsia" w:ascii="仿宋_GB2312" w:hAnsi="楷体" w:cs="宋体"/>
          <w:color w:val="333333"/>
        </w:rPr>
        <w:t>;</w:t>
      </w:r>
    </w:p>
    <w:p w14:paraId="12F2A91D">
      <w:pPr>
        <w:widowControl/>
        <w:snapToGrid w:val="0"/>
        <w:spacing w:line="560" w:lineRule="exact"/>
        <w:jc w:val="left"/>
        <w:rPr>
          <w:rFonts w:hint="eastAsia" w:ascii="仿宋_GB2312" w:hAnsi="楷体" w:cs="宋体"/>
          <w:color w:val="333333"/>
        </w:rPr>
      </w:pPr>
      <w:r>
        <w:rPr>
          <w:rFonts w:hint="eastAsia" w:ascii="仿宋_GB2312" w:hAnsi="楷体" w:cs="宋体"/>
          <w:b/>
          <w:color w:val="333333"/>
        </w:rPr>
        <w:t>2.“四个全面”</w:t>
      </w:r>
      <w:r>
        <w:rPr>
          <w:rFonts w:hint="eastAsia" w:ascii="仿宋_GB2312" w:hAnsi="楷体" w:cs="宋体"/>
          <w:color w:val="333333"/>
        </w:rPr>
        <w:t>:</w:t>
      </w:r>
      <w:r>
        <w:rPr>
          <w:rFonts w:ascii="Arial" w:hAnsi="Arial" w:cs="Arial"/>
          <w:color w:val="666666"/>
        </w:rPr>
        <w:t xml:space="preserve"> </w:t>
      </w:r>
      <w:r>
        <w:rPr>
          <w:rFonts w:hint="eastAsia" w:ascii="仿宋_GB2312" w:hAnsi="楷体" w:cs="宋体"/>
          <w:color w:val="333333"/>
        </w:rPr>
        <w:t>即</w:t>
      </w:r>
      <w:r>
        <w:rPr>
          <w:rFonts w:ascii="仿宋_GB2312" w:hAnsi="楷体" w:cs="宋体"/>
          <w:color w:val="333333"/>
        </w:rPr>
        <w:t>全面建成小康社会、全面深化改革、全面依法治国、全面从严治党</w:t>
      </w:r>
      <w:r>
        <w:rPr>
          <w:rFonts w:hint="eastAsia" w:ascii="仿宋_GB2312" w:hAnsi="楷体" w:cs="宋体"/>
          <w:color w:val="333333"/>
        </w:rPr>
        <w:t>;</w:t>
      </w:r>
    </w:p>
    <w:p w14:paraId="328D85CB">
      <w:pPr>
        <w:widowControl/>
        <w:snapToGrid w:val="0"/>
        <w:spacing w:line="560" w:lineRule="exact"/>
        <w:jc w:val="left"/>
        <w:rPr>
          <w:rFonts w:hint="eastAsia" w:ascii="仿宋_GB2312" w:hAnsi="楷体" w:cs="宋体"/>
          <w:b/>
          <w:color w:val="333333"/>
        </w:rPr>
      </w:pPr>
      <w:r>
        <w:rPr>
          <w:rFonts w:hint="eastAsia" w:ascii="仿宋_GB2312" w:hAnsi="楷体" w:cs="宋体"/>
          <w:b/>
          <w:color w:val="333333"/>
        </w:rPr>
        <w:t>3.“三亮一树”:</w:t>
      </w:r>
      <w:r>
        <w:rPr>
          <w:rFonts w:hint="eastAsia" w:ascii="仿宋_GB2312" w:hAnsi="宋体"/>
        </w:rPr>
        <w:t xml:space="preserve"> 即亮出党员和志愿者身份，亮出党员和志愿者自愿服务职责，亮出党员和志愿者服务承诺，树立党员的先锋模范作用和志愿者的示范带头作用。</w:t>
      </w:r>
    </w:p>
    <w:p w14:paraId="614A9C9C">
      <w:pPr>
        <w:widowControl/>
        <w:snapToGrid w:val="0"/>
        <w:spacing w:line="560" w:lineRule="exact"/>
        <w:jc w:val="left"/>
        <w:rPr>
          <w:rFonts w:hint="eastAsia" w:ascii="仿宋_GB2312" w:hAnsi="楷体" w:cs="宋体"/>
          <w:color w:val="333333"/>
        </w:rPr>
      </w:pPr>
      <w:r>
        <w:rPr>
          <w:rFonts w:hint="eastAsia" w:ascii="仿宋_GB2312" w:hAnsi="楷体" w:cs="宋体"/>
          <w:b/>
          <w:color w:val="333333"/>
        </w:rPr>
        <w:t>4.“三有一化”:</w:t>
      </w:r>
      <w:r>
        <w:rPr>
          <w:rFonts w:hint="eastAsia" w:ascii="仿宋_GB2312"/>
          <w:b/>
        </w:rPr>
        <w:t xml:space="preserve"> </w:t>
      </w:r>
      <w:r>
        <w:rPr>
          <w:rFonts w:hint="eastAsia" w:ascii="仿宋_GB2312"/>
        </w:rPr>
        <w:t>即</w:t>
      </w:r>
      <w:r>
        <w:rPr>
          <w:rFonts w:ascii="仿宋_GB2312"/>
        </w:rPr>
        <w:t>有人管事、有钱办事、议事，推进城市基层党建区域化建设</w:t>
      </w:r>
      <w:r>
        <w:rPr>
          <w:rFonts w:hint="eastAsia" w:ascii="仿宋_GB2312"/>
        </w:rPr>
        <w:t xml:space="preserve"> ；</w:t>
      </w:r>
    </w:p>
    <w:p w14:paraId="2BAB5082">
      <w:pPr>
        <w:widowControl/>
        <w:snapToGrid w:val="0"/>
        <w:spacing w:line="560" w:lineRule="exact"/>
        <w:jc w:val="left"/>
        <w:rPr>
          <w:rFonts w:hint="eastAsia" w:ascii="仿宋_GB2312" w:hAnsi="楷体" w:cs="宋体"/>
          <w:color w:val="333333"/>
        </w:rPr>
      </w:pPr>
      <w:r>
        <w:rPr>
          <w:rFonts w:hint="eastAsia" w:ascii="仿宋_GB2312" w:hAnsi="楷体" w:cs="宋体"/>
          <w:b/>
          <w:color w:val="333333"/>
        </w:rPr>
        <w:t>5.“两学一做”:</w:t>
      </w:r>
      <w:r>
        <w:rPr>
          <w:rFonts w:ascii="Arial" w:hAnsi="Arial" w:cs="Arial"/>
          <w:color w:val="333333"/>
        </w:rPr>
        <w:t xml:space="preserve"> </w:t>
      </w:r>
      <w:r>
        <w:rPr>
          <w:rFonts w:hint="eastAsia" w:ascii="仿宋_GB2312" w:hAnsi="楷体" w:cs="宋体"/>
          <w:color w:val="333333"/>
        </w:rPr>
        <w:t>即</w:t>
      </w:r>
      <w:r>
        <w:rPr>
          <w:rFonts w:ascii="仿宋_GB2312" w:hAnsi="楷体" w:cs="宋体"/>
          <w:color w:val="333333"/>
        </w:rPr>
        <w:t>学党章党规、学系列讲话，做合格党员</w:t>
      </w:r>
      <w:r>
        <w:rPr>
          <w:rFonts w:hint="eastAsia" w:ascii="仿宋_GB2312" w:hAnsi="楷体" w:cs="宋体"/>
          <w:color w:val="333333"/>
        </w:rPr>
        <w:t>;</w:t>
      </w:r>
    </w:p>
    <w:p w14:paraId="142CDCA6">
      <w:pPr>
        <w:widowControl/>
        <w:snapToGrid w:val="0"/>
        <w:spacing w:line="560" w:lineRule="exact"/>
        <w:jc w:val="left"/>
        <w:rPr>
          <w:rFonts w:hint="eastAsia" w:ascii="仿宋_GB2312" w:hAnsi="楷体" w:cs="宋体"/>
          <w:color w:val="333333"/>
        </w:rPr>
      </w:pPr>
      <w:r>
        <w:rPr>
          <w:rFonts w:hint="eastAsia" w:ascii="仿宋_GB2312" w:hAnsi="楷体" w:cs="宋体"/>
          <w:b/>
          <w:color w:val="333333"/>
        </w:rPr>
        <w:t>6.涉农社区“三资”:</w:t>
      </w:r>
      <w:r>
        <w:rPr>
          <w:rFonts w:hint="eastAsia" w:ascii="仿宋_GB2312" w:hAnsi="楷体" w:cs="宋体"/>
          <w:color w:val="333333"/>
        </w:rPr>
        <w:t>即涉农社区资源、资产、资金；</w:t>
      </w:r>
    </w:p>
    <w:p w14:paraId="3EC1FE40">
      <w:pPr>
        <w:widowControl/>
        <w:snapToGrid w:val="0"/>
        <w:spacing w:line="560" w:lineRule="exact"/>
        <w:jc w:val="left"/>
        <w:rPr>
          <w:rFonts w:hint="eastAsia" w:ascii="仿宋_GB2312" w:hAnsi="楷体" w:cs="宋体"/>
          <w:b/>
          <w:color w:val="333333"/>
        </w:rPr>
      </w:pPr>
      <w:r>
        <w:rPr>
          <w:rFonts w:hint="eastAsia" w:ascii="仿宋_GB2312" w:hAnsi="楷体" w:cs="宋体"/>
          <w:b/>
          <w:color w:val="333333"/>
        </w:rPr>
        <w:t>7.“还权、赋能、归位”</w:t>
      </w:r>
      <w:r>
        <w:rPr>
          <w:rFonts w:ascii="仿宋_GB2312" w:hAnsi="楷体" w:cs="宋体"/>
          <w:b/>
          <w:color w:val="333333"/>
        </w:rPr>
        <w:t>:</w:t>
      </w:r>
      <w:r>
        <w:rPr>
          <w:rFonts w:hint="eastAsia" w:ascii="仿宋_GB2312" w:hAnsi="楷体" w:cs="宋体"/>
          <w:color w:val="333333"/>
        </w:rPr>
        <w:t>即在社区治理过程中，一是扩大社区居民自治范围，切实发挥社区居民自治作用，实现社区居民自我管理、自我教育、自我服务、自我监督。二是保障社区自治组织运行经费，赋予社区居民对基层政府的评价监督等权力，提高社区居民自治能力。三是加快基层政府职能转变，夯实服务社区的基础，实现行政化的社区管理向社会化的社区居民自治转变。</w:t>
      </w:r>
      <w:r>
        <w:rPr>
          <w:rFonts w:hint="eastAsia" w:ascii="仿宋_GB2312" w:hAnsi="楷体" w:cs="宋体"/>
          <w:b/>
          <w:color w:val="333333"/>
        </w:rPr>
        <w:t xml:space="preserve"> </w:t>
      </w:r>
    </w:p>
    <w:p w14:paraId="14ED8B5B">
      <w:pPr>
        <w:spacing w:line="560" w:lineRule="exact"/>
        <w:rPr>
          <w:rFonts w:hint="eastAsia" w:ascii="仿宋_GB2312" w:hAnsi="楷体" w:cs="宋体"/>
          <w:b/>
          <w:color w:val="333333"/>
        </w:rPr>
      </w:pPr>
      <w:r>
        <w:rPr>
          <w:rFonts w:hint="eastAsia" w:ascii="仿宋_GB2312" w:hAnsi="楷体" w:cs="宋体"/>
          <w:b/>
          <w:color w:val="333333"/>
        </w:rPr>
        <w:t>8.“四提四议两公开两监督”:</w:t>
      </w:r>
      <w:r>
        <w:rPr>
          <w:rFonts w:hint="eastAsia" w:ascii="仿宋_GB2312" w:hAnsi="宋体"/>
          <w:b/>
        </w:rPr>
        <w:t xml:space="preserve"> “四提”</w:t>
      </w:r>
      <w:r>
        <w:rPr>
          <w:rFonts w:hint="eastAsia" w:ascii="仿宋_GB2312" w:hAnsi="宋体"/>
        </w:rPr>
        <w:t>即党员提议、群众提议、居民代表提议、公共户单位代表提议；</w:t>
      </w:r>
      <w:r>
        <w:rPr>
          <w:rFonts w:hint="eastAsia" w:ascii="仿宋_GB2312" w:hAnsi="宋体"/>
          <w:b/>
        </w:rPr>
        <w:t>“四议”</w:t>
      </w:r>
      <w:r>
        <w:rPr>
          <w:rFonts w:hint="eastAsia" w:ascii="仿宋_GB2312" w:hAnsi="宋体"/>
        </w:rPr>
        <w:t>即社区党组织（党委、总支、支部）会提议、社区“两委”会商议、党员大会审议、居民代表会议或居民会议决议。</w:t>
      </w:r>
      <w:r>
        <w:rPr>
          <w:rFonts w:hint="eastAsia" w:ascii="仿宋_GB2312" w:hAnsi="宋体"/>
          <w:b/>
        </w:rPr>
        <w:t>“两公开”</w:t>
      </w:r>
      <w:r>
        <w:rPr>
          <w:rFonts w:hint="eastAsia" w:ascii="仿宋_GB2312" w:hAnsi="宋体"/>
        </w:rPr>
        <w:t>即决议内容公开、实施过程和实施结果公开。</w:t>
      </w:r>
      <w:r>
        <w:rPr>
          <w:rFonts w:hint="eastAsia" w:ascii="仿宋_GB2312" w:hAnsi="宋体"/>
          <w:b/>
        </w:rPr>
        <w:t>“两监督”</w:t>
      </w:r>
      <w:r>
        <w:rPr>
          <w:rFonts w:hint="eastAsia" w:ascii="仿宋_GB2312" w:hAnsi="宋体"/>
        </w:rPr>
        <w:t xml:space="preserve">即群众和上级党委政府监督； </w:t>
      </w:r>
    </w:p>
    <w:p w14:paraId="3D5E3748">
      <w:pPr>
        <w:spacing w:line="560" w:lineRule="exact"/>
        <w:rPr>
          <w:rFonts w:hint="eastAsia" w:ascii="仿宋_GB2312"/>
        </w:rPr>
      </w:pPr>
      <w:r>
        <w:rPr>
          <w:rFonts w:hint="eastAsia" w:ascii="仿宋_GB2312" w:hAnsi="楷体" w:cs="宋体"/>
          <w:b/>
          <w:color w:val="333333"/>
        </w:rPr>
        <w:t>9.“三社联动”：</w:t>
      </w:r>
      <w:r>
        <w:rPr>
          <w:rFonts w:hint="eastAsia" w:ascii="仿宋_GB2312"/>
        </w:rPr>
        <w:t>指通过加强社区建设、社会组织培育和社会工作现代化体制建立，使社区、社会组织、专业社会工作三者之间建立起资源共享、优势互补、相互促进的联动机制，形成政府与社会之间互联、互动、互补的社会治理新格局，让各种社会矛盾和冲突在基层得到有效的预防和解决，实现社会和谐发展。</w:t>
      </w:r>
    </w:p>
    <w:p w14:paraId="1A27F6AE">
      <w:pPr>
        <w:spacing w:line="560" w:lineRule="exact"/>
        <w:rPr>
          <w:rFonts w:hint="eastAsia" w:ascii="仿宋_GB2312"/>
        </w:rPr>
      </w:pPr>
      <w:r>
        <w:rPr>
          <w:rFonts w:hint="eastAsia" w:ascii="仿宋_GB2312"/>
          <w:b/>
        </w:rPr>
        <w:t>10.“一核多元”:</w:t>
      </w:r>
      <w:r>
        <w:rPr>
          <w:rFonts w:hint="eastAsia" w:ascii="仿宋_GB2312"/>
        </w:rPr>
        <w:t>即在基层党组织的领导下，统筹动员基层政府、自治组织、社区居民、社会组织、驻区单位、市场力量等各方参与共同治理。</w:t>
      </w:r>
    </w:p>
    <w:p w14:paraId="0663BB75">
      <w:pPr>
        <w:spacing w:line="560" w:lineRule="exact"/>
        <w:rPr>
          <w:rFonts w:hint="eastAsia" w:ascii="仿宋_GB2312"/>
        </w:rPr>
      </w:pPr>
      <w:r>
        <w:rPr>
          <w:rFonts w:hint="eastAsia" w:ascii="仿宋_GB2312"/>
          <w:b/>
        </w:rPr>
        <w:t>11.“84510”群众工作法：</w:t>
      </w:r>
      <w:r>
        <w:rPr>
          <w:rFonts w:hint="eastAsia" w:ascii="仿宋_GB2312"/>
        </w:rPr>
        <w:t>即“八必访”——困难家庭必访、上访户必访、残疾人等特殊群体必访、矛盾纠纷当事人必访、留守儿童和空巢老人必访、重大刑事治安案（事）件当事人及其家属必访、失足未成年人及闲散青少年必访、刑释解教人员必访；“四必问”——问基本情况、问困难问题、问干部评价、问工作建议; “五到位”——群众诉求合理的问题解决到位、群众诉求不合理的思想疏导到位、群众确有实际困难的协调帮扶到位、群众缠访闹访的依法处置到位、干部工作不力失职失察的问责处理到位;“民情十本帐”——建立</w:t>
      </w:r>
      <w:r>
        <w:rPr>
          <w:rFonts w:hint="eastAsia" w:ascii="仿宋_GB2312" w:hAnsi="宋体" w:cs="宋体"/>
        </w:rPr>
        <w:t>80岁以上老人;社会孤寡、孤儿人员</w:t>
      </w:r>
      <w:r>
        <w:rPr>
          <w:rFonts w:hint="eastAsia" w:ascii="仿宋_GB2312"/>
        </w:rPr>
        <w:t>;</w:t>
      </w:r>
      <w:r>
        <w:rPr>
          <w:rFonts w:hint="eastAsia" w:ascii="仿宋_GB2312" w:hAnsi="宋体" w:cs="宋体"/>
        </w:rPr>
        <w:t xml:space="preserve"> 残疾人</w:t>
      </w:r>
      <w:r>
        <w:rPr>
          <w:rFonts w:hint="eastAsia" w:ascii="仿宋_GB2312"/>
        </w:rPr>
        <w:t>;</w:t>
      </w:r>
      <w:r>
        <w:rPr>
          <w:rFonts w:hint="eastAsia" w:ascii="仿宋_GB2312" w:hAnsi="宋体" w:cs="宋体"/>
        </w:rPr>
        <w:t xml:space="preserve"> 低保人员</w:t>
      </w:r>
      <w:r>
        <w:rPr>
          <w:rFonts w:hint="eastAsia" w:ascii="仿宋_GB2312"/>
        </w:rPr>
        <w:t>;</w:t>
      </w:r>
      <w:r>
        <w:rPr>
          <w:rFonts w:hint="eastAsia" w:ascii="仿宋_GB2312" w:hAnsi="宋体" w:cs="宋体"/>
        </w:rPr>
        <w:t xml:space="preserve"> 复退转、军烈属、伤残军人</w:t>
      </w:r>
      <w:r>
        <w:rPr>
          <w:rFonts w:hint="eastAsia" w:ascii="仿宋_GB2312"/>
        </w:rPr>
        <w:t>;</w:t>
      </w:r>
      <w:r>
        <w:rPr>
          <w:rFonts w:hint="eastAsia" w:ascii="仿宋_GB2312" w:hAnsi="宋体" w:cs="宋体"/>
        </w:rPr>
        <w:t xml:space="preserve"> 困难党员</w:t>
      </w:r>
      <w:r>
        <w:rPr>
          <w:rFonts w:hint="eastAsia" w:ascii="仿宋_GB2312"/>
        </w:rPr>
        <w:t>;</w:t>
      </w:r>
      <w:r>
        <w:rPr>
          <w:rFonts w:hint="eastAsia" w:ascii="仿宋_GB2312" w:hAnsi="宋体" w:cs="宋体"/>
        </w:rPr>
        <w:t xml:space="preserve"> 困难学生</w:t>
      </w:r>
      <w:r>
        <w:rPr>
          <w:rFonts w:hint="eastAsia" w:ascii="仿宋_GB2312"/>
        </w:rPr>
        <w:t>;</w:t>
      </w:r>
      <w:r>
        <w:rPr>
          <w:rFonts w:hint="eastAsia" w:ascii="仿宋_GB2312" w:hAnsi="宋体" w:cs="宋体"/>
        </w:rPr>
        <w:t xml:space="preserve"> 流动人员; 住在危旧房、漏雨房人员</w:t>
      </w:r>
      <w:r>
        <w:rPr>
          <w:rFonts w:hint="eastAsia" w:ascii="仿宋_GB2312"/>
        </w:rPr>
        <w:t>;</w:t>
      </w:r>
      <w:r>
        <w:rPr>
          <w:rFonts w:hint="eastAsia" w:ascii="仿宋_GB2312" w:hAnsi="宋体" w:cs="宋体"/>
        </w:rPr>
        <w:t xml:space="preserve"> 下岗、失业、退养人员</w:t>
      </w:r>
      <w:r>
        <w:rPr>
          <w:rFonts w:hint="eastAsia" w:ascii="仿宋_GB2312"/>
        </w:rPr>
        <w:t>基本情况账本。</w:t>
      </w:r>
    </w:p>
    <w:p w14:paraId="4454367F">
      <w:pPr>
        <w:spacing w:line="560" w:lineRule="exact"/>
        <w:rPr>
          <w:rFonts w:hint="eastAsia" w:ascii="仿宋_GB2312"/>
        </w:rPr>
      </w:pPr>
      <w:r>
        <w:rPr>
          <w:rFonts w:hint="eastAsia" w:ascii="仿宋_GB2312"/>
          <w:b/>
        </w:rPr>
        <w:t>12.“三色管理”：</w:t>
      </w:r>
      <w:r>
        <w:rPr>
          <w:rFonts w:hint="eastAsia" w:ascii="仿宋_GB2312"/>
        </w:rPr>
        <w:t>根据小区发案的警情，对居民小区实行绿、黄、红三色牌匾评比，并在小区出入口张挂。绿色为表扬牌，书写治安良好字样；黄色为提示牌，书写治安提示字样；红色为警示牌，书写治安警示字样，提醒住户注意防范。</w:t>
      </w:r>
    </w:p>
    <w:p w14:paraId="7122219B">
      <w:pPr>
        <w:spacing w:line="560" w:lineRule="exact"/>
        <w:rPr>
          <w:rFonts w:hint="eastAsia" w:ascii="仿宋_GB2312"/>
          <w:lang w:val="en"/>
        </w:rPr>
      </w:pPr>
      <w:r>
        <w:rPr>
          <w:rFonts w:hint="eastAsia" w:ascii="仿宋_GB2312"/>
          <w:b/>
        </w:rPr>
        <w:t>13.</w:t>
      </w:r>
      <w:r>
        <w:rPr>
          <w:rFonts w:hint="eastAsia" w:ascii="微软雅黑" w:hAnsi="微软雅黑" w:eastAsia="微软雅黑"/>
          <w:b/>
          <w:color w:val="000000"/>
          <w:lang w:val="en"/>
        </w:rPr>
        <w:t xml:space="preserve"> </w:t>
      </w:r>
      <w:r>
        <w:rPr>
          <w:rFonts w:hint="eastAsia" w:ascii="仿宋_GB2312"/>
          <w:b/>
          <w:lang w:val="en"/>
        </w:rPr>
        <w:t>“四治三改一拆一增”:</w:t>
      </w:r>
      <w:r>
        <w:rPr>
          <w:rFonts w:hint="eastAsia" w:ascii="仿宋_GB2312"/>
          <w:lang w:val="en"/>
        </w:rPr>
        <w:t>“四治”——“治乱”，重点整治社会治安秩序，建设安全城市，保障市民安全，加大力度整治乱摆乱设、乱贴乱画、乱吐乱扔、乱排乱倒、乱搭乱建、乱停乱行等市容环境乱象，给广大市民创造一个安全、稳定、有序、祥和的城市环境；“治脏”，重点治理车站广场脏、公共厕所脏、饮食摊点脏、集贸市场脏、街巷院落脏等；“治污”，重点治理大气污染、水污染、噪声污染、废渣污染等；“治堵”，重点治理城市交通拥堵，解决行车难、停车难、行路难问题。“三改”——改造旧住宅区，改造旧厂区，改造城中村；“一拆”——拆除违法违章建筑；“一增”——大面积增加城市绿化。</w:t>
      </w:r>
    </w:p>
    <w:p w14:paraId="7D5AEFEF">
      <w:pPr>
        <w:spacing w:line="560" w:lineRule="exact"/>
        <w:rPr>
          <w:rFonts w:hint="eastAsia" w:ascii="仿宋_GB2312"/>
          <w:lang w:val="en"/>
        </w:rPr>
      </w:pPr>
      <w:r>
        <w:rPr>
          <w:rFonts w:hint="eastAsia" w:ascii="仿宋_GB2312"/>
          <w:b/>
          <w:lang w:val="en"/>
        </w:rPr>
        <w:t>14.</w:t>
      </w:r>
      <w:r>
        <w:rPr>
          <w:rFonts w:hint="eastAsia" w:ascii="微软雅黑" w:hAnsi="微软雅黑" w:eastAsia="微软雅黑"/>
          <w:b/>
          <w:color w:val="000000"/>
          <w:lang w:val="en"/>
        </w:rPr>
        <w:t xml:space="preserve"> </w:t>
      </w:r>
      <w:r>
        <w:rPr>
          <w:rFonts w:hint="eastAsia" w:ascii="仿宋_GB2312"/>
          <w:b/>
          <w:lang w:val="en"/>
        </w:rPr>
        <w:t>“七改三清”</w:t>
      </w:r>
      <w:r>
        <w:rPr>
          <w:rFonts w:hint="eastAsia" w:ascii="仿宋_GB2312"/>
          <w:lang w:val="en"/>
        </w:rPr>
        <w:t>——实施改路、改房、改水、改电、改圈、改厕、改灶综合行动，实行人畜分离、厨卫入户，清洁水源、清洁田园、清洁家园，切实改善农村人居环境。</w:t>
      </w:r>
    </w:p>
    <w:p w14:paraId="5B284205">
      <w:pPr>
        <w:rPr>
          <w:rFonts w:hint="eastAsia" w:ascii="仿宋_GB2312"/>
          <w:b/>
        </w:rPr>
      </w:pPr>
      <w:r>
        <w:rPr>
          <w:rFonts w:hint="eastAsia" w:ascii="仿宋_GB2312"/>
          <w:b/>
          <w:lang w:val="en"/>
        </w:rPr>
        <w:t xml:space="preserve"> </w:t>
      </w:r>
    </w:p>
    <w:p w14:paraId="64B7800B">
      <w:pPr>
        <w:spacing w:line="560" w:lineRule="exact"/>
        <w:jc w:val="center"/>
        <w:rPr>
          <w:rFonts w:hint="eastAsia" w:eastAsia="方正小标宋简体"/>
          <w:spacing w:val="-8"/>
          <w:sz w:val="44"/>
          <w:szCs w:val="44"/>
        </w:rPr>
      </w:pPr>
    </w:p>
    <w:p w14:paraId="7F99B023">
      <w:pPr>
        <w:spacing w:line="100" w:lineRule="exact"/>
        <w:rPr>
          <w:szCs w:val="26"/>
        </w:rPr>
      </w:pPr>
    </w:p>
    <w:p w14:paraId="654B2EE3">
      <w:pPr>
        <w:spacing w:line="100" w:lineRule="exact"/>
        <w:rPr>
          <w:szCs w:val="26"/>
        </w:rPr>
      </w:pPr>
    </w:p>
    <w:p w14:paraId="175B4BCC">
      <w:pPr>
        <w:spacing w:line="560" w:lineRule="exact"/>
        <w:ind w:firstLine="640" w:firstLineChars="200"/>
        <w:rPr>
          <w:rFonts w:hint="eastAsia"/>
          <w:szCs w:val="26"/>
        </w:rPr>
      </w:pPr>
    </w:p>
    <w:p w14:paraId="1789AA9E">
      <w:pPr>
        <w:spacing w:line="560" w:lineRule="exact"/>
        <w:ind w:firstLine="640" w:firstLineChars="200"/>
        <w:rPr>
          <w:rFonts w:hint="eastAsia"/>
          <w:szCs w:val="26"/>
        </w:rPr>
      </w:pPr>
    </w:p>
    <w:p w14:paraId="67BC7379">
      <w:pPr>
        <w:spacing w:line="560" w:lineRule="exact"/>
        <w:ind w:firstLine="640" w:firstLineChars="200"/>
        <w:rPr>
          <w:rFonts w:hint="eastAsia"/>
          <w:szCs w:val="26"/>
        </w:rPr>
      </w:pPr>
    </w:p>
    <w:tbl>
      <w:tblPr>
        <w:tblStyle w:val="11"/>
        <w:tblW w:w="0" w:type="auto"/>
        <w:tblInd w:w="108"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8838"/>
      </w:tblGrid>
      <w:tr w14:paraId="34F2430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8838" w:type="dxa"/>
            <w:tcBorders>
              <w:bottom w:val="single" w:color="auto" w:sz="12" w:space="0"/>
            </w:tcBorders>
            <w:noWrap w:val="0"/>
            <w:vAlign w:val="top"/>
          </w:tcPr>
          <w:p w14:paraId="51136F5D">
            <w:pPr>
              <w:adjustRightInd w:val="0"/>
              <w:snapToGrid w:val="0"/>
              <w:spacing w:line="540" w:lineRule="exact"/>
              <w:ind w:firstLine="150" w:firstLineChars="50"/>
              <w:rPr>
                <w:spacing w:val="10"/>
                <w:sz w:val="28"/>
                <w:szCs w:val="28"/>
              </w:rPr>
            </w:pPr>
            <w:r>
              <w:rPr>
                <w:spacing w:val="10"/>
                <w:sz w:val="28"/>
                <w:szCs w:val="28"/>
              </w:rPr>
              <w:t>中共昆明市五华区委办公室            2018年</w:t>
            </w:r>
            <w:r>
              <w:rPr>
                <w:rFonts w:hint="eastAsia"/>
                <w:spacing w:val="10"/>
                <w:sz w:val="28"/>
                <w:szCs w:val="28"/>
              </w:rPr>
              <w:t>5</w:t>
            </w:r>
            <w:r>
              <w:rPr>
                <w:spacing w:val="10"/>
                <w:sz w:val="28"/>
                <w:szCs w:val="28"/>
              </w:rPr>
              <w:t>月</w:t>
            </w:r>
            <w:r>
              <w:rPr>
                <w:rFonts w:hint="eastAsia"/>
                <w:spacing w:val="10"/>
                <w:sz w:val="28"/>
                <w:szCs w:val="28"/>
              </w:rPr>
              <w:t>14</w:t>
            </w:r>
            <w:r>
              <w:rPr>
                <w:spacing w:val="10"/>
                <w:sz w:val="28"/>
                <w:szCs w:val="28"/>
              </w:rPr>
              <w:t>日印发</w:t>
            </w:r>
          </w:p>
        </w:tc>
      </w:tr>
    </w:tbl>
    <w:p w14:paraId="00193A83">
      <w:pPr>
        <w:spacing w:line="100" w:lineRule="exact"/>
        <w:rPr>
          <w:szCs w:val="26"/>
        </w:rPr>
      </w:pPr>
      <w:bookmarkStart w:id="1" w:name="OLE_LINK2"/>
      <w:bookmarkEnd w:id="1"/>
    </w:p>
    <w:sectPr>
      <w:footerReference r:id="rId3" w:type="default"/>
      <w:pgSz w:w="11906" w:h="16838"/>
      <w:pgMar w:top="2098" w:right="1531" w:bottom="1985" w:left="1531" w:header="851" w:footer="992" w:gutter="0"/>
      <w:pgNumType w:fmt="numberInDash"/>
      <w:cols w:space="720" w:num="1"/>
      <w:docGrid w:type="lines" w:linePitch="435"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2010609030101010101"/>
    <w:charset w:val="86"/>
    <w:family w:val="modern"/>
    <w:pitch w:val="default"/>
    <w:sig w:usb0="00000000" w:usb1="00000000" w:usb2="00000010" w:usb3="00000000" w:csb0="00040000" w:csb1="00000000"/>
  </w:font>
  <w:font w:name="仿宋">
    <w:panose1 w:val="02010609060101010101"/>
    <w:charset w:val="86"/>
    <w:family w:val="modern"/>
    <w:pitch w:val="default"/>
    <w:sig w:usb0="800002BF" w:usb1="38CF7CFA" w:usb2="00000016" w:usb3="00000000" w:csb0="00040001" w:csb1="00000000"/>
  </w:font>
  <w:font w:name="方正小标宋简体">
    <w:altName w:val="方正舒体"/>
    <w:panose1 w:val="02010601030101010101"/>
    <w:charset w:val="86"/>
    <w:family w:val="script"/>
    <w:pitch w:val="default"/>
    <w:sig w:usb0="00000000" w:usb1="00000000" w:usb2="00000010" w:usb3="00000000" w:csb0="00040000" w:csb1="00000000"/>
  </w:font>
  <w:font w:name="方正舒体">
    <w:panose1 w:val="02010601030101010101"/>
    <w:charset w:val="86"/>
    <w:family w:val="auto"/>
    <w:pitch w:val="default"/>
    <w:sig w:usb0="00000003" w:usb1="080E0000" w:usb2="00000000" w:usb3="00000000" w:csb0="00040000" w:csb1="00000000"/>
  </w:font>
  <w:font w:name="Cambria">
    <w:panose1 w:val="02040503050406030204"/>
    <w:charset w:val="00"/>
    <w:family w:val="roman"/>
    <w:pitch w:val="default"/>
    <w:sig w:usb0="E00006FF" w:usb1="420024FF" w:usb2="02000000" w:usb3="00000000" w:csb0="2000019F" w:csb1="00000000"/>
  </w:font>
  <w:font w:name="Verdana">
    <w:panose1 w:val="020B0604030504040204"/>
    <w:charset w:val="00"/>
    <w:family w:val="swiss"/>
    <w:pitch w:val="default"/>
    <w:sig w:usb0="A00006FF" w:usb1="4000205B" w:usb2="00000010" w:usb3="00000000" w:csb0="2000019F" w:csb1="00000000"/>
  </w:font>
  <w:font w:name="方正小标宋_GBK">
    <w:altName w:val="微软雅黑"/>
    <w:panose1 w:val="03000509000000000000"/>
    <w:charset w:val="86"/>
    <w:family w:val="script"/>
    <w:pitch w:val="default"/>
    <w:sig w:usb0="00000000" w:usb1="00000000" w:usb2="00000010" w:usb3="00000000" w:csb0="00040000" w:csb1="00000000"/>
  </w:font>
  <w:font w:name="微软雅黑">
    <w:panose1 w:val="020B0503020204020204"/>
    <w:charset w:val="86"/>
    <w:family w:val="swiss"/>
    <w:pitch w:val="default"/>
    <w:sig w:usb0="80000287" w:usb1="2ACF3C50" w:usb2="00000016" w:usb3="00000000" w:csb0="0004001F" w:csb1="00000000"/>
  </w:font>
  <w:font w:name="楷体_GB2312">
    <w:altName w:val="楷体"/>
    <w:panose1 w:val="02010609030101010101"/>
    <w:charset w:val="86"/>
    <w:family w:val="modern"/>
    <w:pitch w:val="default"/>
    <w:sig w:usb0="00000000" w:usb1="00000000" w:usb2="00000010" w:usb3="00000000" w:csb0="00040000" w:csb1="00000000"/>
  </w:font>
  <w:font w:name="楷体">
    <w:panose1 w:val="02010609060101010101"/>
    <w:charset w:val="86"/>
    <w:family w:val="modern"/>
    <w:pitch w:val="default"/>
    <w:sig w:usb0="800002BF" w:usb1="38CF7CFA" w:usb2="00000016" w:usb3="00000000" w:csb0="00040001" w:csb1="00000000"/>
  </w:font>
  <w:font w:name="KSOFE44F9426">
    <w:panose1 w:val="02010609060101010101"/>
    <w:charset w:val="86"/>
    <w:family w:val="auto"/>
    <w:pitch w:val="default"/>
    <w:sig w:usb0="00000001" w:usb1="00000000" w:usb2="00000000" w:usb3="00000000" w:csb0="00040001" w:csb1="00000000"/>
  </w:font>
  <w:font w:name="KSOFF9CBECC6">
    <w:panose1 w:val="02010609060101010101"/>
    <w:charset w:val="86"/>
    <w:family w:val="auto"/>
    <w:pitch w:val="default"/>
    <w:sig w:usb0="00000001" w:usb1="00000000" w:usb2="00000000" w:usb3="00000000" w:csb0="00040001" w:csb1="00000000"/>
  </w:font>
  <w:font w:name="KSOFE4500885">
    <w:panose1 w:val="02010609060101010101"/>
    <w:charset w:val="86"/>
    <w:family w:val="auto"/>
    <w:pitch w:val="default"/>
    <w:sig w:usb0="00000001" w:usb1="00000000" w:usb2="00000000" w:usb3="00000000" w:csb0="00040001" w:csb1="00000000"/>
  </w:font>
  <w:font w:name="KSOF8080F95D">
    <w:panose1 w:val="020B0503020204020204"/>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FDB800B">
    <w:pPr>
      <w:pStyle w:val="8"/>
      <w:ind w:left="910" w:right="96" w:hanging="270"/>
      <w:jc w:val="center"/>
    </w:pPr>
    <w: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3"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2E143B6E">
                          <w:pPr>
                            <w:pStyle w:val="8"/>
                            <w:ind w:right="96"/>
                            <w:jc w:val="both"/>
                            <w:rPr>
                              <w:rFonts w:hint="eastAsia" w:ascii="宋体" w:hAnsi="宋体" w:eastAsia="宋体" w:cs="宋体"/>
                              <w:sz w:val="28"/>
                              <w:szCs w:val="28"/>
                            </w:rPr>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ascii="宋体" w:hAnsi="宋体" w:eastAsia="宋体" w:cs="宋体"/>
                              <w:sz w:val="28"/>
                              <w:szCs w:val="28"/>
                              <w:lang w:val="zh-CN"/>
                            </w:rPr>
                            <w:t>-</w:t>
                          </w:r>
                          <w:r>
                            <w:rPr>
                              <w:rFonts w:ascii="宋体" w:hAnsi="宋体" w:eastAsia="宋体" w:cs="宋体"/>
                              <w:sz w:val="28"/>
                              <w:szCs w:val="28"/>
                            </w:rPr>
                            <w:t xml:space="preserve"> 26 -</w:t>
                          </w:r>
                          <w:r>
                            <w:rPr>
                              <w:rFonts w:hint="eastAsia" w:ascii="宋体" w:hAnsi="宋体" w:eastAsia="宋体" w:cs="宋体"/>
                              <w:sz w:val="28"/>
                              <w:szCs w:val="28"/>
                            </w:rPr>
                            <w:fldChar w:fldCharType="end"/>
                          </w:r>
                        </w:p>
                      </w:txbxContent>
                    </wps:txbx>
                    <wps:bodyPr wrap="none" lIns="0" tIns="0" rIns="0" bIns="0" upright="0">
                      <a:spAutoFit/>
                    </wps:bodyPr>
                  </wps:wsp>
                </a:graphicData>
              </a:graphic>
            </wp:anchor>
          </w:drawing>
        </mc:Choice>
        <mc:Fallback>
          <w:pict>
            <v:shape id="文本框 1"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BuU2lsgBAACZAwAADgAAAGRycy9lMm9Eb2MueG1srVPNjtMwEL4j8Q6W&#10;79RpkVAVNV3tqlqEhABp4QFcx24s+U8et0lfAN6AExfuPFefg7GTdGG57IGLM54ZfzPfN5PNzWAN&#10;OckI2ruGLhcVJdIJ32p3aOiXz/ev1pRA4q7lxjvZ0LMEerN9+WLTh1qufOdNKyNBEAd1HxrapRRq&#10;xkB00nJY+CAdBpWPlie8xgNrI+8R3Rq2qqo3rPexDdELCYDe3RikE2J8DqBXSgu58+JopUsjapSG&#10;J6QEnQ5At6VbpaRIH5UCmYhpKDJN5cQiaO/zybYbXh8iD50WUwv8OS084WS5dlj0CrXjiZNj1P9A&#10;WS2iB6/SQnjLRiJFEWSxrJ5o89DxIAsXlBrCVXT4f7Diw+lTJLpt6GtKHLc48Mv3b5cfvy4/v5Jl&#10;lqcPUGPWQ8C8NNz5AZdm9gM6M+tBRZu/yIdgHMU9X8WVQyIiP1qv1usKQwJj8wXx2ePzECG9ld6S&#10;bDQ04vSKqPz0HtKYOqfkas7fa2PKBI37y4GY2cNy72OP2UrDfpgI7X17Rj49Dr6hDvecEvPOoa55&#10;R2YjzsZ+No4h6kNXlijXg3B7TNhE6S1XGGGnwjixwm7arrwSf95L1uMftf0N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zql5uc8AAAAFAQAADwAAAAAAAAABACAAAAAiAAAAZHJzL2Rvd25yZXYueG1s&#10;UEsBAhQAFAAAAAgAh07iQAblNpbIAQAAmQMAAA4AAAAAAAAAAQAgAAAAHgEAAGRycy9lMm9Eb2Mu&#10;eG1sUEsFBgAAAAAGAAYAWQEAAFgFAAAAAA==&#10;">
              <v:fill on="f" focussize="0,0"/>
              <v:stroke on="f"/>
              <v:imagedata o:title=""/>
              <o:lock v:ext="edit" aspectratio="f"/>
              <v:textbox inset="0mm,0mm,0mm,0mm" style="mso-fit-shape-to-text:t;">
                <w:txbxContent>
                  <w:p w14:paraId="2E143B6E">
                    <w:pPr>
                      <w:pStyle w:val="8"/>
                      <w:ind w:right="96"/>
                      <w:jc w:val="both"/>
                      <w:rPr>
                        <w:rFonts w:hint="eastAsia" w:ascii="宋体" w:hAnsi="宋体" w:eastAsia="宋体" w:cs="宋体"/>
                        <w:sz w:val="28"/>
                        <w:szCs w:val="28"/>
                      </w:rPr>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ascii="宋体" w:hAnsi="宋体" w:eastAsia="宋体" w:cs="宋体"/>
                        <w:sz w:val="28"/>
                        <w:szCs w:val="28"/>
                        <w:lang w:val="zh-CN"/>
                      </w:rPr>
                      <w:t>-</w:t>
                    </w:r>
                    <w:r>
                      <w:rPr>
                        <w:rFonts w:ascii="宋体" w:hAnsi="宋体" w:eastAsia="宋体" w:cs="宋体"/>
                        <w:sz w:val="28"/>
                        <w:szCs w:val="28"/>
                      </w:rPr>
                      <w:t xml:space="preserve"> 26 -</w:t>
                    </w:r>
                    <w:r>
                      <w:rPr>
                        <w:rFonts w:hint="eastAsia" w:ascii="宋体" w:hAnsi="宋体" w:eastAsia="宋体" w:cs="宋体"/>
                        <w:sz w:val="28"/>
                        <w:szCs w:val="28"/>
                      </w:rPr>
                      <w:fldChar w:fldCharType="end"/>
                    </w:r>
                  </w:p>
                </w:txbxContent>
              </v:textbox>
            </v:shape>
          </w:pict>
        </mc:Fallback>
      </mc:AlternateContent>
    </w:r>
  </w:p>
  <w:p w14:paraId="135B5C0E">
    <w:pPr>
      <w:pStyle w:val="8"/>
      <w:ind w:left="910" w:right="96" w:hanging="270"/>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71"/>
  <w:doNotDisplayPageBoundaries w:val="1"/>
  <w:bordersDoNotSurroundHeader w:val="1"/>
  <w:bordersDoNotSurroundFooter w:val="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hyphenationZone w:val="360"/>
  <w:drawingGridHorizontalSpacing w:val="160"/>
  <w:drawingGridVerticalSpacing w:val="435"/>
  <w:displayHorizontalDrawingGridEvery w:val="0"/>
  <w:displayVerticalDrawingGridEvery w:val="1"/>
  <w:characterSpacingControl w:val="compressPunctuation"/>
  <w:noLineBreaksAfter w:lang="zh-CN" w:val="$([{£¥·‘“〈《「『【〔〖〝﹙﹛﹝＄（．［｛￡￥"/>
  <w:noLineBreaksBefore w:lang="zh-CN" w:val="!%),.:;&gt;?]}¢¨°·ˇˉ―‖’”…‰′″›℃∶、。〃〉》」』】〕〗〞︶︺︾﹀﹄﹚﹜﹞！＂％＇），．：；？］｀｜｝～￠"/>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67001"/>
    <w:rsid w:val="00017815"/>
    <w:rsid w:val="00021FF6"/>
    <w:rsid w:val="00022FFE"/>
    <w:rsid w:val="00050168"/>
    <w:rsid w:val="00050274"/>
    <w:rsid w:val="0006580F"/>
    <w:rsid w:val="00065B5A"/>
    <w:rsid w:val="0007045B"/>
    <w:rsid w:val="000B7110"/>
    <w:rsid w:val="000C1D5B"/>
    <w:rsid w:val="000D2604"/>
    <w:rsid w:val="000F4FD9"/>
    <w:rsid w:val="000F75A7"/>
    <w:rsid w:val="00105C6B"/>
    <w:rsid w:val="001122AE"/>
    <w:rsid w:val="00112EE7"/>
    <w:rsid w:val="001213FC"/>
    <w:rsid w:val="001315B8"/>
    <w:rsid w:val="00177B33"/>
    <w:rsid w:val="001864E1"/>
    <w:rsid w:val="00193513"/>
    <w:rsid w:val="001A0533"/>
    <w:rsid w:val="001A1B1B"/>
    <w:rsid w:val="001B071A"/>
    <w:rsid w:val="001C5184"/>
    <w:rsid w:val="001C5D0A"/>
    <w:rsid w:val="001D5B52"/>
    <w:rsid w:val="001E6291"/>
    <w:rsid w:val="001F01F4"/>
    <w:rsid w:val="00214478"/>
    <w:rsid w:val="00215CD2"/>
    <w:rsid w:val="002174CB"/>
    <w:rsid w:val="0022161C"/>
    <w:rsid w:val="00230065"/>
    <w:rsid w:val="002418DB"/>
    <w:rsid w:val="00265864"/>
    <w:rsid w:val="0029726B"/>
    <w:rsid w:val="002A0129"/>
    <w:rsid w:val="002A14F0"/>
    <w:rsid w:val="002A1F55"/>
    <w:rsid w:val="002B2A81"/>
    <w:rsid w:val="002B3E83"/>
    <w:rsid w:val="002C7E92"/>
    <w:rsid w:val="002E46CA"/>
    <w:rsid w:val="002E78AC"/>
    <w:rsid w:val="003053F9"/>
    <w:rsid w:val="003106CF"/>
    <w:rsid w:val="00312373"/>
    <w:rsid w:val="00313CFD"/>
    <w:rsid w:val="00321043"/>
    <w:rsid w:val="0033657A"/>
    <w:rsid w:val="0035004C"/>
    <w:rsid w:val="00360283"/>
    <w:rsid w:val="003707E6"/>
    <w:rsid w:val="00374D1D"/>
    <w:rsid w:val="003830FD"/>
    <w:rsid w:val="003A26B5"/>
    <w:rsid w:val="003A338B"/>
    <w:rsid w:val="003C2618"/>
    <w:rsid w:val="003C4D45"/>
    <w:rsid w:val="003C6FA0"/>
    <w:rsid w:val="003D56E9"/>
    <w:rsid w:val="003E5269"/>
    <w:rsid w:val="00401885"/>
    <w:rsid w:val="004022B9"/>
    <w:rsid w:val="004049A1"/>
    <w:rsid w:val="00427F5C"/>
    <w:rsid w:val="00434E51"/>
    <w:rsid w:val="00441EE6"/>
    <w:rsid w:val="00445892"/>
    <w:rsid w:val="00447EE3"/>
    <w:rsid w:val="00453E5B"/>
    <w:rsid w:val="004638B7"/>
    <w:rsid w:val="004A15E5"/>
    <w:rsid w:val="004A271A"/>
    <w:rsid w:val="004A38CE"/>
    <w:rsid w:val="004B7F51"/>
    <w:rsid w:val="004D63E7"/>
    <w:rsid w:val="004F0312"/>
    <w:rsid w:val="004F5C71"/>
    <w:rsid w:val="004F718C"/>
    <w:rsid w:val="005116DE"/>
    <w:rsid w:val="00512803"/>
    <w:rsid w:val="00513531"/>
    <w:rsid w:val="00514EF4"/>
    <w:rsid w:val="0051674F"/>
    <w:rsid w:val="00527266"/>
    <w:rsid w:val="00532670"/>
    <w:rsid w:val="00533310"/>
    <w:rsid w:val="005340C2"/>
    <w:rsid w:val="005509E4"/>
    <w:rsid w:val="005527C1"/>
    <w:rsid w:val="00553C85"/>
    <w:rsid w:val="00555B5B"/>
    <w:rsid w:val="00567001"/>
    <w:rsid w:val="0057071F"/>
    <w:rsid w:val="005912AC"/>
    <w:rsid w:val="00596E21"/>
    <w:rsid w:val="005A1221"/>
    <w:rsid w:val="005B521D"/>
    <w:rsid w:val="005D018B"/>
    <w:rsid w:val="005D01AB"/>
    <w:rsid w:val="005D4F76"/>
    <w:rsid w:val="005D7195"/>
    <w:rsid w:val="005E3962"/>
    <w:rsid w:val="005F2E44"/>
    <w:rsid w:val="005F5269"/>
    <w:rsid w:val="005F7B43"/>
    <w:rsid w:val="00611AF7"/>
    <w:rsid w:val="00617BB2"/>
    <w:rsid w:val="006346C9"/>
    <w:rsid w:val="006472A9"/>
    <w:rsid w:val="00655DFD"/>
    <w:rsid w:val="006574FD"/>
    <w:rsid w:val="006613D0"/>
    <w:rsid w:val="00671ED8"/>
    <w:rsid w:val="00671F90"/>
    <w:rsid w:val="00672847"/>
    <w:rsid w:val="00674869"/>
    <w:rsid w:val="00677639"/>
    <w:rsid w:val="00680FF7"/>
    <w:rsid w:val="00694A89"/>
    <w:rsid w:val="006A1137"/>
    <w:rsid w:val="006A3582"/>
    <w:rsid w:val="006A4EAB"/>
    <w:rsid w:val="006A515E"/>
    <w:rsid w:val="006B2586"/>
    <w:rsid w:val="006B372A"/>
    <w:rsid w:val="006C1E25"/>
    <w:rsid w:val="006E5555"/>
    <w:rsid w:val="006F18F4"/>
    <w:rsid w:val="0071662B"/>
    <w:rsid w:val="00765394"/>
    <w:rsid w:val="00775143"/>
    <w:rsid w:val="00785C96"/>
    <w:rsid w:val="007A5210"/>
    <w:rsid w:val="007B6ED7"/>
    <w:rsid w:val="007C21B4"/>
    <w:rsid w:val="007D46F1"/>
    <w:rsid w:val="007F0D36"/>
    <w:rsid w:val="007F0DF6"/>
    <w:rsid w:val="007F4E5C"/>
    <w:rsid w:val="007F6057"/>
    <w:rsid w:val="007F7D6E"/>
    <w:rsid w:val="008167CF"/>
    <w:rsid w:val="008305BE"/>
    <w:rsid w:val="00836A8C"/>
    <w:rsid w:val="00842B99"/>
    <w:rsid w:val="00842D7D"/>
    <w:rsid w:val="008436D5"/>
    <w:rsid w:val="00845BE0"/>
    <w:rsid w:val="00850B8D"/>
    <w:rsid w:val="00853E54"/>
    <w:rsid w:val="00860067"/>
    <w:rsid w:val="00870A3C"/>
    <w:rsid w:val="00872D54"/>
    <w:rsid w:val="008A18F0"/>
    <w:rsid w:val="008F2D51"/>
    <w:rsid w:val="008F5E05"/>
    <w:rsid w:val="008F7239"/>
    <w:rsid w:val="008F77C0"/>
    <w:rsid w:val="00913265"/>
    <w:rsid w:val="00934FB6"/>
    <w:rsid w:val="00950A4B"/>
    <w:rsid w:val="00951789"/>
    <w:rsid w:val="00951E45"/>
    <w:rsid w:val="009553AE"/>
    <w:rsid w:val="009579FB"/>
    <w:rsid w:val="00963EAE"/>
    <w:rsid w:val="00967951"/>
    <w:rsid w:val="00975376"/>
    <w:rsid w:val="00993144"/>
    <w:rsid w:val="00997A18"/>
    <w:rsid w:val="009A7F6B"/>
    <w:rsid w:val="009B10FA"/>
    <w:rsid w:val="009B3A8D"/>
    <w:rsid w:val="009E1566"/>
    <w:rsid w:val="009E3EEE"/>
    <w:rsid w:val="009E6482"/>
    <w:rsid w:val="009E7BD9"/>
    <w:rsid w:val="00A076E8"/>
    <w:rsid w:val="00A526BC"/>
    <w:rsid w:val="00A56E37"/>
    <w:rsid w:val="00A7729F"/>
    <w:rsid w:val="00A807AC"/>
    <w:rsid w:val="00A86F34"/>
    <w:rsid w:val="00A93FA1"/>
    <w:rsid w:val="00AD4EF8"/>
    <w:rsid w:val="00AD5945"/>
    <w:rsid w:val="00AD59E0"/>
    <w:rsid w:val="00AE5F4F"/>
    <w:rsid w:val="00B06FB1"/>
    <w:rsid w:val="00B07B6E"/>
    <w:rsid w:val="00B10DDB"/>
    <w:rsid w:val="00B111C3"/>
    <w:rsid w:val="00B153D1"/>
    <w:rsid w:val="00B24118"/>
    <w:rsid w:val="00B25D2A"/>
    <w:rsid w:val="00B326A5"/>
    <w:rsid w:val="00B35E42"/>
    <w:rsid w:val="00B43E5E"/>
    <w:rsid w:val="00B47F04"/>
    <w:rsid w:val="00B539BE"/>
    <w:rsid w:val="00B577FC"/>
    <w:rsid w:val="00B6296F"/>
    <w:rsid w:val="00B965D1"/>
    <w:rsid w:val="00BA712B"/>
    <w:rsid w:val="00BB3F12"/>
    <w:rsid w:val="00BC4510"/>
    <w:rsid w:val="00BC757C"/>
    <w:rsid w:val="00BF7A41"/>
    <w:rsid w:val="00C2093C"/>
    <w:rsid w:val="00C26D37"/>
    <w:rsid w:val="00C2724E"/>
    <w:rsid w:val="00C3016D"/>
    <w:rsid w:val="00C365E5"/>
    <w:rsid w:val="00C36A8C"/>
    <w:rsid w:val="00C45291"/>
    <w:rsid w:val="00C67E39"/>
    <w:rsid w:val="00C75CF5"/>
    <w:rsid w:val="00C810AF"/>
    <w:rsid w:val="00C87F59"/>
    <w:rsid w:val="00CA1D5A"/>
    <w:rsid w:val="00CB6151"/>
    <w:rsid w:val="00CC3321"/>
    <w:rsid w:val="00CD5934"/>
    <w:rsid w:val="00CE0468"/>
    <w:rsid w:val="00CE33D2"/>
    <w:rsid w:val="00CE5A1D"/>
    <w:rsid w:val="00CF7A7C"/>
    <w:rsid w:val="00D04D71"/>
    <w:rsid w:val="00D10D6F"/>
    <w:rsid w:val="00D17D9F"/>
    <w:rsid w:val="00D6175A"/>
    <w:rsid w:val="00DA42C1"/>
    <w:rsid w:val="00DA6CE6"/>
    <w:rsid w:val="00DB4186"/>
    <w:rsid w:val="00DC6B96"/>
    <w:rsid w:val="00DE2EF5"/>
    <w:rsid w:val="00DE74D4"/>
    <w:rsid w:val="00E06909"/>
    <w:rsid w:val="00E1382C"/>
    <w:rsid w:val="00E17E2C"/>
    <w:rsid w:val="00E218F9"/>
    <w:rsid w:val="00E228C6"/>
    <w:rsid w:val="00E26B6B"/>
    <w:rsid w:val="00E36605"/>
    <w:rsid w:val="00E7773A"/>
    <w:rsid w:val="00E827CF"/>
    <w:rsid w:val="00E86F27"/>
    <w:rsid w:val="00E96BFB"/>
    <w:rsid w:val="00EA1E96"/>
    <w:rsid w:val="00EB4D2D"/>
    <w:rsid w:val="00ED0850"/>
    <w:rsid w:val="00ED1D2F"/>
    <w:rsid w:val="00ED3E9C"/>
    <w:rsid w:val="00EE11C0"/>
    <w:rsid w:val="00EE7F5C"/>
    <w:rsid w:val="00EF3B21"/>
    <w:rsid w:val="00F00AAE"/>
    <w:rsid w:val="00F3455E"/>
    <w:rsid w:val="00F50833"/>
    <w:rsid w:val="00F56BF7"/>
    <w:rsid w:val="00F62F24"/>
    <w:rsid w:val="00F7777D"/>
    <w:rsid w:val="00F80299"/>
    <w:rsid w:val="00F80A2E"/>
    <w:rsid w:val="00F90E0B"/>
    <w:rsid w:val="00F93A84"/>
    <w:rsid w:val="00FC3B67"/>
    <w:rsid w:val="00FE199A"/>
    <w:rsid w:val="01466BEE"/>
    <w:rsid w:val="07253FCE"/>
    <w:rsid w:val="0DA43926"/>
    <w:rsid w:val="10E12BA5"/>
    <w:rsid w:val="179B24A4"/>
    <w:rsid w:val="223D2038"/>
    <w:rsid w:val="28270619"/>
    <w:rsid w:val="29601300"/>
    <w:rsid w:val="305C2F4C"/>
    <w:rsid w:val="37A039E4"/>
    <w:rsid w:val="3AC92695"/>
    <w:rsid w:val="3B3C4F08"/>
    <w:rsid w:val="3F626B59"/>
    <w:rsid w:val="42972BCC"/>
    <w:rsid w:val="433C7E8E"/>
    <w:rsid w:val="47881CAD"/>
    <w:rsid w:val="4AF73E41"/>
    <w:rsid w:val="57257F9D"/>
    <w:rsid w:val="58707855"/>
    <w:rsid w:val="59031BD3"/>
    <w:rsid w:val="5C9D0A2A"/>
    <w:rsid w:val="5DBB6E70"/>
    <w:rsid w:val="5E2D3EF3"/>
    <w:rsid w:val="63701A13"/>
    <w:rsid w:val="6BD01B4F"/>
    <w:rsid w:val="6E2E67C1"/>
    <w:rsid w:val="71796D0C"/>
    <w:rsid w:val="76E81537"/>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unhideWhenUsed="0" w:uiPriority="0" w:semiHidden="0" w:name="Normal"/>
    <w:lsdException w:unhideWhenUsed="0" w:uiPriority="0" w:semiHidden="0" w:name="heading 1" w:locked="1"/>
    <w:lsdException w:unhideWhenUsed="0" w:uiPriority="0" w:semiHidden="0" w:name="heading 2" w:locked="1"/>
    <w:lsdException w:unhideWhenUsed="0" w:uiPriority="0" w:semiHidden="0" w:name="heading 3" w:locked="1"/>
    <w:lsdException w:unhideWhenUsed="0" w:uiPriority="0" w:semiHidden="0" w:name="heading 4" w:locked="1"/>
    <w:lsdException w:unhideWhenUsed="0" w:uiPriority="0" w:semiHidden="0" w:name="heading 5" w:locked="1"/>
    <w:lsdException w:unhideWhenUsed="0" w:uiPriority="0" w:semiHidden="0" w:name="heading 6" w:locked="1"/>
    <w:lsdException w:unhideWhenUsed="0" w:uiPriority="0" w:semiHidden="0" w:name="heading 7" w:locked="1"/>
    <w:lsdException w:unhideWhenUsed="0" w:uiPriority="0" w:semiHidden="0" w:name="heading 8" w:locked="1"/>
    <w:lsdException w:unhideWhenUsed="0" w:uiPriority="0" w:semiHidden="0" w:name="heading 9" w:locked="1"/>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ocked="1"/>
    <w:lsdException w:unhideWhenUsed="0" w:uiPriority="0" w:semiHidden="0" w:name="toc 2" w:locked="1"/>
    <w:lsdException w:unhideWhenUsed="0" w:uiPriority="0" w:semiHidden="0" w:name="toc 3" w:locked="1"/>
    <w:lsdException w:unhideWhenUsed="0" w:uiPriority="0" w:semiHidden="0" w:name="toc 4" w:locked="1"/>
    <w:lsdException w:unhideWhenUsed="0" w:uiPriority="0" w:semiHidden="0" w:name="toc 5" w:locked="1"/>
    <w:lsdException w:unhideWhenUsed="0" w:uiPriority="0" w:semiHidden="0" w:name="toc 6" w:locked="1"/>
    <w:lsdException w:unhideWhenUsed="0" w:uiPriority="0" w:semiHidden="0" w:name="toc 7" w:locked="1"/>
    <w:lsdException w:unhideWhenUsed="0" w:uiPriority="0" w:semiHidden="0" w:name="toc 8" w:locked="1"/>
    <w:lsdException w:unhideWhenUsed="0" w:uiPriority="0" w:semiHidden="0" w:name="toc 9" w:locked="1"/>
    <w:lsdException w:unhideWhenUsed="0" w:uiPriority="0" w:semiHidden="0" w:name="Normal Indent"/>
    <w:lsdException w:unhideWhenUsed="0" w:uiPriority="0" w:semiHidden="0" w:name="footnote text"/>
    <w:lsdException w:unhideWhenUsed="0" w:uiPriority="0" w:semiHidden="0" w:name="annotation text"/>
    <w:lsdException w:unhideWhenUsed="0" w:uiPriority="0" w:name="header"/>
    <w:lsdException w:unhideWhenUsed="0" w:uiPriority="0" w:semiHidden="0" w:name="footer"/>
    <w:lsdException w:unhideWhenUsed="0" w:uiPriority="0" w:semiHidden="0" w:name="index heading"/>
    <w:lsdException w:unhideWhenUsed="0" w:uiPriority="0" w:semiHidden="0" w:name="caption" w:locked="1"/>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unhideWhenUsed="0" w:uiPriority="0" w:semiHidden="0" w:name="Title" w:locked="1"/>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unhideWhenUsed="0" w:uiPriority="0" w:semiHidden="0" w:name="Subtitle" w:locked="1"/>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unhideWhenUsed="0" w:uiPriority="0" w:semiHidden="0" w:name="Strong" w:locked="1"/>
    <w:lsdException w:unhideWhenUsed="0" w:uiPriority="0" w:semiHidden="0" w:name="Emphasis" w:locked="1"/>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uiPriority w:val="0"/>
    <w:pPr>
      <w:widowControl w:val="0"/>
      <w:jc w:val="both"/>
    </w:pPr>
    <w:rPr>
      <w:rFonts w:ascii="Times New Roman" w:hAnsi="Times New Roman" w:eastAsia="仿宋_GB2312" w:cs="Times New Roman"/>
      <w:sz w:val="32"/>
      <w:szCs w:val="32"/>
      <w:lang w:val="en-US" w:eastAsia="zh-CN" w:bidi="ar-SA"/>
    </w:rPr>
  </w:style>
  <w:style w:type="paragraph" w:styleId="2">
    <w:name w:val="heading 1"/>
    <w:basedOn w:val="3"/>
    <w:link w:val="25"/>
    <w:locked/>
    <w:uiPriority w:val="0"/>
    <w:pPr>
      <w:keepNext/>
      <w:keepLines/>
      <w:spacing w:before="0" w:after="0" w:line="720" w:lineRule="exact"/>
      <w:outlineLvl w:val="0"/>
    </w:pPr>
    <w:rPr>
      <w:rFonts w:eastAsia="方正小标宋简体"/>
      <w:b w:val="0"/>
      <w:bCs w:val="0"/>
      <w:kern w:val="44"/>
      <w:sz w:val="44"/>
      <w:szCs w:val="44"/>
    </w:rPr>
  </w:style>
  <w:style w:type="paragraph" w:styleId="4">
    <w:name w:val="heading 3"/>
    <w:basedOn w:val="1"/>
    <w:next w:val="1"/>
    <w:link w:val="30"/>
    <w:locked/>
    <w:uiPriority w:val="0"/>
    <w:pPr>
      <w:keepNext/>
      <w:keepLines/>
      <w:spacing w:before="260" w:after="260" w:line="416" w:lineRule="auto"/>
      <w:outlineLvl w:val="2"/>
    </w:pPr>
    <w:rPr>
      <w:rFonts w:eastAsia="宋体"/>
      <w:b/>
      <w:bCs/>
      <w:kern w:val="2"/>
    </w:rPr>
  </w:style>
  <w:style w:type="paragraph" w:styleId="5">
    <w:name w:val="heading 4"/>
    <w:basedOn w:val="1"/>
    <w:next w:val="1"/>
    <w:link w:val="28"/>
    <w:locked/>
    <w:uiPriority w:val="0"/>
    <w:pPr>
      <w:keepNext/>
      <w:keepLines/>
      <w:spacing w:before="280" w:after="290" w:line="376" w:lineRule="auto"/>
      <w:outlineLvl w:val="3"/>
    </w:pPr>
    <w:rPr>
      <w:rFonts w:ascii="Cambria" w:hAnsi="Cambria" w:eastAsia="宋体"/>
      <w:b/>
      <w:bCs/>
      <w:kern w:val="2"/>
      <w:sz w:val="28"/>
      <w:szCs w:val="28"/>
    </w:rPr>
  </w:style>
  <w:style w:type="character" w:default="1" w:styleId="13">
    <w:name w:val="Default Paragraph Font"/>
    <w:semiHidden/>
    <w:uiPriority w:val="0"/>
  </w:style>
  <w:style w:type="table" w:default="1" w:styleId="11">
    <w:name w:val="Normal Table"/>
    <w:semiHidden/>
    <w:qFormat/>
    <w:uiPriority w:val="0"/>
    <w:tblPr>
      <w:tblCellMar>
        <w:top w:w="0" w:type="dxa"/>
        <w:left w:w="108" w:type="dxa"/>
        <w:bottom w:w="0" w:type="dxa"/>
        <w:right w:w="108" w:type="dxa"/>
      </w:tblCellMar>
    </w:tblPr>
  </w:style>
  <w:style w:type="paragraph" w:styleId="3">
    <w:name w:val="Title"/>
    <w:basedOn w:val="1"/>
    <w:link w:val="23"/>
    <w:locked/>
    <w:uiPriority w:val="0"/>
    <w:pPr>
      <w:spacing w:before="240" w:after="60"/>
      <w:jc w:val="center"/>
      <w:outlineLvl w:val="0"/>
    </w:pPr>
    <w:rPr>
      <w:rFonts w:ascii="Arial" w:hAnsi="Arial" w:eastAsia="宋体" w:cs="Arial"/>
      <w:b/>
      <w:bCs/>
      <w:kern w:val="2"/>
    </w:rPr>
  </w:style>
  <w:style w:type="paragraph" w:styleId="6">
    <w:name w:val="Plain Text"/>
    <w:basedOn w:val="1"/>
    <w:link w:val="22"/>
    <w:qFormat/>
    <w:uiPriority w:val="0"/>
    <w:rPr>
      <w:rFonts w:ascii="宋体" w:hAnsi="Courier New" w:eastAsia="宋体" w:cs="Courier New"/>
      <w:kern w:val="2"/>
      <w:sz w:val="21"/>
      <w:szCs w:val="21"/>
    </w:rPr>
  </w:style>
  <w:style w:type="paragraph" w:styleId="7">
    <w:name w:val="Balloon Text"/>
    <w:basedOn w:val="1"/>
    <w:link w:val="18"/>
    <w:semiHidden/>
    <w:uiPriority w:val="0"/>
    <w:rPr>
      <w:rFonts w:eastAsia="宋体"/>
      <w:kern w:val="2"/>
      <w:sz w:val="18"/>
      <w:szCs w:val="18"/>
    </w:rPr>
  </w:style>
  <w:style w:type="paragraph" w:styleId="8">
    <w:name w:val="footer"/>
    <w:basedOn w:val="1"/>
    <w:link w:val="19"/>
    <w:uiPriority w:val="0"/>
    <w:pPr>
      <w:tabs>
        <w:tab w:val="center" w:pos="4153"/>
        <w:tab w:val="right" w:pos="8306"/>
      </w:tabs>
      <w:snapToGrid w:val="0"/>
      <w:jc w:val="left"/>
    </w:pPr>
    <w:rPr>
      <w:sz w:val="18"/>
      <w:szCs w:val="18"/>
    </w:rPr>
  </w:style>
  <w:style w:type="paragraph" w:styleId="9">
    <w:name w:val="header"/>
    <w:basedOn w:val="1"/>
    <w:link w:val="24"/>
    <w:semiHidden/>
    <w:uiPriority w:val="0"/>
    <w:pPr>
      <w:pBdr>
        <w:bottom w:val="single" w:color="auto" w:sz="6" w:space="1"/>
      </w:pBdr>
      <w:tabs>
        <w:tab w:val="center" w:pos="4153"/>
        <w:tab w:val="right" w:pos="8306"/>
      </w:tabs>
      <w:snapToGrid w:val="0"/>
      <w:jc w:val="center"/>
    </w:pPr>
    <w:rPr>
      <w:sz w:val="18"/>
      <w:szCs w:val="18"/>
    </w:rPr>
  </w:style>
  <w:style w:type="paragraph" w:styleId="10">
    <w:name w:val="Normal (Web)"/>
    <w:basedOn w:val="1"/>
    <w:uiPriority w:val="0"/>
    <w:pPr>
      <w:widowControl/>
      <w:jc w:val="left"/>
    </w:pPr>
    <w:rPr>
      <w:rFonts w:ascii="宋体" w:hAnsi="宋体" w:eastAsia="宋体"/>
      <w:sz w:val="24"/>
      <w:szCs w:val="20"/>
    </w:rPr>
  </w:style>
  <w:style w:type="table" w:styleId="12">
    <w:name w:val="Table Grid"/>
    <w:basedOn w:val="11"/>
    <w:uiPriority w:val="0"/>
    <w:pPr>
      <w:widowControl w:val="0"/>
      <w:jc w:val="both"/>
    </w:pPr>
    <w:rPr>
      <w:rFonts w:ascii="Times New Roman" w:hAnsi="Times New Roman"/>
      <w:sz w:val="32"/>
      <w:szCs w:val="32"/>
      <w:lang w:val="en-US" w:eastAsia="zh-CN" w:bidi="ar-SA"/>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4">
    <w:name w:val="Strong"/>
    <w:basedOn w:val="13"/>
    <w:locked/>
    <w:uiPriority w:val="0"/>
    <w:rPr>
      <w:rFonts w:cs="Times New Roman"/>
      <w:b/>
      <w:bCs/>
    </w:rPr>
  </w:style>
  <w:style w:type="character" w:styleId="15">
    <w:name w:val="page number"/>
    <w:basedOn w:val="13"/>
    <w:uiPriority w:val="0"/>
    <w:rPr>
      <w:rFonts w:cs="Times New Roman"/>
    </w:rPr>
  </w:style>
  <w:style w:type="character" w:styleId="16">
    <w:name w:val="Emphasis"/>
    <w:basedOn w:val="13"/>
    <w:locked/>
    <w:uiPriority w:val="0"/>
    <w:rPr>
      <w:rFonts w:cs="Times New Roman"/>
      <w:i/>
      <w:iCs/>
    </w:rPr>
  </w:style>
  <w:style w:type="character" w:styleId="17">
    <w:name w:val="Hyperlink"/>
    <w:basedOn w:val="13"/>
    <w:uiPriority w:val="0"/>
    <w:rPr>
      <w:rFonts w:cs="Times New Roman"/>
      <w:color w:val="0000FF"/>
      <w:u w:val="single"/>
    </w:rPr>
  </w:style>
  <w:style w:type="character" w:customStyle="1" w:styleId="18">
    <w:name w:val="Balloon Text Char"/>
    <w:basedOn w:val="13"/>
    <w:link w:val="7"/>
    <w:semiHidden/>
    <w:locked/>
    <w:uiPriority w:val="0"/>
    <w:rPr>
      <w:rFonts w:ascii="Times New Roman" w:hAnsi="Times New Roman" w:eastAsia="仿宋_GB2312" w:cs="Times New Roman"/>
      <w:kern w:val="0"/>
      <w:sz w:val="2"/>
    </w:rPr>
  </w:style>
  <w:style w:type="character" w:customStyle="1" w:styleId="19">
    <w:name w:val="Footer Char"/>
    <w:basedOn w:val="13"/>
    <w:link w:val="8"/>
    <w:locked/>
    <w:uiPriority w:val="0"/>
    <w:rPr>
      <w:rFonts w:ascii="Times New Roman" w:hAnsi="Times New Roman" w:eastAsia="仿宋_GB2312" w:cs="Times New Roman"/>
      <w:kern w:val="0"/>
      <w:sz w:val="18"/>
      <w:szCs w:val="18"/>
    </w:rPr>
  </w:style>
  <w:style w:type="character" w:customStyle="1" w:styleId="20">
    <w:name w:val="公文标题"/>
    <w:basedOn w:val="13"/>
    <w:uiPriority w:val="0"/>
    <w:rPr>
      <w:rFonts w:cs="Times New Roman"/>
      <w:sz w:val="44"/>
    </w:rPr>
  </w:style>
  <w:style w:type="character" w:customStyle="1" w:styleId="21">
    <w:name w:val="Heading 4 Char1"/>
    <w:basedOn w:val="13"/>
    <w:link w:val="5"/>
    <w:semiHidden/>
    <w:locked/>
    <w:uiPriority w:val="0"/>
    <w:rPr>
      <w:rFonts w:ascii="Cambria" w:hAnsi="Cambria" w:eastAsia="宋体" w:cs="Times New Roman"/>
      <w:b/>
      <w:bCs/>
      <w:kern w:val="2"/>
      <w:sz w:val="28"/>
      <w:szCs w:val="28"/>
      <w:lang w:val="en-US" w:eastAsia="zh-CN" w:bidi="ar-SA"/>
    </w:rPr>
  </w:style>
  <w:style w:type="character" w:customStyle="1" w:styleId="22">
    <w:name w:val="Plain Text Char"/>
    <w:basedOn w:val="13"/>
    <w:link w:val="6"/>
    <w:locked/>
    <w:uiPriority w:val="0"/>
    <w:rPr>
      <w:rFonts w:ascii="宋体" w:hAnsi="Courier New" w:eastAsia="宋体" w:cs="Courier New"/>
      <w:sz w:val="21"/>
      <w:szCs w:val="21"/>
    </w:rPr>
  </w:style>
  <w:style w:type="character" w:customStyle="1" w:styleId="23">
    <w:name w:val="Title Char"/>
    <w:basedOn w:val="13"/>
    <w:link w:val="3"/>
    <w:locked/>
    <w:uiPriority w:val="0"/>
    <w:rPr>
      <w:rFonts w:ascii="Cambria" w:hAnsi="Cambria" w:cs="Times New Roman"/>
      <w:b/>
      <w:bCs/>
      <w:kern w:val="0"/>
      <w:sz w:val="32"/>
      <w:szCs w:val="32"/>
    </w:rPr>
  </w:style>
  <w:style w:type="character" w:customStyle="1" w:styleId="24">
    <w:name w:val="Header Char"/>
    <w:basedOn w:val="13"/>
    <w:link w:val="9"/>
    <w:semiHidden/>
    <w:qFormat/>
    <w:locked/>
    <w:uiPriority w:val="0"/>
    <w:rPr>
      <w:rFonts w:ascii="Times New Roman" w:hAnsi="Times New Roman" w:eastAsia="仿宋_GB2312" w:cs="Times New Roman"/>
      <w:kern w:val="0"/>
      <w:sz w:val="18"/>
      <w:szCs w:val="18"/>
    </w:rPr>
  </w:style>
  <w:style w:type="character" w:customStyle="1" w:styleId="25">
    <w:name w:val="Heading 1 Char"/>
    <w:basedOn w:val="13"/>
    <w:link w:val="2"/>
    <w:qFormat/>
    <w:locked/>
    <w:uiPriority w:val="0"/>
    <w:rPr>
      <w:rFonts w:ascii="Times New Roman" w:hAnsi="Times New Roman" w:eastAsia="仿宋_GB2312" w:cs="Times New Roman"/>
      <w:b/>
      <w:bCs/>
      <w:kern w:val="44"/>
      <w:sz w:val="44"/>
      <w:szCs w:val="44"/>
    </w:rPr>
  </w:style>
  <w:style w:type="character" w:customStyle="1" w:styleId="26">
    <w:name w:val="公文正文"/>
    <w:basedOn w:val="13"/>
    <w:qFormat/>
    <w:uiPriority w:val="0"/>
    <w:rPr>
      <w:rFonts w:ascii="仿宋_GB2312" w:eastAsia="仿宋_GB2312" w:cs="Times New Roman"/>
      <w:sz w:val="32"/>
    </w:rPr>
  </w:style>
  <w:style w:type="character" w:customStyle="1" w:styleId="27">
    <w:name w:val="Heading 3 Char"/>
    <w:basedOn w:val="13"/>
    <w:link w:val="4"/>
    <w:semiHidden/>
    <w:locked/>
    <w:uiPriority w:val="0"/>
    <w:rPr>
      <w:rFonts w:ascii="Times New Roman" w:hAnsi="Times New Roman" w:eastAsia="仿宋_GB2312" w:cs="Times New Roman"/>
      <w:b/>
      <w:bCs/>
      <w:kern w:val="0"/>
      <w:sz w:val="32"/>
      <w:szCs w:val="32"/>
    </w:rPr>
  </w:style>
  <w:style w:type="character" w:customStyle="1" w:styleId="28">
    <w:name w:val="Heading 4 Char"/>
    <w:basedOn w:val="13"/>
    <w:link w:val="5"/>
    <w:semiHidden/>
    <w:locked/>
    <w:uiPriority w:val="0"/>
    <w:rPr>
      <w:rFonts w:ascii="Cambria" w:hAnsi="Cambria" w:eastAsia="宋体" w:cs="Times New Roman"/>
      <w:b/>
      <w:bCs/>
      <w:kern w:val="0"/>
      <w:sz w:val="28"/>
      <w:szCs w:val="28"/>
    </w:rPr>
  </w:style>
  <w:style w:type="character" w:customStyle="1" w:styleId="29">
    <w:name w:val="Char Char"/>
    <w:basedOn w:val="13"/>
    <w:qFormat/>
    <w:uiPriority w:val="0"/>
    <w:rPr>
      <w:rFonts w:cs="Times New Roman"/>
      <w:kern w:val="2"/>
      <w:sz w:val="18"/>
      <w:szCs w:val="18"/>
    </w:rPr>
  </w:style>
  <w:style w:type="character" w:customStyle="1" w:styleId="30">
    <w:name w:val="Heading 3 Char1"/>
    <w:basedOn w:val="13"/>
    <w:link w:val="4"/>
    <w:locked/>
    <w:uiPriority w:val="0"/>
    <w:rPr>
      <w:rFonts w:eastAsia="宋体" w:cs="Times New Roman"/>
      <w:b/>
      <w:bCs/>
      <w:kern w:val="2"/>
      <w:sz w:val="32"/>
      <w:szCs w:val="32"/>
      <w:lang w:val="en-US" w:eastAsia="zh-CN" w:bidi="ar-SA"/>
    </w:rPr>
  </w:style>
  <w:style w:type="paragraph" w:customStyle="1" w:styleId="31">
    <w:name w:val="Char Char Char Char Char Char Char Char Char Char Char Char Char Char Char Char Char Char Char Char Char Char Char Char Char Char Char Char Char Char Char Char Char"/>
    <w:basedOn w:val="1"/>
    <w:qFormat/>
    <w:uiPriority w:val="0"/>
    <w:pPr>
      <w:widowControl/>
      <w:spacing w:after="160" w:line="240" w:lineRule="exact"/>
      <w:jc w:val="left"/>
    </w:pPr>
    <w:rPr>
      <w:rFonts w:ascii="Verdana" w:hAnsi="Verdana" w:cs="Verdana"/>
      <w:sz w:val="24"/>
      <w:szCs w:val="21"/>
      <w:lang w:eastAsia="en-US"/>
    </w:rPr>
  </w:style>
  <w:style w:type="paragraph" w:customStyle="1" w:styleId="32">
    <w:name w:val="列出段落"/>
    <w:basedOn w:val="1"/>
    <w:uiPriority w:val="0"/>
    <w:pPr>
      <w:ind w:firstLine="420" w:firstLineChars="200"/>
    </w:pPr>
    <w:rPr>
      <w:rFonts w:eastAsia="宋体"/>
      <w:kern w:val="2"/>
      <w:sz w:val="21"/>
      <w:szCs w:val="20"/>
    </w:rPr>
  </w:style>
  <w:style w:type="paragraph" w:customStyle="1" w:styleId="33">
    <w:name w:val="Char Char Char1 Char"/>
    <w:basedOn w:val="1"/>
    <w:semiHidden/>
    <w:uiPriority w:val="0"/>
    <w:rPr>
      <w:rFonts w:eastAsia="宋体"/>
      <w:kern w:val="2"/>
      <w:sz w:val="21"/>
      <w:szCs w:val="24"/>
    </w:rPr>
  </w:style>
  <w:style w:type="paragraph" w:customStyle="1" w:styleId="34">
    <w:name w:val="List Paragraph"/>
    <w:basedOn w:val="1"/>
    <w:uiPriority w:val="0"/>
    <w:pPr>
      <w:ind w:firstLine="420" w:firstLineChars="200"/>
    </w:pPr>
  </w:style>
  <w:style w:type="paragraph" w:customStyle="1" w:styleId="35">
    <w:name w:val="Char Char Char Char"/>
    <w:basedOn w:val="1"/>
    <w:uiPriority w:val="0"/>
    <w:rPr>
      <w:sz w:val="36"/>
      <w:szCs w:val="36"/>
    </w:rPr>
  </w:style>
  <w:style w:type="paragraph" w:customStyle="1" w:styleId="36">
    <w:name w:val="样式1"/>
    <w:basedOn w:val="2"/>
    <w:uiPriority w:val="0"/>
    <w:rPr>
      <w:rFonts w:ascii="方正小标宋简体" w:hAnsi="方正小标宋简体"/>
      <w:b/>
      <w:bCs/>
    </w:rPr>
  </w:style>
  <w:style w:type="paragraph" w:customStyle="1" w:styleId="37">
    <w:name w:val="p0"/>
    <w:basedOn w:val="1"/>
    <w:uiPriority w:val="0"/>
    <w:pPr>
      <w:widowControl/>
    </w:pPr>
    <w:rPr>
      <w:rFonts w:ascii="Calibri" w:hAnsi="Calibri" w:eastAsia="宋体" w:cs="宋体"/>
      <w:sz w:val="21"/>
      <w:szCs w:val="21"/>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image" Target="media/image1.png"/><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Template>
  <Company>Microsoft</Company>
  <Pages>26</Pages>
  <Words>7787</Words>
  <Characters>7838</Characters>
  <Lines>102</Lines>
  <Paragraphs>28</Paragraphs>
  <TotalTime>0</TotalTime>
  <ScaleCrop>false</ScaleCrop>
  <LinksUpToDate>false</LinksUpToDate>
  <CharactersWithSpaces>7922</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2017-04-30T04:11:00Z</dcterms:created>
  <dc:creator>AutoBVT</dc:creator>
  <cp:lastModifiedBy>符号</cp:lastModifiedBy>
  <cp:lastPrinted>2018-05-04T02:56:00Z</cp:lastPrinted>
  <dcterms:modified xsi:type="dcterms:W3CDTF">2026-08-20T09:24:32Z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8F056C972E0947FBB85FB18605394AA2_13</vt:lpwstr>
  </property>
  <property fmtid="{D5CDD505-2E9C-101B-9397-08002B2CF9AE}" pid="4" name="KSOTemplateDocerSaveRecord">
    <vt:lpwstr>eyJoZGlkIjoiOGQyZDRkZmFlNWM0MDliNWRhYTQ0Nzc4MzE5NmI0MjQiLCJ1c2VySWQiOiIzNjE2NjA5NTcifQ==</vt:lpwstr>
  </property>
</Properties>
</file>