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B40C85">
      <w:pPr>
        <w:widowControl/>
        <w:autoSpaceDE w:val="0"/>
        <w:autoSpaceDN w:val="0"/>
        <w:spacing w:before="534" w:after="0" w:line="220" w:lineRule="exact"/>
        <w:ind w:left="0" w:right="0"/>
      </w:pPr>
    </w:p>
    <w:p w14:paraId="15B3F6DE">
      <w:pPr>
        <w:widowControl/>
        <w:autoSpaceDE w:val="0"/>
        <w:autoSpaceDN w:val="0"/>
        <w:spacing w:before="0" w:after="0" w:line="502" w:lineRule="exact"/>
        <w:ind w:left="0" w:right="0" w:firstLine="0"/>
        <w:jc w:val="center"/>
      </w:pPr>
      <w:r>
        <w:rPr>
          <w:rFonts w:ascii="MjUACcdo+FZXBSJW" w:hAnsi="MjUACcdo+FZXBSJW" w:eastAsia="MjUACcdo+FZXBSJW"/>
          <w:color w:val="1F2229"/>
          <w:sz w:val="44"/>
        </w:rPr>
        <w:t>五华区委统一战线工作部2025年度部门评价</w:t>
      </w:r>
    </w:p>
    <w:p w14:paraId="20F53E8E">
      <w:pPr>
        <w:widowControl/>
        <w:autoSpaceDE w:val="0"/>
        <w:autoSpaceDN w:val="0"/>
        <w:spacing w:before="58" w:after="0" w:line="510" w:lineRule="exact"/>
        <w:ind w:left="0" w:right="4322" w:firstLine="0"/>
        <w:jc w:val="right"/>
      </w:pPr>
      <w:r>
        <w:rPr>
          <w:rFonts w:ascii="MjUACcdo+FZXBSJW" w:hAnsi="MjUACcdo+FZXBSJW" w:eastAsia="MjUACcdo+FZXBSJW"/>
          <w:color w:val="1F2229"/>
          <w:sz w:val="44"/>
        </w:rPr>
        <w:t>报告</w:t>
      </w:r>
    </w:p>
    <w:p w14:paraId="4CB3F771">
      <w:pPr>
        <w:widowControl/>
        <w:tabs>
          <w:tab w:val="left" w:pos="788"/>
        </w:tabs>
        <w:autoSpaceDE w:val="0"/>
        <w:autoSpaceDN w:val="0"/>
        <w:spacing w:before="1038" w:after="0" w:line="560" w:lineRule="exact"/>
        <w:ind w:left="146" w:right="0" w:firstLine="0"/>
        <w:jc w:val="left"/>
      </w:pPr>
      <w:r>
        <w:rPr>
          <w:rFonts w:ascii="RXlREYhZ+FangSong" w:hAnsi="RXlREYhZ+FangSong" w:eastAsia="RXlREYhZ+FangSong"/>
          <w:color w:val="1F2229"/>
          <w:sz w:val="32"/>
        </w:rPr>
        <w:t>区财政局：</w:t>
      </w:r>
      <w:r>
        <w:br w:type="textWrapping"/>
      </w:r>
      <w:r>
        <w:tab/>
      </w:r>
      <w:r>
        <w:rPr>
          <w:rFonts w:ascii="RXlREYhZ+FangSong" w:hAnsi="RXlREYhZ+FangSong" w:eastAsia="RXlREYhZ+FangSong"/>
          <w:color w:val="1F2229"/>
          <w:sz w:val="32"/>
        </w:rPr>
        <w:t>为认真贯彻落实党中央</w:t>
      </w:r>
      <w:r>
        <w:rPr>
          <w:rFonts w:hint="eastAsia" w:ascii="RXlREYhZ+FangSong" w:hAnsi="RXlREYhZ+FangSong" w:eastAsia="宋体"/>
          <w:color w:val="1F2229"/>
          <w:sz w:val="32"/>
          <w:lang w:val="en-US" w:eastAsia="zh-CN"/>
        </w:rPr>
        <w:t xml:space="preserve"> </w:t>
      </w:r>
      <w:bookmarkStart w:id="0" w:name="_GoBack"/>
      <w:bookmarkEnd w:id="0"/>
      <w:r>
        <w:rPr>
          <w:rFonts w:ascii="RXlREYhZ+FangSong" w:hAnsi="RXlREYhZ+FangSong" w:eastAsia="RXlREYhZ+FangSong"/>
          <w:color w:val="1F2229"/>
          <w:sz w:val="32"/>
        </w:rPr>
        <w:t>国务院、省市区党委政府关于全面实施预算绩效管理的决策部署，健全绩效管理常态化机制，切实增强支出绩效意识，提高财政资金使用效益，根据《云南省财政厅关于印发〈云南省项目支出绩效评价管理办法〉的通知》（云财绩〔</w:t>
      </w:r>
      <w:r>
        <w:rPr>
          <w:rFonts w:ascii="cBgpXohS+KSOFE44F9426" w:hAnsi="cBgpXohS+KSOFE44F9426" w:eastAsia="cBgpXohS+KSOFE44F9426"/>
          <w:color w:val="1F2229"/>
          <w:sz w:val="32"/>
        </w:rPr>
        <w:t>2020</w:t>
      </w:r>
      <w:r>
        <w:rPr>
          <w:rFonts w:ascii="RXlREYhZ+FangSong" w:hAnsi="RXlREYhZ+FangSong" w:eastAsia="RXlREYhZ+FangSong"/>
          <w:color w:val="1F2229"/>
          <w:sz w:val="32"/>
        </w:rPr>
        <w:t>〕</w:t>
      </w:r>
      <w:r>
        <w:rPr>
          <w:rFonts w:ascii="cBgpXohS+KSOFE44F9426" w:hAnsi="cBgpXohS+KSOFE44F9426" w:eastAsia="cBgpXohS+KSOFE44F9426"/>
          <w:color w:val="1F2229"/>
          <w:sz w:val="32"/>
        </w:rPr>
        <w:t>11</w:t>
      </w:r>
      <w:r>
        <w:rPr>
          <w:rFonts w:ascii="RXlREYhZ+FangSong" w:hAnsi="RXlREYhZ+FangSong" w:eastAsia="RXlREYhZ+FangSong"/>
          <w:color w:val="1F2229"/>
          <w:sz w:val="32"/>
        </w:rPr>
        <w:t>号）、《五华区预算绩效自评管理暂行办法》（五财〔</w:t>
      </w:r>
      <w:r>
        <w:rPr>
          <w:rFonts w:ascii="cBgpXohS+KSOFE44F9426" w:hAnsi="cBgpXohS+KSOFE44F9426" w:eastAsia="cBgpXohS+KSOFE44F9426"/>
          <w:color w:val="1F2229"/>
          <w:sz w:val="32"/>
        </w:rPr>
        <w:t>2019</w:t>
      </w:r>
      <w:r>
        <w:rPr>
          <w:rFonts w:ascii="RXlREYhZ+FangSong" w:hAnsi="RXlREYhZ+FangSong" w:eastAsia="RXlREYhZ+FangSong"/>
          <w:color w:val="1F2229"/>
          <w:sz w:val="32"/>
        </w:rPr>
        <w:t>〕</w:t>
      </w:r>
      <w:r>
        <w:rPr>
          <w:rFonts w:ascii="cBgpXohS+KSOFE44F9426" w:hAnsi="cBgpXohS+KSOFE44F9426" w:eastAsia="cBgpXohS+KSOFE44F9426"/>
          <w:color w:val="1F2229"/>
          <w:sz w:val="32"/>
        </w:rPr>
        <w:t>51</w:t>
      </w:r>
      <w:r>
        <w:rPr>
          <w:rFonts w:ascii="RXlREYhZ+FangSong" w:hAnsi="RXlREYhZ+FangSong" w:eastAsia="RXlREYhZ+FangSong"/>
          <w:color w:val="1F2229"/>
          <w:sz w:val="32"/>
        </w:rPr>
        <w:t>号）等文件精神以及《五华区财政局关于开展</w:t>
      </w:r>
      <w:r>
        <w:rPr>
          <w:rFonts w:ascii="cBgpXohS+KSOFE44F9426" w:hAnsi="cBgpXohS+KSOFE44F9426" w:eastAsia="cBgpXohS+KSOFE44F9426"/>
          <w:color w:val="1F2229"/>
          <w:sz w:val="32"/>
        </w:rPr>
        <w:t>2025</w:t>
      </w:r>
      <w:r>
        <w:rPr>
          <w:rFonts w:ascii="RXlREYhZ+FangSong" w:hAnsi="RXlREYhZ+FangSong" w:eastAsia="RXlREYhZ+FangSong"/>
          <w:color w:val="1F2229"/>
          <w:sz w:val="32"/>
        </w:rPr>
        <w:t>年度预算支出绩效自评工作的通知》（五财〔</w:t>
      </w:r>
      <w:r>
        <w:rPr>
          <w:rFonts w:ascii="cBgpXohS+KSOFE44F9426" w:hAnsi="cBgpXohS+KSOFE44F9426" w:eastAsia="cBgpXohS+KSOFE44F9426"/>
          <w:color w:val="1F2229"/>
          <w:sz w:val="32"/>
        </w:rPr>
        <w:t>2026</w:t>
      </w:r>
      <w:r>
        <w:rPr>
          <w:rFonts w:ascii="RXlREYhZ+FangSong" w:hAnsi="RXlREYhZ+FangSong" w:eastAsia="RXlREYhZ+FangSong"/>
          <w:color w:val="1F2229"/>
          <w:sz w:val="32"/>
        </w:rPr>
        <w:t>〕号）要求，我单位高度重视，精心部署，积极组织，认真对</w:t>
      </w:r>
      <w:r>
        <w:rPr>
          <w:rFonts w:ascii="cBgpXohS+KSOFE44F9426" w:hAnsi="cBgpXohS+KSOFE44F9426" w:eastAsia="cBgpXohS+KSOFE44F9426"/>
          <w:color w:val="1F2229"/>
          <w:sz w:val="32"/>
        </w:rPr>
        <w:t>2025</w:t>
      </w:r>
      <w:r>
        <w:rPr>
          <w:rFonts w:ascii="RXlREYhZ+FangSong" w:hAnsi="RXlREYhZ+FangSong" w:eastAsia="RXlREYhZ+FangSong"/>
          <w:color w:val="1F2229"/>
          <w:sz w:val="32"/>
        </w:rPr>
        <w:t>年度整体支出和所有项目支出开展了绩效自评工作，现将有关情况报告如下：</w:t>
      </w:r>
    </w:p>
    <w:p w14:paraId="0C9F21B4">
      <w:pPr>
        <w:widowControl/>
        <w:autoSpaceDE w:val="0"/>
        <w:autoSpaceDN w:val="0"/>
        <w:spacing w:before="242" w:after="0" w:line="318" w:lineRule="exact"/>
        <w:ind w:left="788" w:right="0" w:firstLine="0"/>
        <w:jc w:val="left"/>
      </w:pPr>
      <w:r>
        <w:rPr>
          <w:rFonts w:ascii="1Bm9mvBQ+SimHei" w:hAnsi="1Bm9mvBQ+SimHei" w:eastAsia="1Bm9mvBQ+SimHei"/>
          <w:color w:val="1F2229"/>
          <w:sz w:val="32"/>
        </w:rPr>
        <w:t>一、工作情况</w:t>
      </w:r>
    </w:p>
    <w:p w14:paraId="65FA7238">
      <w:pPr>
        <w:widowControl/>
        <w:tabs>
          <w:tab w:val="left" w:pos="788"/>
        </w:tabs>
        <w:autoSpaceDE w:val="0"/>
        <w:autoSpaceDN w:val="0"/>
        <w:spacing w:before="0" w:after="0" w:line="560" w:lineRule="exact"/>
        <w:ind w:left="146" w:right="144" w:firstLine="0"/>
        <w:jc w:val="left"/>
      </w:pPr>
      <w:r>
        <w:tab/>
      </w:r>
      <w:r>
        <w:rPr>
          <w:rFonts w:ascii="ZfAlzrTJ+KaiTi" w:hAnsi="ZfAlzrTJ+KaiTi" w:eastAsia="ZfAlzrTJ+KaiTi"/>
          <w:color w:val="1F2229"/>
          <w:sz w:val="32"/>
        </w:rPr>
        <w:t>（一）绩效自评工作开展情况</w:t>
      </w:r>
      <w:r>
        <w:br w:type="textWrapping"/>
      </w:r>
      <w:r>
        <w:tab/>
      </w:r>
      <w:r>
        <w:rPr>
          <w:rFonts w:ascii="RXlREYhZ+FangSong" w:hAnsi="RXlREYhZ+FangSong" w:eastAsia="RXlREYhZ+FangSong"/>
          <w:color w:val="1F2229"/>
          <w:sz w:val="32"/>
        </w:rPr>
        <w:t>为确保绩效自评工作有序推进、取得实效，我单位切实提高政治站位，将绩效自评作为强化预算管理、提升资金效能的重要举措，扎实开展各项工作。</w:t>
      </w:r>
    </w:p>
    <w:p w14:paraId="7029D05F">
      <w:pPr>
        <w:widowControl/>
        <w:autoSpaceDE w:val="0"/>
        <w:autoSpaceDN w:val="0"/>
        <w:spacing w:before="0" w:after="0" w:line="560" w:lineRule="exact"/>
        <w:ind w:left="146" w:right="180" w:firstLine="642"/>
        <w:jc w:val="both"/>
      </w:pPr>
      <w:r>
        <w:rPr>
          <w:rFonts w:ascii="RXlREYhZ+FangSong" w:hAnsi="RXlREYhZ+FangSong" w:eastAsia="RXlREYhZ+FangSong"/>
          <w:color w:val="1F2229"/>
          <w:sz w:val="32"/>
        </w:rPr>
        <w:t>一是成立自评工作组。由单位主要负责人任组长，分管负责人任副组长，各业务科室、财务科室负责人为成员，明确领导小组统筹协调、财务人员具体落实的工作机制，层层压实责任、细化任务分工，确保自评工作有人抓、有人管、有成效。</w:t>
      </w:r>
    </w:p>
    <w:p w14:paraId="0B58C81A">
      <w:pPr>
        <w:widowControl/>
        <w:autoSpaceDE w:val="0"/>
        <w:autoSpaceDN w:val="0"/>
        <w:spacing w:before="858" w:after="0" w:line="286" w:lineRule="exact"/>
        <w:ind w:left="0" w:right="182" w:firstLine="0"/>
        <w:jc w:val="right"/>
      </w:pPr>
      <w:r>
        <w:rPr>
          <w:rFonts w:ascii="TSaPLJZp+Calibri" w:hAnsi="TSaPLJZp+Calibri" w:eastAsia="TSaPLJZp+Calibri"/>
          <w:color w:val="000000"/>
          <w:sz w:val="18"/>
        </w:rPr>
        <w:t>—</w:t>
      </w:r>
      <w:r>
        <w:rPr>
          <w:rFonts w:ascii="s25zntVZ+SimSun" w:hAnsi="s25zntVZ+SimSun" w:eastAsia="s25zntVZ+SimSun"/>
          <w:color w:val="000000"/>
          <w:sz w:val="28"/>
        </w:rPr>
        <w:t>1</w:t>
      </w:r>
      <w:r>
        <w:rPr>
          <w:rFonts w:ascii="TSaPLJZp+Calibri" w:hAnsi="TSaPLJZp+Calibri" w:eastAsia="TSaPLJZp+Calibri"/>
          <w:color w:val="000000"/>
          <w:sz w:val="18"/>
        </w:rPr>
        <w:t>—</w:t>
      </w:r>
    </w:p>
    <w:p w14:paraId="601618A9">
      <w:pPr>
        <w:sectPr>
          <w:pgSz w:w="11906" w:h="17238"/>
          <w:pgMar w:top="752" w:right="1296" w:bottom="440" w:left="1440" w:header="720" w:footer="720" w:gutter="0"/>
          <w:cols w:equalWidth="0" w:num="1">
            <w:col w:w="9170"/>
          </w:cols>
          <w:docGrid w:linePitch="360" w:charSpace="0"/>
        </w:sectPr>
      </w:pPr>
    </w:p>
    <w:p w14:paraId="1C534B6F">
      <w:pPr>
        <w:widowControl/>
        <w:autoSpaceDE w:val="0"/>
        <w:autoSpaceDN w:val="0"/>
        <w:spacing w:before="588" w:after="0" w:line="220" w:lineRule="exact"/>
        <w:ind w:left="0" w:right="0"/>
      </w:pPr>
    </w:p>
    <w:p w14:paraId="2C35C1EF">
      <w:pPr>
        <w:widowControl/>
        <w:autoSpaceDE w:val="0"/>
        <w:autoSpaceDN w:val="0"/>
        <w:spacing w:before="0" w:after="0" w:line="500" w:lineRule="exact"/>
        <w:ind w:left="146" w:right="340" w:firstLine="642"/>
        <w:jc w:val="both"/>
      </w:pPr>
      <w:r>
        <w:rPr>
          <w:rFonts w:ascii="RXlREYhZ+FangSong" w:hAnsi="RXlREYhZ+FangSong" w:eastAsia="RXlREYhZ+FangSong"/>
          <w:color w:val="1F2229"/>
          <w:sz w:val="32"/>
        </w:rPr>
        <w:t>二是细化工作部署。结合单位实际，制定《</w:t>
      </w:r>
      <w:r>
        <w:rPr>
          <w:rFonts w:ascii="cBgpXohS+KSOFE44F9426" w:hAnsi="cBgpXohS+KSOFE44F9426" w:eastAsia="cBgpXohS+KSOFE44F9426"/>
          <w:color w:val="1F2229"/>
          <w:sz w:val="32"/>
        </w:rPr>
        <w:t>2025</w:t>
      </w:r>
      <w:r>
        <w:rPr>
          <w:rFonts w:ascii="RXlREYhZ+FangSong" w:hAnsi="RXlREYhZ+FangSong" w:eastAsia="RXlREYhZ+FangSong"/>
          <w:color w:val="1F2229"/>
          <w:sz w:val="32"/>
        </w:rPr>
        <w:t>年度预算支出绩效自评工作实施方案》，明确自评范围、评价标准、方法步骤、时间节点和责任分工，下发至各相关科室，确保自评工作有章可循、有据可依、规范有序。</w:t>
      </w:r>
    </w:p>
    <w:p w14:paraId="36D0A5D8">
      <w:pPr>
        <w:widowControl/>
        <w:autoSpaceDE w:val="0"/>
        <w:autoSpaceDN w:val="0"/>
        <w:spacing w:before="0" w:after="0" w:line="560" w:lineRule="exact"/>
        <w:ind w:left="146" w:right="0" w:firstLine="642"/>
        <w:jc w:val="left"/>
      </w:pPr>
      <w:r>
        <w:rPr>
          <w:rFonts w:ascii="RXlREYhZ+FangSong" w:hAnsi="RXlREYhZ+FangSong" w:eastAsia="RXlREYhZ+FangSong"/>
          <w:color w:val="1F2229"/>
          <w:sz w:val="32"/>
        </w:rPr>
        <w:t>三是开展业务培训。组织各科室自评工作人员开展专题培训，重点讲解绩效自评指标体系、填报规范、评价方法以及预算管理一体化系统操作流程，解答自评过程中可能遇到的难点问题，提升工作人员业务能力，保障自评工作质量。</w:t>
      </w:r>
    </w:p>
    <w:p w14:paraId="502D44A6">
      <w:pPr>
        <w:widowControl/>
        <w:autoSpaceDE w:val="0"/>
        <w:autoSpaceDN w:val="0"/>
        <w:spacing w:before="0" w:after="0" w:line="560" w:lineRule="exact"/>
        <w:ind w:left="146" w:right="182" w:firstLine="642"/>
        <w:jc w:val="both"/>
      </w:pPr>
      <w:r>
        <w:rPr>
          <w:rFonts w:ascii="RXlREYhZ+FangSong" w:hAnsi="RXlREYhZ+FangSong" w:eastAsia="RXlREYhZ+FangSong"/>
          <w:color w:val="1F2229"/>
          <w:sz w:val="32"/>
        </w:rPr>
        <w:t>四是有序组织自评。各科室严格按照实施方案要求，对照绩效目标，全面梳理</w:t>
      </w:r>
      <w:r>
        <w:rPr>
          <w:rFonts w:ascii="cBgpXohS+KSOFE44F9426" w:hAnsi="cBgpXohS+KSOFE44F9426" w:eastAsia="cBgpXohS+KSOFE44F9426"/>
          <w:color w:val="1F2229"/>
          <w:sz w:val="32"/>
        </w:rPr>
        <w:t>2025</w:t>
      </w:r>
      <w:r>
        <w:rPr>
          <w:rFonts w:ascii="RXlREYhZ+FangSong" w:hAnsi="RXlREYhZ+FangSong" w:eastAsia="RXlREYhZ+FangSong"/>
          <w:color w:val="1F2229"/>
          <w:sz w:val="32"/>
        </w:rPr>
        <w:t>年度资金收支、项目实施、目标完成等情况，认真填报自评表格、撰写自评报告，财务人员对各科室上报的自评材料进行逐一审核、复核，对发现的问题及时反馈并督促整改，确保自评数据真实准确、内容完整规范、评价客观公正。</w:t>
      </w:r>
    </w:p>
    <w:p w14:paraId="21262DE0">
      <w:pPr>
        <w:widowControl/>
        <w:tabs>
          <w:tab w:val="left" w:pos="788"/>
        </w:tabs>
        <w:autoSpaceDE w:val="0"/>
        <w:autoSpaceDN w:val="0"/>
        <w:spacing w:before="0" w:after="0" w:line="560" w:lineRule="exact"/>
        <w:ind w:left="146" w:right="144" w:firstLine="0"/>
        <w:jc w:val="left"/>
      </w:pPr>
      <w:r>
        <w:tab/>
      </w:r>
      <w:r>
        <w:rPr>
          <w:rFonts w:ascii="ZfAlzrTJ+KaiTi" w:hAnsi="ZfAlzrTJ+KaiTi" w:eastAsia="ZfAlzrTJ+KaiTi"/>
          <w:color w:val="1F2229"/>
          <w:sz w:val="32"/>
        </w:rPr>
        <w:t>（二）绩效自评总体概况</w:t>
      </w:r>
      <w:r>
        <w:br w:type="textWrapping"/>
      </w:r>
      <w:r>
        <w:tab/>
      </w:r>
      <w:r>
        <w:rPr>
          <w:rFonts w:ascii="cBgpXohS+KSOFE44F9426" w:hAnsi="cBgpXohS+KSOFE44F9426" w:eastAsia="cBgpXohS+KSOFE44F9426"/>
          <w:color w:val="1F2229"/>
          <w:sz w:val="32"/>
        </w:rPr>
        <w:t>1.</w:t>
      </w:r>
      <w:r>
        <w:rPr>
          <w:rFonts w:ascii="RXlREYhZ+FangSong" w:hAnsi="RXlREYhZ+FangSong" w:eastAsia="RXlREYhZ+FangSong"/>
          <w:color w:val="1F2229"/>
          <w:sz w:val="32"/>
        </w:rPr>
        <w:t>整体支出自评概况：</w:t>
      </w:r>
      <w:r>
        <w:rPr>
          <w:rFonts w:ascii="cBgpXohS+KSOFE44F9426" w:hAnsi="cBgpXohS+KSOFE44F9426" w:eastAsia="cBgpXohS+KSOFE44F9426"/>
          <w:color w:val="1F2229"/>
          <w:sz w:val="32"/>
        </w:rPr>
        <w:t>2025</w:t>
      </w:r>
      <w:r>
        <w:rPr>
          <w:rFonts w:ascii="RXlREYhZ+FangSong" w:hAnsi="RXlREYhZ+FangSong" w:eastAsia="RXlREYhZ+FangSong"/>
          <w:color w:val="1F2229"/>
          <w:sz w:val="32"/>
        </w:rPr>
        <w:t>年度我单位整体支出预算</w:t>
      </w:r>
      <w:r>
        <w:rPr>
          <w:rFonts w:ascii="cBgpXohS+KSOFE44F9426" w:hAnsi="cBgpXohS+KSOFE44F9426" w:eastAsia="cBgpXohS+KSOFE44F9426"/>
          <w:color w:val="1F2229"/>
          <w:sz w:val="32"/>
        </w:rPr>
        <w:t>389.61</w:t>
      </w:r>
      <w:r>
        <w:rPr>
          <w:rFonts w:ascii="RXlREYhZ+FangSong" w:hAnsi="RXlREYhZ+FangSong" w:eastAsia="RXlREYhZ+FangSong"/>
          <w:color w:val="1F2229"/>
          <w:sz w:val="32"/>
        </w:rPr>
        <w:t>万元（其中：基本支出</w:t>
      </w:r>
      <w:r>
        <w:rPr>
          <w:rFonts w:ascii="cBgpXohS+KSOFE44F9426" w:hAnsi="cBgpXohS+KSOFE44F9426" w:eastAsia="cBgpXohS+KSOFE44F9426"/>
          <w:color w:val="1F2229"/>
          <w:sz w:val="32"/>
        </w:rPr>
        <w:t>313.61</w:t>
      </w:r>
      <w:r>
        <w:rPr>
          <w:rFonts w:ascii="RXlREYhZ+FangSong" w:hAnsi="RXlREYhZ+FangSong" w:eastAsia="RXlREYhZ+FangSong"/>
          <w:color w:val="1F2229"/>
          <w:sz w:val="32"/>
        </w:rPr>
        <w:t>万元，项目支出</w:t>
      </w:r>
      <w:r>
        <w:rPr>
          <w:rFonts w:ascii="cBgpXohS+KSOFE44F9426" w:hAnsi="cBgpXohS+KSOFE44F9426" w:eastAsia="cBgpXohS+KSOFE44F9426"/>
          <w:color w:val="1F2229"/>
          <w:sz w:val="32"/>
        </w:rPr>
        <w:t>76</w:t>
      </w:r>
      <w:r>
        <w:rPr>
          <w:rFonts w:ascii="RXlREYhZ+FangSong" w:hAnsi="RXlREYhZ+FangSong" w:eastAsia="RXlREYhZ+FangSong"/>
          <w:color w:val="1F2229"/>
          <w:sz w:val="32"/>
        </w:rPr>
        <w:t>万元），实际支出</w:t>
      </w:r>
      <w:r>
        <w:rPr>
          <w:rFonts w:ascii="cBgpXohS+KSOFE44F9426" w:hAnsi="cBgpXohS+KSOFE44F9426" w:eastAsia="cBgpXohS+KSOFE44F9426"/>
          <w:color w:val="1F2229"/>
          <w:sz w:val="32"/>
        </w:rPr>
        <w:t>355.61</w:t>
      </w:r>
      <w:r>
        <w:rPr>
          <w:rFonts w:ascii="RXlREYhZ+FangSong" w:hAnsi="RXlREYhZ+FangSong" w:eastAsia="RXlREYhZ+FangSong"/>
          <w:color w:val="1F2229"/>
          <w:sz w:val="32"/>
        </w:rPr>
        <w:t>万元（其中：基本支出</w:t>
      </w:r>
      <w:r>
        <w:rPr>
          <w:rFonts w:ascii="cBgpXohS+KSOFE44F9426" w:hAnsi="cBgpXohS+KSOFE44F9426" w:eastAsia="cBgpXohS+KSOFE44F9426"/>
          <w:color w:val="1F2229"/>
          <w:sz w:val="32"/>
        </w:rPr>
        <w:t>318.33</w:t>
      </w:r>
      <w:r>
        <w:rPr>
          <w:rFonts w:ascii="RXlREYhZ+FangSong" w:hAnsi="RXlREYhZ+FangSong" w:eastAsia="RXlREYhZ+FangSong"/>
          <w:color w:val="1F2229"/>
          <w:sz w:val="32"/>
        </w:rPr>
        <w:t>万元，项目支出</w:t>
      </w:r>
      <w:r>
        <w:rPr>
          <w:rFonts w:ascii="cBgpXohS+KSOFE44F9426" w:hAnsi="cBgpXohS+KSOFE44F9426" w:eastAsia="cBgpXohS+KSOFE44F9426"/>
          <w:color w:val="1F2229"/>
          <w:sz w:val="32"/>
        </w:rPr>
        <w:t>37.28</w:t>
      </w:r>
      <w:r>
        <w:rPr>
          <w:rFonts w:ascii="RXlREYhZ+FangSong" w:hAnsi="RXlREYhZ+FangSong" w:eastAsia="RXlREYhZ+FangSong"/>
          <w:color w:val="1F2229"/>
          <w:sz w:val="32"/>
        </w:rPr>
        <w:t>万元），完成预算</w:t>
      </w:r>
      <w:r>
        <w:rPr>
          <w:rFonts w:ascii="cBgpXohS+KSOFE44F9426" w:hAnsi="cBgpXohS+KSOFE44F9426" w:eastAsia="cBgpXohS+KSOFE44F9426"/>
          <w:color w:val="1F2229"/>
          <w:sz w:val="32"/>
        </w:rPr>
        <w:t>91.27%</w:t>
      </w:r>
      <w:r>
        <w:rPr>
          <w:rFonts w:ascii="RXlREYhZ+FangSong" w:hAnsi="RXlREYhZ+FangSong" w:eastAsia="RXlREYhZ+FangSong"/>
          <w:color w:val="1F2229"/>
          <w:sz w:val="32"/>
        </w:rPr>
        <w:t>。本次整体支出自评围绕预算执行、资金管理、履职效能、服务质量等核心指标开展评价，自评分</w:t>
      </w:r>
      <w:r>
        <w:rPr>
          <w:rFonts w:ascii="cBgpXohS+KSOFE44F9426" w:hAnsi="cBgpXohS+KSOFE44F9426" w:eastAsia="cBgpXohS+KSOFE44F9426"/>
          <w:color w:val="1F2229"/>
          <w:sz w:val="32"/>
        </w:rPr>
        <w:t>91</w:t>
      </w:r>
      <w:r>
        <w:rPr>
          <w:rFonts w:ascii="RXlREYhZ+FangSong" w:hAnsi="RXlREYhZ+FangSong" w:eastAsia="RXlREYhZ+FangSong"/>
          <w:color w:val="1F2229"/>
          <w:sz w:val="32"/>
        </w:rPr>
        <w:t>分，自评等级为优。整体支出主要用于保障单位日常运转、履行核心职能以及各项重点工作推进，资金使用基本合规、管控有效，切实发挥了财政资金的保障支撑作用，有效推动单位各项工作顺利开展、年度目标圆满完成。</w:t>
      </w:r>
    </w:p>
    <w:p w14:paraId="419F0340">
      <w:pPr>
        <w:widowControl/>
        <w:autoSpaceDE w:val="0"/>
        <w:autoSpaceDN w:val="0"/>
        <w:spacing w:before="240" w:after="0" w:line="320" w:lineRule="exact"/>
        <w:ind w:left="788" w:right="0" w:firstLine="0"/>
        <w:jc w:val="left"/>
      </w:pPr>
      <w:r>
        <w:rPr>
          <w:rFonts w:ascii="cBgpXohS+KSOFE44F9426" w:hAnsi="cBgpXohS+KSOFE44F9426" w:eastAsia="cBgpXohS+KSOFE44F9426"/>
          <w:color w:val="1F2229"/>
          <w:sz w:val="32"/>
        </w:rPr>
        <w:t>2.</w:t>
      </w:r>
      <w:r>
        <w:rPr>
          <w:rFonts w:ascii="RXlREYhZ+FangSong" w:hAnsi="RXlREYhZ+FangSong" w:eastAsia="RXlREYhZ+FangSong"/>
          <w:color w:val="1F2229"/>
          <w:sz w:val="32"/>
        </w:rPr>
        <w:t>项目支出自评概况：</w:t>
      </w:r>
      <w:r>
        <w:rPr>
          <w:rFonts w:ascii="cBgpXohS+KSOFE44F9426" w:hAnsi="cBgpXohS+KSOFE44F9426" w:eastAsia="cBgpXohS+KSOFE44F9426"/>
          <w:color w:val="1F2229"/>
          <w:sz w:val="32"/>
        </w:rPr>
        <w:t>2025</w:t>
      </w:r>
      <w:r>
        <w:rPr>
          <w:rFonts w:ascii="RXlREYhZ+FangSong" w:hAnsi="RXlREYhZ+FangSong" w:eastAsia="RXlREYhZ+FangSong"/>
          <w:color w:val="1F2229"/>
          <w:sz w:val="32"/>
        </w:rPr>
        <w:t>年度我单位共有</w:t>
      </w:r>
      <w:r>
        <w:rPr>
          <w:rFonts w:ascii="cBgpXohS+KSOFE44F9426" w:hAnsi="cBgpXohS+KSOFE44F9426" w:eastAsia="cBgpXohS+KSOFE44F9426"/>
          <w:color w:val="1F2229"/>
          <w:sz w:val="32"/>
        </w:rPr>
        <w:t>12</w:t>
      </w:r>
      <w:r>
        <w:rPr>
          <w:rFonts w:ascii="RXlREYhZ+FangSong" w:hAnsi="RXlREYhZ+FangSong" w:eastAsia="RXlREYhZ+FangSong"/>
          <w:color w:val="1F2229"/>
          <w:sz w:val="32"/>
        </w:rPr>
        <w:t>个项目纳入</w:t>
      </w:r>
    </w:p>
    <w:p w14:paraId="7FC3CD11">
      <w:pPr>
        <w:widowControl/>
        <w:autoSpaceDE w:val="0"/>
        <w:autoSpaceDN w:val="0"/>
        <w:spacing w:before="858" w:after="0" w:line="286" w:lineRule="exact"/>
        <w:ind w:left="152" w:right="0" w:firstLine="0"/>
        <w:jc w:val="left"/>
      </w:pPr>
      <w:r>
        <w:rPr>
          <w:rFonts w:ascii="TSaPLJZp+Calibri" w:hAnsi="TSaPLJZp+Calibri" w:eastAsia="TSaPLJZp+Calibri"/>
          <w:color w:val="000000"/>
          <w:sz w:val="18"/>
        </w:rPr>
        <w:t>—</w:t>
      </w:r>
      <w:r>
        <w:rPr>
          <w:rFonts w:ascii="s25zntVZ+SimSun" w:hAnsi="s25zntVZ+SimSun" w:eastAsia="s25zntVZ+SimSun"/>
          <w:color w:val="000000"/>
          <w:sz w:val="28"/>
        </w:rPr>
        <w:t>2</w:t>
      </w:r>
      <w:r>
        <w:rPr>
          <w:rFonts w:ascii="TSaPLJZp+Calibri" w:hAnsi="TSaPLJZp+Calibri" w:eastAsia="TSaPLJZp+Calibri"/>
          <w:color w:val="000000"/>
          <w:sz w:val="18"/>
        </w:rPr>
        <w:t>—</w:t>
      </w:r>
    </w:p>
    <w:p w14:paraId="5304436E">
      <w:pPr>
        <w:sectPr>
          <w:pgSz w:w="11906" w:h="17238"/>
          <w:pgMar w:top="808" w:right="1134" w:bottom="440" w:left="1440" w:header="720" w:footer="720" w:gutter="0"/>
          <w:cols w:equalWidth="0" w:num="1">
            <w:col w:w="9332"/>
          </w:cols>
          <w:docGrid w:linePitch="360" w:charSpace="0"/>
        </w:sectPr>
      </w:pPr>
    </w:p>
    <w:p w14:paraId="77AE4B86">
      <w:pPr>
        <w:widowControl/>
        <w:autoSpaceDE w:val="0"/>
        <w:autoSpaceDN w:val="0"/>
        <w:spacing w:before="588" w:after="0" w:line="220" w:lineRule="exact"/>
        <w:ind w:left="0" w:right="0"/>
      </w:pPr>
    </w:p>
    <w:p w14:paraId="0A159912">
      <w:pPr>
        <w:widowControl/>
        <w:autoSpaceDE w:val="0"/>
        <w:autoSpaceDN w:val="0"/>
        <w:spacing w:before="0" w:after="0" w:line="480" w:lineRule="exact"/>
        <w:ind w:left="146" w:right="144" w:firstLine="0"/>
        <w:jc w:val="left"/>
      </w:pPr>
      <w:r>
        <w:rPr>
          <w:rFonts w:ascii="RXlREYhZ+FangSong" w:hAnsi="RXlREYhZ+FangSong" w:eastAsia="RXlREYhZ+FangSong"/>
          <w:color w:val="1F2229"/>
          <w:sz w:val="32"/>
        </w:rPr>
        <w:t>绩效自评范围（其中：区级项目</w:t>
      </w:r>
      <w:r>
        <w:rPr>
          <w:rFonts w:ascii="cBgpXohS+KSOFE44F9426" w:hAnsi="cBgpXohS+KSOFE44F9426" w:eastAsia="cBgpXohS+KSOFE44F9426"/>
          <w:color w:val="1F2229"/>
          <w:sz w:val="32"/>
        </w:rPr>
        <w:t>5</w:t>
      </w:r>
      <w:r>
        <w:rPr>
          <w:rFonts w:ascii="RXlREYhZ+FangSong" w:hAnsi="RXlREYhZ+FangSong" w:eastAsia="RXlREYhZ+FangSong"/>
          <w:color w:val="1F2229"/>
          <w:sz w:val="32"/>
        </w:rPr>
        <w:t>个、上级转移支付项目</w:t>
      </w:r>
      <w:r>
        <w:rPr>
          <w:rFonts w:ascii="cBgpXohS+KSOFE44F9426" w:hAnsi="cBgpXohS+KSOFE44F9426" w:eastAsia="cBgpXohS+KSOFE44F9426"/>
          <w:color w:val="1F2229"/>
          <w:sz w:val="32"/>
        </w:rPr>
        <w:t>7</w:t>
      </w:r>
      <w:r>
        <w:rPr>
          <w:rFonts w:ascii="RXlREYhZ+FangSong" w:hAnsi="RXlREYhZ+FangSong" w:eastAsia="RXlREYhZ+FangSong"/>
          <w:color w:val="1F2229"/>
          <w:sz w:val="32"/>
        </w:rPr>
        <w:t>个、其他资金项目</w:t>
      </w:r>
      <w:r>
        <w:rPr>
          <w:rFonts w:ascii="cBgpXohS+KSOFE44F9426" w:hAnsi="cBgpXohS+KSOFE44F9426" w:eastAsia="cBgpXohS+KSOFE44F9426"/>
          <w:color w:val="1F2229"/>
          <w:sz w:val="32"/>
        </w:rPr>
        <w:t>0</w:t>
      </w:r>
      <w:r>
        <w:rPr>
          <w:rFonts w:ascii="RXlREYhZ+FangSong" w:hAnsi="RXlREYhZ+FangSong" w:eastAsia="RXlREYhZ+FangSong"/>
          <w:color w:val="1F2229"/>
          <w:sz w:val="32"/>
        </w:rPr>
        <w:t>个），涉及自评金额</w:t>
      </w:r>
      <w:r>
        <w:rPr>
          <w:rFonts w:ascii="cBgpXohS+KSOFE44F9426" w:hAnsi="cBgpXohS+KSOFE44F9426" w:eastAsia="cBgpXohS+KSOFE44F9426"/>
          <w:color w:val="1F2229"/>
          <w:sz w:val="32"/>
        </w:rPr>
        <w:t>115.7</w:t>
      </w:r>
      <w:r>
        <w:rPr>
          <w:rFonts w:ascii="RXlREYhZ+FangSong" w:hAnsi="RXlREYhZ+FangSong" w:eastAsia="RXlREYhZ+FangSong"/>
          <w:color w:val="1F2229"/>
          <w:sz w:val="32"/>
        </w:rPr>
        <w:t>万元（其中：区级资金</w:t>
      </w:r>
      <w:r>
        <w:rPr>
          <w:rFonts w:ascii="cBgpXohS+KSOFE44F9426" w:hAnsi="cBgpXohS+KSOFE44F9426" w:eastAsia="cBgpXohS+KSOFE44F9426"/>
          <w:color w:val="1F2229"/>
          <w:sz w:val="32"/>
        </w:rPr>
        <w:t>79.7</w:t>
      </w:r>
      <w:r>
        <w:rPr>
          <w:rFonts w:ascii="RXlREYhZ+FangSong" w:hAnsi="RXlREYhZ+FangSong" w:eastAsia="RXlREYhZ+FangSong"/>
          <w:color w:val="1F2229"/>
          <w:sz w:val="32"/>
        </w:rPr>
        <w:t>万元、上级转移支付资金</w:t>
      </w:r>
      <w:r>
        <w:rPr>
          <w:rFonts w:ascii="cBgpXohS+KSOFE44F9426" w:hAnsi="cBgpXohS+KSOFE44F9426" w:eastAsia="cBgpXohS+KSOFE44F9426"/>
          <w:color w:val="1F2229"/>
          <w:sz w:val="32"/>
        </w:rPr>
        <w:t>36</w:t>
      </w:r>
      <w:r>
        <w:rPr>
          <w:rFonts w:ascii="RXlREYhZ+FangSong" w:hAnsi="RXlREYhZ+FangSong" w:eastAsia="RXlREYhZ+FangSong"/>
          <w:color w:val="1F2229"/>
          <w:sz w:val="32"/>
        </w:rPr>
        <w:t>万元、其他资金</w:t>
      </w:r>
      <w:r>
        <w:rPr>
          <w:rFonts w:ascii="cBgpXohS+KSOFE44F9426" w:hAnsi="cBgpXohS+KSOFE44F9426" w:eastAsia="cBgpXohS+KSOFE44F9426"/>
          <w:color w:val="1F2229"/>
          <w:sz w:val="32"/>
        </w:rPr>
        <w:t>0</w:t>
      </w:r>
      <w:r>
        <w:rPr>
          <w:rFonts w:ascii="RXlREYhZ+FangSong" w:hAnsi="RXlREYhZ+FangSong" w:eastAsia="RXlREYhZ+FangSong"/>
          <w:color w:val="1F2229"/>
          <w:sz w:val="32"/>
        </w:rPr>
        <w:t>万元）。</w:t>
      </w:r>
    </w:p>
    <w:p w14:paraId="7531849A">
      <w:pPr>
        <w:widowControl/>
        <w:autoSpaceDE w:val="0"/>
        <w:autoSpaceDN w:val="0"/>
        <w:spacing w:before="0" w:after="0" w:line="560" w:lineRule="exact"/>
        <w:ind w:left="146" w:right="340" w:firstLine="0"/>
        <w:jc w:val="both"/>
      </w:pPr>
      <w:r>
        <w:rPr>
          <w:rFonts w:ascii="RXlREYhZ+FangSong" w:hAnsi="RXlREYhZ+FangSong" w:eastAsia="RXlREYhZ+FangSong"/>
          <w:color w:val="1F2229"/>
          <w:sz w:val="32"/>
        </w:rPr>
        <w:t>经自评，自评分≥</w:t>
      </w:r>
      <w:r>
        <w:rPr>
          <w:rFonts w:ascii="cBgpXohS+KSOFE44F9426" w:hAnsi="cBgpXohS+KSOFE44F9426" w:eastAsia="cBgpXohS+KSOFE44F9426"/>
          <w:color w:val="1F2229"/>
          <w:sz w:val="32"/>
        </w:rPr>
        <w:t>90</w:t>
      </w:r>
      <w:r>
        <w:rPr>
          <w:rFonts w:ascii="RXlREYhZ+FangSong" w:hAnsi="RXlREYhZ+FangSong" w:eastAsia="RXlREYhZ+FangSong"/>
          <w:color w:val="1F2229"/>
          <w:sz w:val="32"/>
        </w:rPr>
        <w:t>分（评价等级为“优”）的项目</w:t>
      </w:r>
      <w:r>
        <w:rPr>
          <w:rFonts w:ascii="cBgpXohS+KSOFE44F9426" w:hAnsi="cBgpXohS+KSOFE44F9426" w:eastAsia="cBgpXohS+KSOFE44F9426"/>
          <w:color w:val="1F2229"/>
          <w:sz w:val="32"/>
        </w:rPr>
        <w:t>7</w:t>
      </w:r>
      <w:r>
        <w:rPr>
          <w:rFonts w:ascii="RXlREYhZ+FangSong" w:hAnsi="RXlREYhZ+FangSong" w:eastAsia="RXlREYhZ+FangSong"/>
          <w:color w:val="1F2229"/>
          <w:sz w:val="32"/>
        </w:rPr>
        <w:t>个、</w:t>
      </w:r>
      <w:r>
        <w:rPr>
          <w:rFonts w:ascii="cBgpXohS+KSOFE44F9426" w:hAnsi="cBgpXohS+KSOFE44F9426" w:eastAsia="cBgpXohS+KSOFE44F9426"/>
          <w:color w:val="1F2229"/>
          <w:sz w:val="32"/>
        </w:rPr>
        <w:t>90&gt;</w:t>
      </w:r>
      <w:r>
        <w:rPr>
          <w:rFonts w:ascii="RXlREYhZ+FangSong" w:hAnsi="RXlREYhZ+FangSong" w:eastAsia="RXlREYhZ+FangSong"/>
          <w:color w:val="1F2229"/>
          <w:sz w:val="32"/>
        </w:rPr>
        <w:t>自评分≥</w:t>
      </w:r>
      <w:r>
        <w:rPr>
          <w:rFonts w:ascii="cBgpXohS+KSOFE44F9426" w:hAnsi="cBgpXohS+KSOFE44F9426" w:eastAsia="cBgpXohS+KSOFE44F9426"/>
          <w:color w:val="1F2229"/>
          <w:sz w:val="32"/>
        </w:rPr>
        <w:t>80</w:t>
      </w:r>
      <w:r>
        <w:rPr>
          <w:rFonts w:ascii="RXlREYhZ+FangSong" w:hAnsi="RXlREYhZ+FangSong" w:eastAsia="RXlREYhZ+FangSong"/>
          <w:color w:val="1F2229"/>
          <w:sz w:val="32"/>
        </w:rPr>
        <w:t>分（评价等级为“良”）的项目</w:t>
      </w:r>
      <w:r>
        <w:rPr>
          <w:rFonts w:ascii="cBgpXohS+KSOFE44F9426" w:hAnsi="cBgpXohS+KSOFE44F9426" w:eastAsia="cBgpXohS+KSOFE44F9426"/>
          <w:color w:val="1F2229"/>
          <w:sz w:val="32"/>
        </w:rPr>
        <w:t>5</w:t>
      </w:r>
      <w:r>
        <w:rPr>
          <w:rFonts w:ascii="RXlREYhZ+FangSong" w:hAnsi="RXlREYhZ+FangSong" w:eastAsia="RXlREYhZ+FangSong"/>
          <w:color w:val="1F2229"/>
          <w:sz w:val="32"/>
        </w:rPr>
        <w:t>个、</w:t>
      </w:r>
      <w:r>
        <w:rPr>
          <w:rFonts w:ascii="cBgpXohS+KSOFE44F9426" w:hAnsi="cBgpXohS+KSOFE44F9426" w:eastAsia="cBgpXohS+KSOFE44F9426"/>
          <w:color w:val="1F2229"/>
          <w:sz w:val="32"/>
        </w:rPr>
        <w:t>80&gt;</w:t>
      </w:r>
      <w:r>
        <w:rPr>
          <w:rFonts w:ascii="RXlREYhZ+FangSong" w:hAnsi="RXlREYhZ+FangSong" w:eastAsia="RXlREYhZ+FangSong"/>
          <w:color w:val="1F2229"/>
          <w:sz w:val="32"/>
        </w:rPr>
        <w:t>自评分≥</w:t>
      </w:r>
      <w:r>
        <w:rPr>
          <w:rFonts w:ascii="cBgpXohS+KSOFE44F9426" w:hAnsi="cBgpXohS+KSOFE44F9426" w:eastAsia="cBgpXohS+KSOFE44F9426"/>
          <w:color w:val="1F2229"/>
          <w:sz w:val="32"/>
        </w:rPr>
        <w:t>60</w:t>
      </w:r>
      <w:r>
        <w:rPr>
          <w:rFonts w:ascii="RXlREYhZ+FangSong" w:hAnsi="RXlREYhZ+FangSong" w:eastAsia="RXlREYhZ+FangSong"/>
          <w:color w:val="1F2229"/>
          <w:sz w:val="32"/>
        </w:rPr>
        <w:t>分（评价等级为“中”）的项目</w:t>
      </w:r>
      <w:r>
        <w:rPr>
          <w:rFonts w:ascii="cBgpXohS+KSOFE44F9426" w:hAnsi="cBgpXohS+KSOFE44F9426" w:eastAsia="cBgpXohS+KSOFE44F9426"/>
          <w:color w:val="1F2229"/>
          <w:sz w:val="32"/>
        </w:rPr>
        <w:t>0</w:t>
      </w:r>
      <w:r>
        <w:rPr>
          <w:rFonts w:ascii="RXlREYhZ+FangSong" w:hAnsi="RXlREYhZ+FangSong" w:eastAsia="RXlREYhZ+FangSong"/>
          <w:color w:val="1F2229"/>
          <w:sz w:val="32"/>
        </w:rPr>
        <w:t>个，自评分</w:t>
      </w:r>
      <w:r>
        <w:rPr>
          <w:rFonts w:ascii="cBgpXohS+KSOFE44F9426" w:hAnsi="cBgpXohS+KSOFE44F9426" w:eastAsia="cBgpXohS+KSOFE44F9426"/>
          <w:color w:val="1F2229"/>
          <w:sz w:val="32"/>
        </w:rPr>
        <w:t>&lt;60</w:t>
      </w:r>
      <w:r>
        <w:rPr>
          <w:rFonts w:ascii="RXlREYhZ+FangSong" w:hAnsi="RXlREYhZ+FangSong" w:eastAsia="RXlREYhZ+FangSong"/>
          <w:color w:val="1F2229"/>
          <w:sz w:val="32"/>
        </w:rPr>
        <w:t>分（评价等级为“差”）的项目</w:t>
      </w:r>
      <w:r>
        <w:rPr>
          <w:rFonts w:ascii="cBgpXohS+KSOFE44F9426" w:hAnsi="cBgpXohS+KSOFE44F9426" w:eastAsia="cBgpXohS+KSOFE44F9426"/>
          <w:color w:val="1F2229"/>
          <w:sz w:val="32"/>
        </w:rPr>
        <w:t>0</w:t>
      </w:r>
      <w:r>
        <w:rPr>
          <w:rFonts w:ascii="RXlREYhZ+FangSong" w:hAnsi="RXlREYhZ+FangSong" w:eastAsia="RXlREYhZ+FangSong"/>
          <w:color w:val="1F2229"/>
          <w:sz w:val="32"/>
        </w:rPr>
        <w:t>个。其中，高分项目主要得益于目标设定科学、实施流程规范、资金使用高效、成效显著；低分项目主要因项目实施进度滞后、绩效指标完成质量不足等原因导致，已纳入整改范围，明确整改方向和时限。</w:t>
      </w:r>
    </w:p>
    <w:p w14:paraId="0226862A">
      <w:pPr>
        <w:widowControl/>
        <w:autoSpaceDE w:val="0"/>
        <w:autoSpaceDN w:val="0"/>
        <w:spacing w:before="0" w:after="0" w:line="560" w:lineRule="exact"/>
        <w:ind w:left="146" w:right="0" w:firstLine="642"/>
        <w:jc w:val="left"/>
      </w:pPr>
      <w:r>
        <w:rPr>
          <w:rFonts w:ascii="cBgpXohS+KSOFE44F9426" w:hAnsi="cBgpXohS+KSOFE44F9426" w:eastAsia="cBgpXohS+KSOFE44F9426"/>
          <w:color w:val="1F2229"/>
          <w:sz w:val="32"/>
        </w:rPr>
        <w:t>3.</w:t>
      </w:r>
      <w:r>
        <w:rPr>
          <w:rFonts w:ascii="RXlREYhZ+FangSong" w:hAnsi="RXlREYhZ+FangSong" w:eastAsia="RXlREYhZ+FangSong"/>
          <w:color w:val="1F2229"/>
          <w:sz w:val="32"/>
        </w:rPr>
        <w:t>绩效自评全覆盖情况：本次开展绩效自评项目</w:t>
      </w:r>
      <w:r>
        <w:rPr>
          <w:rFonts w:ascii="cBgpXohS+KSOFE44F9426" w:hAnsi="cBgpXohS+KSOFE44F9426" w:eastAsia="cBgpXohS+KSOFE44F9426"/>
          <w:color w:val="1F2229"/>
          <w:sz w:val="32"/>
        </w:rPr>
        <w:t>12</w:t>
      </w:r>
      <w:r>
        <w:rPr>
          <w:rFonts w:ascii="RXlREYhZ+FangSong" w:hAnsi="RXlREYhZ+FangSong" w:eastAsia="RXlREYhZ+FangSong"/>
          <w:color w:val="1F2229"/>
          <w:sz w:val="32"/>
        </w:rPr>
        <w:t>个，自评金额为</w:t>
      </w:r>
      <w:r>
        <w:rPr>
          <w:rFonts w:ascii="cBgpXohS+KSOFE44F9426" w:hAnsi="cBgpXohS+KSOFE44F9426" w:eastAsia="cBgpXohS+KSOFE44F9426"/>
          <w:color w:val="1F2229"/>
          <w:sz w:val="32"/>
        </w:rPr>
        <w:t>115.70</w:t>
      </w:r>
      <w:r>
        <w:rPr>
          <w:rFonts w:ascii="RXlREYhZ+FangSong" w:hAnsi="RXlREYhZ+FangSong" w:eastAsia="RXlREYhZ+FangSong"/>
          <w:color w:val="1F2229"/>
          <w:sz w:val="32"/>
        </w:rPr>
        <w:t>元，覆盖</w:t>
      </w:r>
      <w:r>
        <w:rPr>
          <w:rFonts w:ascii="cBgpXohS+KSOFE44F9426" w:hAnsi="cBgpXohS+KSOFE44F9426" w:eastAsia="cBgpXohS+KSOFE44F9426"/>
          <w:color w:val="1F2229"/>
          <w:sz w:val="32"/>
        </w:rPr>
        <w:t>2025</w:t>
      </w:r>
      <w:r>
        <w:rPr>
          <w:rFonts w:ascii="RXlREYhZ+FangSong" w:hAnsi="RXlREYhZ+FangSong" w:eastAsia="RXlREYhZ+FangSong"/>
          <w:color w:val="1F2229"/>
          <w:sz w:val="32"/>
        </w:rPr>
        <w:t>年度我单位所有财政拨款预算支出项目及其他资金支出项目，已实现绩效自评全覆盖。以上数据均根据预算管理一体化系统中填报情况据实填写，严格遵循真实、准确、完整的原则，确保自评工作经得起检验。</w:t>
      </w:r>
    </w:p>
    <w:p w14:paraId="0BE3DF92">
      <w:pPr>
        <w:widowControl/>
        <w:autoSpaceDE w:val="0"/>
        <w:autoSpaceDN w:val="0"/>
        <w:spacing w:before="242" w:after="0" w:line="318" w:lineRule="exact"/>
        <w:ind w:left="788" w:right="0" w:firstLine="0"/>
        <w:jc w:val="left"/>
      </w:pPr>
      <w:r>
        <w:rPr>
          <w:rFonts w:ascii="1Bm9mvBQ+SimHei" w:hAnsi="1Bm9mvBQ+SimHei" w:eastAsia="1Bm9mvBQ+SimHei"/>
          <w:color w:val="1F2229"/>
          <w:sz w:val="32"/>
        </w:rPr>
        <w:t>二、评价结果</w:t>
      </w:r>
    </w:p>
    <w:p w14:paraId="520D261D">
      <w:pPr>
        <w:widowControl/>
        <w:tabs>
          <w:tab w:val="left" w:pos="788"/>
        </w:tabs>
        <w:autoSpaceDE w:val="0"/>
        <w:autoSpaceDN w:val="0"/>
        <w:spacing w:before="0" w:after="0" w:line="560" w:lineRule="exact"/>
        <w:ind w:left="146" w:right="144" w:firstLine="0"/>
        <w:jc w:val="left"/>
      </w:pPr>
      <w:r>
        <w:tab/>
      </w:r>
      <w:r>
        <w:rPr>
          <w:rFonts w:ascii="ZfAlzrTJ+KaiTi" w:hAnsi="ZfAlzrTJ+KaiTi" w:eastAsia="ZfAlzrTJ+KaiTi"/>
          <w:color w:val="1F2229"/>
          <w:sz w:val="32"/>
        </w:rPr>
        <w:t>（一）整体支出</w:t>
      </w:r>
      <w:r>
        <w:br w:type="textWrapping"/>
      </w:r>
      <w:r>
        <w:tab/>
      </w:r>
      <w:r>
        <w:rPr>
          <w:rFonts w:ascii="cBgpXohS+KSOFE44F9426" w:hAnsi="cBgpXohS+KSOFE44F9426" w:eastAsia="cBgpXohS+KSOFE44F9426"/>
          <w:color w:val="1F2229"/>
          <w:sz w:val="32"/>
        </w:rPr>
        <w:t>2025</w:t>
      </w:r>
      <w:r>
        <w:rPr>
          <w:rFonts w:ascii="RXlREYhZ+FangSong" w:hAnsi="RXlREYhZ+FangSong" w:eastAsia="RXlREYhZ+FangSong"/>
          <w:color w:val="1F2229"/>
          <w:sz w:val="32"/>
        </w:rPr>
        <w:t>年度整体支出绩效评价结果为优等级。从评价情况来看，我单位预算编制科学合理，预算执行基本规范，资金使用效益较好，能够严格按照预算安排使用资金，严控“三公”经费支出，无违规使用资金、截留挪用资金等情况；各项管理制度健全，内部管控到位，有效保障了单位日常运转和各项核心职能的顺利履行，圆满完成了</w:t>
      </w:r>
      <w:r>
        <w:rPr>
          <w:rFonts w:ascii="cBgpXohS+KSOFE44F9426" w:hAnsi="cBgpXohS+KSOFE44F9426" w:eastAsia="cBgpXohS+KSOFE44F9426"/>
          <w:color w:val="1F2229"/>
          <w:sz w:val="32"/>
        </w:rPr>
        <w:t>2025</w:t>
      </w:r>
      <w:r>
        <w:rPr>
          <w:rFonts w:ascii="RXlREYhZ+FangSong" w:hAnsi="RXlREYhZ+FangSong" w:eastAsia="RXlREYhZ+FangSong"/>
          <w:color w:val="1F2229"/>
          <w:sz w:val="32"/>
        </w:rPr>
        <w:t>年度各项工作目标任务，群众满意度较高。同时，自评也发现，我单位在预算执行管理、绩效目标设定</w:t>
      </w:r>
    </w:p>
    <w:p w14:paraId="3EBD2E86">
      <w:pPr>
        <w:widowControl/>
        <w:autoSpaceDE w:val="0"/>
        <w:autoSpaceDN w:val="0"/>
        <w:spacing w:before="858" w:after="0" w:line="286" w:lineRule="exact"/>
        <w:ind w:left="0" w:right="344" w:firstLine="0"/>
        <w:jc w:val="right"/>
      </w:pPr>
      <w:r>
        <w:rPr>
          <w:rFonts w:ascii="TSaPLJZp+Calibri" w:hAnsi="TSaPLJZp+Calibri" w:eastAsia="TSaPLJZp+Calibri"/>
          <w:color w:val="000000"/>
          <w:sz w:val="18"/>
        </w:rPr>
        <w:t>—</w:t>
      </w:r>
      <w:r>
        <w:rPr>
          <w:rFonts w:ascii="s25zntVZ+SimSun" w:hAnsi="s25zntVZ+SimSun" w:eastAsia="s25zntVZ+SimSun"/>
          <w:color w:val="000000"/>
          <w:sz w:val="28"/>
        </w:rPr>
        <w:t>3</w:t>
      </w:r>
      <w:r>
        <w:rPr>
          <w:rFonts w:ascii="TSaPLJZp+Calibri" w:hAnsi="TSaPLJZp+Calibri" w:eastAsia="TSaPLJZp+Calibri"/>
          <w:color w:val="000000"/>
          <w:sz w:val="18"/>
        </w:rPr>
        <w:t>—</w:t>
      </w:r>
    </w:p>
    <w:p w14:paraId="51C31F55">
      <w:pPr>
        <w:sectPr>
          <w:pgSz w:w="11906" w:h="17238"/>
          <w:pgMar w:top="808" w:right="1134" w:bottom="440" w:left="1440" w:header="720" w:footer="720" w:gutter="0"/>
          <w:cols w:equalWidth="0" w:num="1">
            <w:col w:w="9332"/>
          </w:cols>
          <w:docGrid w:linePitch="360" w:charSpace="0"/>
        </w:sectPr>
      </w:pPr>
    </w:p>
    <w:p w14:paraId="2E4540C3">
      <w:pPr>
        <w:widowControl/>
        <w:autoSpaceDE w:val="0"/>
        <w:autoSpaceDN w:val="0"/>
        <w:spacing w:before="588" w:after="0" w:line="220" w:lineRule="exact"/>
        <w:ind w:left="0" w:right="0"/>
      </w:pPr>
    </w:p>
    <w:p w14:paraId="26CF5D2C">
      <w:pPr>
        <w:widowControl/>
        <w:autoSpaceDE w:val="0"/>
        <w:autoSpaceDN w:val="0"/>
        <w:spacing w:before="0" w:after="0" w:line="318" w:lineRule="exact"/>
        <w:ind w:left="146" w:right="0" w:firstLine="0"/>
        <w:jc w:val="left"/>
      </w:pPr>
      <w:r>
        <w:rPr>
          <w:rFonts w:ascii="RXlREYhZ+FangSong" w:hAnsi="RXlREYhZ+FangSong" w:eastAsia="RXlREYhZ+FangSong"/>
          <w:color w:val="1F2229"/>
          <w:sz w:val="32"/>
        </w:rPr>
        <w:t>等方面仍存在薄弱环节，需在后续工作中针对性加以改进提升。</w:t>
      </w:r>
    </w:p>
    <w:p w14:paraId="62288C12">
      <w:pPr>
        <w:widowControl/>
        <w:tabs>
          <w:tab w:val="left" w:pos="788"/>
        </w:tabs>
        <w:autoSpaceDE w:val="0"/>
        <w:autoSpaceDN w:val="0"/>
        <w:spacing w:before="0" w:after="0" w:line="560" w:lineRule="exact"/>
        <w:ind w:left="146" w:right="144" w:firstLine="0"/>
        <w:jc w:val="left"/>
      </w:pPr>
      <w:r>
        <w:tab/>
      </w:r>
      <w:r>
        <w:rPr>
          <w:rFonts w:ascii="ZfAlzrTJ+KaiTi" w:hAnsi="ZfAlzrTJ+KaiTi" w:eastAsia="ZfAlzrTJ+KaiTi"/>
          <w:color w:val="1F2229"/>
          <w:sz w:val="32"/>
        </w:rPr>
        <w:t>（二）项目支出</w:t>
      </w:r>
      <w:r>
        <w:br w:type="textWrapping"/>
      </w:r>
      <w:r>
        <w:tab/>
      </w:r>
      <w:r>
        <w:rPr>
          <w:rFonts w:ascii="RXlREYhZ+FangSong" w:hAnsi="RXlREYhZ+FangSong" w:eastAsia="RXlREYhZ+FangSong"/>
          <w:color w:val="1F2229"/>
          <w:sz w:val="32"/>
        </w:rPr>
        <w:t>本次自评的</w:t>
      </w:r>
      <w:r>
        <w:rPr>
          <w:rFonts w:ascii="cBgpXohS+KSOFE44F9426" w:hAnsi="cBgpXohS+KSOFE44F9426" w:eastAsia="cBgpXohS+KSOFE44F9426"/>
          <w:color w:val="1F2229"/>
          <w:sz w:val="32"/>
        </w:rPr>
        <w:t>12</w:t>
      </w:r>
      <w:r>
        <w:rPr>
          <w:rFonts w:ascii="RXlREYhZ+FangSong" w:hAnsi="RXlREYhZ+FangSong" w:eastAsia="RXlREYhZ+FangSong"/>
          <w:color w:val="1F2229"/>
          <w:sz w:val="32"/>
        </w:rPr>
        <w:t>个项目中，评价等级为“优”的项目</w:t>
      </w:r>
      <w:r>
        <w:rPr>
          <w:rFonts w:ascii="cBgpXohS+KSOFE44F9426" w:hAnsi="cBgpXohS+KSOFE44F9426" w:eastAsia="cBgpXohS+KSOFE44F9426"/>
          <w:color w:val="1F2229"/>
          <w:sz w:val="32"/>
        </w:rPr>
        <w:t>7</w:t>
      </w:r>
      <w:r>
        <w:rPr>
          <w:rFonts w:ascii="RXlREYhZ+FangSong" w:hAnsi="RXlREYhZ+FangSong" w:eastAsia="RXlREYhZ+FangSong"/>
          <w:color w:val="1F2229"/>
          <w:sz w:val="32"/>
        </w:rPr>
        <w:t>个，占比</w:t>
      </w:r>
      <w:r>
        <w:rPr>
          <w:rFonts w:ascii="cBgpXohS+KSOFE44F9426" w:hAnsi="cBgpXohS+KSOFE44F9426" w:eastAsia="cBgpXohS+KSOFE44F9426"/>
          <w:color w:val="1F2229"/>
          <w:sz w:val="32"/>
        </w:rPr>
        <w:t>58.33%</w:t>
      </w:r>
      <w:r>
        <w:rPr>
          <w:rFonts w:ascii="RXlREYhZ+FangSong" w:hAnsi="RXlREYhZ+FangSong" w:eastAsia="RXlREYhZ+FangSong"/>
          <w:color w:val="1F2229"/>
          <w:sz w:val="32"/>
        </w:rPr>
        <w:t>，此类项目严格按照项目实施方案推进，绩效目标全部完成，资金使用规范高效，取得了显著的经济效益、社会效益或公共服务效益，达到了预期评价效果；评价等级为“良”的项目</w:t>
      </w:r>
      <w:r>
        <w:rPr>
          <w:rFonts w:ascii="cBgpXohS+KSOFE44F9426" w:hAnsi="cBgpXohS+KSOFE44F9426" w:eastAsia="cBgpXohS+KSOFE44F9426"/>
          <w:color w:val="1F2229"/>
          <w:sz w:val="32"/>
        </w:rPr>
        <w:t>5</w:t>
      </w:r>
      <w:r>
        <w:rPr>
          <w:rFonts w:ascii="RXlREYhZ+FangSong" w:hAnsi="RXlREYhZ+FangSong" w:eastAsia="RXlREYhZ+FangSong"/>
          <w:color w:val="1F2229"/>
          <w:sz w:val="32"/>
        </w:rPr>
        <w:t>个，占比</w:t>
      </w:r>
      <w:r>
        <w:rPr>
          <w:rFonts w:ascii="cBgpXohS+KSOFE44F9426" w:hAnsi="cBgpXohS+KSOFE44F9426" w:eastAsia="cBgpXohS+KSOFE44F9426"/>
          <w:color w:val="1F2229"/>
          <w:sz w:val="32"/>
        </w:rPr>
        <w:t>41.67%</w:t>
      </w:r>
      <w:r>
        <w:rPr>
          <w:rFonts w:ascii="RXlREYhZ+FangSong" w:hAnsi="RXlREYhZ+FangSong" w:eastAsia="RXlREYhZ+FangSong"/>
          <w:color w:val="1F2229"/>
          <w:sz w:val="32"/>
        </w:rPr>
        <w:t>，此类项目基本完成绩效目标，资金使用合规，整体成效较好，但在项目细节管理、绩效指标完成精度等方面存在轻微不足；评价等级为“中”的项目</w:t>
      </w:r>
      <w:r>
        <w:rPr>
          <w:rFonts w:ascii="cBgpXohS+KSOFE44F9426" w:hAnsi="cBgpXohS+KSOFE44F9426" w:eastAsia="cBgpXohS+KSOFE44F9426"/>
          <w:color w:val="1F2229"/>
          <w:sz w:val="32"/>
        </w:rPr>
        <w:t>0</w:t>
      </w:r>
      <w:r>
        <w:rPr>
          <w:rFonts w:ascii="RXlREYhZ+FangSong" w:hAnsi="RXlREYhZ+FangSong" w:eastAsia="RXlREYhZ+FangSong"/>
          <w:color w:val="1F2229"/>
          <w:sz w:val="32"/>
        </w:rPr>
        <w:t>个，占比</w:t>
      </w:r>
      <w:r>
        <w:rPr>
          <w:rFonts w:ascii="cBgpXohS+KSOFE44F9426" w:hAnsi="cBgpXohS+KSOFE44F9426" w:eastAsia="cBgpXohS+KSOFE44F9426"/>
          <w:color w:val="1F2229"/>
          <w:sz w:val="32"/>
        </w:rPr>
        <w:t>0%</w:t>
      </w:r>
      <w:r>
        <w:rPr>
          <w:rFonts w:ascii="RXlREYhZ+FangSong" w:hAnsi="RXlREYhZ+FangSong" w:eastAsia="RXlREYhZ+FangSong"/>
          <w:color w:val="1F2229"/>
          <w:sz w:val="32"/>
        </w:rPr>
        <w:t>，此类项目基本实现核心绩效目标，资金使用未发现违规情况，但存在项目实施进度滞后、部分绩效指标完成质量不高、资料归档不规范等问题；评价等级为“差”的项目</w:t>
      </w:r>
      <w:r>
        <w:rPr>
          <w:rFonts w:ascii="cBgpXohS+KSOFE44F9426" w:hAnsi="cBgpXohS+KSOFE44F9426" w:eastAsia="cBgpXohS+KSOFE44F9426"/>
          <w:color w:val="1F2229"/>
          <w:sz w:val="32"/>
        </w:rPr>
        <w:t>0</w:t>
      </w:r>
      <w:r>
        <w:rPr>
          <w:rFonts w:ascii="RXlREYhZ+FangSong" w:hAnsi="RXlREYhZ+FangSong" w:eastAsia="RXlREYhZ+FangSong"/>
          <w:color w:val="1F2229"/>
          <w:sz w:val="32"/>
        </w:rPr>
        <w:t>个，占比</w:t>
      </w:r>
      <w:r>
        <w:rPr>
          <w:rFonts w:ascii="cBgpXohS+KSOFE44F9426" w:hAnsi="cBgpXohS+KSOFE44F9426" w:eastAsia="cBgpXohS+KSOFE44F9426"/>
          <w:color w:val="1F2229"/>
          <w:sz w:val="32"/>
        </w:rPr>
        <w:t>0%</w:t>
      </w:r>
      <w:r>
        <w:rPr>
          <w:rFonts w:ascii="RXlREYhZ+FangSong" w:hAnsi="RXlREYhZ+FangSong" w:eastAsia="RXlREYhZ+FangSong"/>
          <w:color w:val="1F2229"/>
          <w:sz w:val="32"/>
        </w:rPr>
        <w:t>。</w:t>
      </w:r>
    </w:p>
    <w:p w14:paraId="3455B79F">
      <w:pPr>
        <w:widowControl/>
        <w:autoSpaceDE w:val="0"/>
        <w:autoSpaceDN w:val="0"/>
        <w:spacing w:before="242" w:after="0" w:line="318" w:lineRule="exact"/>
        <w:ind w:left="788" w:right="0" w:firstLine="0"/>
        <w:jc w:val="left"/>
      </w:pPr>
      <w:r>
        <w:rPr>
          <w:rFonts w:ascii="1Bm9mvBQ+SimHei" w:hAnsi="1Bm9mvBQ+SimHei" w:eastAsia="1Bm9mvBQ+SimHei"/>
          <w:color w:val="1F2229"/>
          <w:sz w:val="32"/>
        </w:rPr>
        <w:t>三、存在的主要问题</w:t>
      </w:r>
    </w:p>
    <w:p w14:paraId="6B915153">
      <w:pPr>
        <w:widowControl/>
        <w:tabs>
          <w:tab w:val="left" w:pos="788"/>
        </w:tabs>
        <w:autoSpaceDE w:val="0"/>
        <w:autoSpaceDN w:val="0"/>
        <w:spacing w:before="0" w:after="0" w:line="560" w:lineRule="exact"/>
        <w:ind w:left="146" w:right="0" w:firstLine="0"/>
        <w:jc w:val="left"/>
      </w:pPr>
      <w:r>
        <w:tab/>
      </w:r>
      <w:r>
        <w:rPr>
          <w:rFonts w:ascii="ZfAlzrTJ+KaiTi" w:hAnsi="ZfAlzrTJ+KaiTi" w:eastAsia="ZfAlzrTJ+KaiTi"/>
          <w:color w:val="1F2229"/>
          <w:sz w:val="32"/>
        </w:rPr>
        <w:t>（一）整体支出</w:t>
      </w:r>
      <w:r>
        <w:br w:type="textWrapping"/>
      </w:r>
      <w:r>
        <w:tab/>
      </w:r>
      <w:r>
        <w:rPr>
          <w:rFonts w:ascii="cBgpXohS+KSOFE44F9426" w:hAnsi="cBgpXohS+KSOFE44F9426" w:eastAsia="cBgpXohS+KSOFE44F9426"/>
          <w:color w:val="1F2229"/>
          <w:sz w:val="32"/>
        </w:rPr>
        <w:t>1.</w:t>
      </w:r>
      <w:r>
        <w:rPr>
          <w:rFonts w:ascii="RXlREYhZ+FangSong" w:hAnsi="RXlREYhZ+FangSong" w:eastAsia="RXlREYhZ+FangSong"/>
          <w:color w:val="1F2229"/>
          <w:sz w:val="32"/>
        </w:rPr>
        <w:t>预算执行管理有待加强：部分科目预算执行进度不均衡，存在上半年执行较慢、下半年集中支出的现象，主要原因是部分工作推进节奏与预算安排衔接不够紧密，前期筹备工作不够充分，导致资金拨付和使用进度不同步，影响了资金使用效率。</w:t>
      </w:r>
    </w:p>
    <w:p w14:paraId="783D330A">
      <w:pPr>
        <w:widowControl/>
        <w:autoSpaceDE w:val="0"/>
        <w:autoSpaceDN w:val="0"/>
        <w:spacing w:before="0" w:after="0" w:line="560" w:lineRule="exact"/>
        <w:ind w:left="146" w:right="340" w:firstLine="642"/>
        <w:jc w:val="both"/>
      </w:pPr>
      <w:r>
        <w:rPr>
          <w:rFonts w:ascii="cBgpXohS+KSOFE44F9426" w:hAnsi="cBgpXohS+KSOFE44F9426" w:eastAsia="cBgpXohS+KSOFE44F9426"/>
          <w:color w:val="1F2229"/>
          <w:sz w:val="32"/>
        </w:rPr>
        <w:t>2.</w:t>
      </w:r>
      <w:r>
        <w:rPr>
          <w:rFonts w:ascii="RXlREYhZ+FangSong" w:hAnsi="RXlREYhZ+FangSong" w:eastAsia="RXlREYhZ+FangSong"/>
          <w:color w:val="1F2229"/>
          <w:sz w:val="32"/>
        </w:rPr>
        <w:t>绩效目标设定不够细化：整体支出绩效目标虽明确了核心方向，但部分目标未能细化分解到具体工作任务和量化指标，针对性、可操作性和可考核性有待进一步提升，难以全面、精准反映资金使用效益和履职成效。</w:t>
      </w:r>
    </w:p>
    <w:p w14:paraId="1BDA111E">
      <w:pPr>
        <w:widowControl/>
        <w:tabs>
          <w:tab w:val="left" w:pos="788"/>
        </w:tabs>
        <w:autoSpaceDE w:val="0"/>
        <w:autoSpaceDN w:val="0"/>
        <w:spacing w:before="0" w:after="0" w:line="560" w:lineRule="exact"/>
        <w:ind w:left="146" w:right="0" w:firstLine="0"/>
        <w:jc w:val="left"/>
      </w:pPr>
      <w:r>
        <w:tab/>
      </w:r>
      <w:r>
        <w:rPr>
          <w:rFonts w:ascii="cBgpXohS+KSOFE44F9426" w:hAnsi="cBgpXohS+KSOFE44F9426" w:eastAsia="cBgpXohS+KSOFE44F9426"/>
          <w:color w:val="1F2229"/>
          <w:sz w:val="32"/>
        </w:rPr>
        <w:t>3.</w:t>
      </w:r>
      <w:r>
        <w:rPr>
          <w:rFonts w:ascii="RXlREYhZ+FangSong" w:hAnsi="RXlREYhZ+FangSong" w:eastAsia="RXlREYhZ+FangSong"/>
          <w:color w:val="1F2229"/>
          <w:sz w:val="32"/>
        </w:rPr>
        <w:t>成本控制意识需进一步强化：在日常公用经费使用过程中，部分科室节约意识不足，存在资源利用效率不高、不必要开支管</w:t>
      </w:r>
    </w:p>
    <w:p w14:paraId="52330662">
      <w:pPr>
        <w:widowControl/>
        <w:autoSpaceDE w:val="0"/>
        <w:autoSpaceDN w:val="0"/>
        <w:spacing w:before="858" w:after="0" w:line="286" w:lineRule="exact"/>
        <w:ind w:left="152" w:right="0" w:firstLine="0"/>
        <w:jc w:val="left"/>
      </w:pPr>
      <w:r>
        <w:rPr>
          <w:rFonts w:ascii="TSaPLJZp+Calibri" w:hAnsi="TSaPLJZp+Calibri" w:eastAsia="TSaPLJZp+Calibri"/>
          <w:color w:val="000000"/>
          <w:sz w:val="18"/>
        </w:rPr>
        <w:t>—</w:t>
      </w:r>
      <w:r>
        <w:rPr>
          <w:rFonts w:ascii="s25zntVZ+SimSun" w:hAnsi="s25zntVZ+SimSun" w:eastAsia="s25zntVZ+SimSun"/>
          <w:color w:val="000000"/>
          <w:sz w:val="28"/>
        </w:rPr>
        <w:t>4</w:t>
      </w:r>
      <w:r>
        <w:rPr>
          <w:rFonts w:ascii="TSaPLJZp+Calibri" w:hAnsi="TSaPLJZp+Calibri" w:eastAsia="TSaPLJZp+Calibri"/>
          <w:color w:val="000000"/>
          <w:sz w:val="18"/>
        </w:rPr>
        <w:t>—</w:t>
      </w:r>
    </w:p>
    <w:p w14:paraId="24477C76">
      <w:pPr>
        <w:sectPr>
          <w:pgSz w:w="11906" w:h="17238"/>
          <w:pgMar w:top="808" w:right="1134" w:bottom="440" w:left="1440" w:header="720" w:footer="720" w:gutter="0"/>
          <w:cols w:equalWidth="0" w:num="1">
            <w:col w:w="9332"/>
          </w:cols>
          <w:docGrid w:linePitch="360" w:charSpace="0"/>
        </w:sectPr>
      </w:pPr>
    </w:p>
    <w:p w14:paraId="7DA591E3">
      <w:pPr>
        <w:widowControl/>
        <w:autoSpaceDE w:val="0"/>
        <w:autoSpaceDN w:val="0"/>
        <w:spacing w:before="588" w:after="0" w:line="220" w:lineRule="exact"/>
        <w:ind w:left="0" w:right="0"/>
      </w:pPr>
    </w:p>
    <w:p w14:paraId="0A45AF40">
      <w:pPr>
        <w:widowControl/>
        <w:autoSpaceDE w:val="0"/>
        <w:autoSpaceDN w:val="0"/>
        <w:spacing w:before="0" w:after="0" w:line="318" w:lineRule="exact"/>
        <w:ind w:left="146" w:right="0" w:firstLine="0"/>
        <w:jc w:val="left"/>
      </w:pPr>
      <w:r>
        <w:rPr>
          <w:rFonts w:ascii="RXlREYhZ+FangSong" w:hAnsi="RXlREYhZ+FangSong" w:eastAsia="RXlREYhZ+FangSong"/>
          <w:color w:val="1F2229"/>
          <w:sz w:val="32"/>
        </w:rPr>
        <w:t>控不够严格的情况，资金使用精细化管理水平有待提升。</w:t>
      </w:r>
    </w:p>
    <w:p w14:paraId="32EA9FD9">
      <w:pPr>
        <w:widowControl/>
        <w:tabs>
          <w:tab w:val="left" w:pos="788"/>
        </w:tabs>
        <w:autoSpaceDE w:val="0"/>
        <w:autoSpaceDN w:val="0"/>
        <w:spacing w:before="0" w:after="0" w:line="560" w:lineRule="exact"/>
        <w:ind w:left="146" w:right="0" w:firstLine="0"/>
        <w:jc w:val="left"/>
      </w:pPr>
      <w:r>
        <w:tab/>
      </w:r>
      <w:r>
        <w:rPr>
          <w:rFonts w:ascii="ZfAlzrTJ+KaiTi" w:hAnsi="ZfAlzrTJ+KaiTi" w:eastAsia="ZfAlzrTJ+KaiTi"/>
          <w:color w:val="1F2229"/>
          <w:sz w:val="32"/>
        </w:rPr>
        <w:t>（二）项目支出</w:t>
      </w:r>
      <w:r>
        <w:br w:type="textWrapping"/>
      </w:r>
      <w:r>
        <w:tab/>
      </w:r>
      <w:r>
        <w:rPr>
          <w:rFonts w:ascii="cBgpXohS+KSOFE44F9426" w:hAnsi="cBgpXohS+KSOFE44F9426" w:eastAsia="cBgpXohS+KSOFE44F9426"/>
          <w:color w:val="1F2229"/>
          <w:sz w:val="32"/>
        </w:rPr>
        <w:t>1.</w:t>
      </w:r>
      <w:r>
        <w:rPr>
          <w:rFonts w:ascii="RXlREYhZ+FangSong" w:hAnsi="RXlREYhZ+FangSong" w:eastAsia="RXlREYhZ+FangSong"/>
          <w:color w:val="1F2229"/>
          <w:sz w:val="32"/>
        </w:rPr>
        <w:t>部分项目实施进度滞后：</w:t>
      </w:r>
      <w:r>
        <w:rPr>
          <w:rFonts w:ascii="cBgpXohS+KSOFE44F9426" w:hAnsi="cBgpXohS+KSOFE44F9426" w:eastAsia="cBgpXohS+KSOFE44F9426"/>
          <w:color w:val="1F2229"/>
          <w:sz w:val="32"/>
        </w:rPr>
        <w:t>0</w:t>
      </w:r>
      <w:r>
        <w:rPr>
          <w:rFonts w:ascii="RXlREYhZ+FangSong" w:hAnsi="RXlREYhZ+FangSong" w:eastAsia="RXlREYhZ+FangSong"/>
          <w:color w:val="1F2229"/>
          <w:sz w:val="32"/>
        </w:rPr>
        <w:t>个项目未按实施方案规定的时间节点完成全部工作任务，主要原因是前期调研论证不够充分、项目实施过程中遇到突发情况处置不及时、部门协同配合不够顺畅，以及部分环节推进效率不高。</w:t>
      </w:r>
    </w:p>
    <w:p w14:paraId="5AF9E63F">
      <w:pPr>
        <w:widowControl/>
        <w:autoSpaceDE w:val="0"/>
        <w:autoSpaceDN w:val="0"/>
        <w:spacing w:before="0" w:after="0" w:line="560" w:lineRule="exact"/>
        <w:ind w:left="146" w:right="178" w:firstLine="642"/>
        <w:jc w:val="both"/>
      </w:pPr>
      <w:r>
        <w:rPr>
          <w:rFonts w:ascii="cBgpXohS+KSOFE44F9426" w:hAnsi="cBgpXohS+KSOFE44F9426" w:eastAsia="cBgpXohS+KSOFE44F9426"/>
          <w:color w:val="1F2229"/>
          <w:sz w:val="32"/>
        </w:rPr>
        <w:t>2.</w:t>
      </w:r>
      <w:r>
        <w:rPr>
          <w:rFonts w:ascii="RXlREYhZ+FangSong" w:hAnsi="RXlREYhZ+FangSong" w:eastAsia="RXlREYhZ+FangSong"/>
          <w:color w:val="1F2229"/>
          <w:sz w:val="32"/>
        </w:rPr>
        <w:t>绩效指标完成质量参差不齐：部分项目绩效指标设定过于笼统、量化程度不足，导致自评过程中难以精准考核；部分项目虽完成指标数值，但指标完成质量不高，未能充分体现资金使用的实际成效和项目实施价值。</w:t>
      </w:r>
    </w:p>
    <w:p w14:paraId="0FD5C6AA">
      <w:pPr>
        <w:widowControl/>
        <w:autoSpaceDE w:val="0"/>
        <w:autoSpaceDN w:val="0"/>
        <w:spacing w:before="0" w:after="0" w:line="560" w:lineRule="exact"/>
        <w:ind w:left="146" w:right="178" w:firstLine="642"/>
        <w:jc w:val="both"/>
      </w:pPr>
      <w:r>
        <w:rPr>
          <w:rFonts w:ascii="cBgpXohS+KSOFE44F9426" w:hAnsi="cBgpXohS+KSOFE44F9426" w:eastAsia="cBgpXohS+KSOFE44F9426"/>
          <w:color w:val="1F2229"/>
          <w:sz w:val="32"/>
        </w:rPr>
        <w:t>3.</w:t>
      </w:r>
      <w:r>
        <w:rPr>
          <w:rFonts w:ascii="RXlREYhZ+FangSong" w:hAnsi="RXlREYhZ+FangSong" w:eastAsia="RXlREYhZ+FangSong"/>
          <w:color w:val="1F2229"/>
          <w:sz w:val="32"/>
        </w:rPr>
        <w:t>资金使用精细化管理不足：少数项目存在资金使用与项目进度衔接不够紧密的情况，部分费用报销附件不够完善、审批流程不够规范，项目资料归档不够系统、可追溯性不强，资金使用的合规性、规范性有待进一步提升。</w:t>
      </w:r>
    </w:p>
    <w:p w14:paraId="40789046">
      <w:pPr>
        <w:widowControl/>
        <w:autoSpaceDE w:val="0"/>
        <w:autoSpaceDN w:val="0"/>
        <w:spacing w:before="0" w:after="0" w:line="560" w:lineRule="exact"/>
        <w:ind w:left="146" w:right="178" w:firstLine="642"/>
        <w:jc w:val="both"/>
      </w:pPr>
      <w:r>
        <w:rPr>
          <w:rFonts w:ascii="cBgpXohS+KSOFE44F9426" w:hAnsi="cBgpXohS+KSOFE44F9426" w:eastAsia="cBgpXohS+KSOFE44F9426"/>
          <w:color w:val="1F2229"/>
          <w:sz w:val="32"/>
        </w:rPr>
        <w:t>4.</w:t>
      </w:r>
      <w:r>
        <w:rPr>
          <w:rFonts w:ascii="RXlREYhZ+FangSong" w:hAnsi="RXlREYhZ+FangSong" w:eastAsia="RXlREYhZ+FangSong"/>
          <w:color w:val="1F2229"/>
          <w:sz w:val="32"/>
        </w:rPr>
        <w:t>绩效评价成果应用不足：项目绩效自评结果未充分与项目后续安排、资金分配、科室绩效考核挂钩，评价成果转化应用力度不够，未能充分发挥绩效评价的导向、约束和激励作用，绩效管理与业务工作融合不够深入。</w:t>
      </w:r>
    </w:p>
    <w:p w14:paraId="321907BB">
      <w:pPr>
        <w:widowControl/>
        <w:tabs>
          <w:tab w:val="left" w:pos="788"/>
        </w:tabs>
        <w:autoSpaceDE w:val="0"/>
        <w:autoSpaceDN w:val="0"/>
        <w:spacing w:before="0" w:after="0" w:line="560" w:lineRule="exact"/>
        <w:ind w:left="146" w:right="0" w:firstLine="0"/>
        <w:jc w:val="left"/>
      </w:pPr>
      <w:r>
        <w:tab/>
      </w:r>
      <w:r>
        <w:rPr>
          <w:rFonts w:ascii="1Bm9mvBQ+SimHei" w:hAnsi="1Bm9mvBQ+SimHei" w:eastAsia="1Bm9mvBQ+SimHei"/>
          <w:color w:val="1F2229"/>
          <w:sz w:val="32"/>
        </w:rPr>
        <w:t>四、整改措施（针对发现问题提出具体的整改措施）</w:t>
      </w:r>
      <w:r>
        <w:br w:type="textWrapping"/>
      </w:r>
      <w:r>
        <w:tab/>
      </w:r>
      <w:r>
        <w:rPr>
          <w:rFonts w:ascii="RXlREYhZ+FangSong" w:hAnsi="RXlREYhZ+FangSong" w:eastAsia="RXlREYhZ+FangSong"/>
          <w:color w:val="1F2229"/>
          <w:sz w:val="32"/>
        </w:rPr>
        <w:t>针对本次绩效自评发现的问题，我单位高度重视，坚持问题导向、目标导向、结果导向相统一，逐项梳理问题根源，制定具体整改措施，明确整改责任、整改时限，确保所有问题整改到位、取得实效，推动预算绩效管理提质增效。</w:t>
      </w:r>
    </w:p>
    <w:p w14:paraId="315C09C9">
      <w:pPr>
        <w:widowControl/>
        <w:autoSpaceDE w:val="0"/>
        <w:autoSpaceDN w:val="0"/>
        <w:spacing w:before="240" w:after="0" w:line="320" w:lineRule="exact"/>
        <w:ind w:left="788" w:right="0" w:firstLine="0"/>
        <w:jc w:val="left"/>
      </w:pPr>
      <w:r>
        <w:rPr>
          <w:rFonts w:ascii="ZfAlzrTJ+KaiTi" w:hAnsi="ZfAlzrTJ+KaiTi" w:eastAsia="ZfAlzrTJ+KaiTi"/>
          <w:color w:val="1F2229"/>
          <w:sz w:val="32"/>
        </w:rPr>
        <w:t>（一）针对整体支出存在问题的整改措施</w:t>
      </w:r>
    </w:p>
    <w:p w14:paraId="3B11CCD8">
      <w:pPr>
        <w:widowControl/>
        <w:autoSpaceDE w:val="0"/>
        <w:autoSpaceDN w:val="0"/>
        <w:spacing w:before="858" w:after="0" w:line="286" w:lineRule="exact"/>
        <w:ind w:left="0" w:right="182" w:firstLine="0"/>
        <w:jc w:val="right"/>
      </w:pPr>
      <w:r>
        <w:rPr>
          <w:rFonts w:ascii="TSaPLJZp+Calibri" w:hAnsi="TSaPLJZp+Calibri" w:eastAsia="TSaPLJZp+Calibri"/>
          <w:color w:val="000000"/>
          <w:sz w:val="18"/>
        </w:rPr>
        <w:t>—</w:t>
      </w:r>
      <w:r>
        <w:rPr>
          <w:rFonts w:ascii="s25zntVZ+SimSun" w:hAnsi="s25zntVZ+SimSun" w:eastAsia="s25zntVZ+SimSun"/>
          <w:color w:val="000000"/>
          <w:sz w:val="28"/>
        </w:rPr>
        <w:t>5</w:t>
      </w:r>
      <w:r>
        <w:rPr>
          <w:rFonts w:ascii="TSaPLJZp+Calibri" w:hAnsi="TSaPLJZp+Calibri" w:eastAsia="TSaPLJZp+Calibri"/>
          <w:color w:val="000000"/>
          <w:sz w:val="18"/>
        </w:rPr>
        <w:t>—</w:t>
      </w:r>
    </w:p>
    <w:p w14:paraId="26E61924">
      <w:pPr>
        <w:sectPr>
          <w:pgSz w:w="11906" w:h="17238"/>
          <w:pgMar w:top="808" w:right="1296" w:bottom="440" w:left="1440" w:header="720" w:footer="720" w:gutter="0"/>
          <w:cols w:equalWidth="0" w:num="1">
            <w:col w:w="9170"/>
          </w:cols>
          <w:docGrid w:linePitch="360" w:charSpace="0"/>
        </w:sectPr>
      </w:pPr>
    </w:p>
    <w:p w14:paraId="1B7D6B43">
      <w:pPr>
        <w:widowControl/>
        <w:autoSpaceDE w:val="0"/>
        <w:autoSpaceDN w:val="0"/>
        <w:spacing w:before="588" w:after="0" w:line="220" w:lineRule="exact"/>
        <w:ind w:left="0" w:right="0"/>
      </w:pPr>
    </w:p>
    <w:p w14:paraId="6D18FDA6">
      <w:pPr>
        <w:widowControl/>
        <w:autoSpaceDE w:val="0"/>
        <w:autoSpaceDN w:val="0"/>
        <w:spacing w:before="0" w:after="0" w:line="512" w:lineRule="exact"/>
        <w:ind w:left="146" w:right="0" w:firstLine="642"/>
        <w:jc w:val="left"/>
      </w:pPr>
      <w:r>
        <w:rPr>
          <w:rFonts w:ascii="cBgpXohS+KSOFE44F9426" w:hAnsi="cBgpXohS+KSOFE44F9426" w:eastAsia="cBgpXohS+KSOFE44F9426"/>
          <w:color w:val="1F2229"/>
          <w:sz w:val="32"/>
        </w:rPr>
        <w:t>1.</w:t>
      </w:r>
      <w:r>
        <w:rPr>
          <w:rFonts w:ascii="RXlREYhZ+FangSong" w:hAnsi="RXlREYhZ+FangSong" w:eastAsia="RXlREYhZ+FangSong"/>
          <w:color w:val="1F2229"/>
          <w:sz w:val="32"/>
        </w:rPr>
        <w:t>强化预算执行管理：建立预算执行动态监控机制，每月梳理预算执行进度，对执行较慢的科目和事项，及时分析原因、督促相关科室加快推进工作节奏，确保预算执行与工作推进同步；合理安排资金拨付计划，优化支出流程，提高资金使用效率，力争实现预算执行均衡有序。</w:t>
      </w:r>
    </w:p>
    <w:p w14:paraId="417EAA7D">
      <w:pPr>
        <w:widowControl/>
        <w:autoSpaceDE w:val="0"/>
        <w:autoSpaceDN w:val="0"/>
        <w:spacing w:before="0" w:after="0" w:line="560" w:lineRule="exact"/>
        <w:ind w:left="146" w:right="0" w:firstLine="642"/>
        <w:jc w:val="left"/>
      </w:pPr>
      <w:r>
        <w:rPr>
          <w:rFonts w:ascii="cBgpXohS+KSOFE44F9426" w:hAnsi="cBgpXohS+KSOFE44F9426" w:eastAsia="cBgpXohS+KSOFE44F9426"/>
          <w:color w:val="1F2229"/>
          <w:sz w:val="32"/>
        </w:rPr>
        <w:t>2.</w:t>
      </w:r>
      <w:r>
        <w:rPr>
          <w:rFonts w:ascii="RXlREYhZ+FangSong" w:hAnsi="RXlREYhZ+FangSong" w:eastAsia="RXlREYhZ+FangSong"/>
          <w:color w:val="1F2229"/>
          <w:sz w:val="32"/>
        </w:rPr>
        <w:t>细化绩效目标设定：结合单位核心职能和年度工作任务，进一步细化整体支出绩效目标，将目标分解到具体科室、具体工作任务，明确量化指标和评价标准，增强绩效目标的针对性、可操作性和可考核性，为后续绩效运行监控、绩效评价工作奠定坚实基础。</w:t>
      </w:r>
    </w:p>
    <w:p w14:paraId="54F9D3DD">
      <w:pPr>
        <w:widowControl/>
        <w:autoSpaceDE w:val="0"/>
        <w:autoSpaceDN w:val="0"/>
        <w:spacing w:before="0" w:after="0" w:line="560" w:lineRule="exact"/>
        <w:ind w:left="146" w:right="0" w:firstLine="642"/>
        <w:jc w:val="left"/>
      </w:pPr>
      <w:r>
        <w:rPr>
          <w:rFonts w:ascii="cBgpXohS+KSOFE44F9426" w:hAnsi="cBgpXohS+KSOFE44F9426" w:eastAsia="cBgpXohS+KSOFE44F9426"/>
          <w:color w:val="1F2229"/>
          <w:sz w:val="32"/>
        </w:rPr>
        <w:t>3.</w:t>
      </w:r>
      <w:r>
        <w:rPr>
          <w:rFonts w:ascii="RXlREYhZ+FangSong" w:hAnsi="RXlREYhZ+FangSong" w:eastAsia="RXlREYhZ+FangSong"/>
          <w:color w:val="1F2229"/>
          <w:sz w:val="32"/>
        </w:rPr>
        <w:t>增强成本控制意识：加强节约型机关建设，通过专题宣传、日常提醒等方式，强化各科室节约意识；建立公用经费使用考核机制，规范经费使用流程，严格控制不必要的开支，倡导勤俭节约、精打细算的工作作风，提高资源利用效率，推进资金使用精细化管理。</w:t>
      </w:r>
    </w:p>
    <w:p w14:paraId="0C6D4C65">
      <w:pPr>
        <w:widowControl/>
        <w:tabs>
          <w:tab w:val="left" w:pos="788"/>
        </w:tabs>
        <w:autoSpaceDE w:val="0"/>
        <w:autoSpaceDN w:val="0"/>
        <w:spacing w:before="0" w:after="0" w:line="560" w:lineRule="exact"/>
        <w:ind w:left="146" w:right="144" w:firstLine="0"/>
        <w:jc w:val="left"/>
      </w:pPr>
      <w:r>
        <w:tab/>
      </w:r>
      <w:r>
        <w:rPr>
          <w:rFonts w:ascii="ZfAlzrTJ+KaiTi" w:hAnsi="ZfAlzrTJ+KaiTi" w:eastAsia="ZfAlzrTJ+KaiTi"/>
          <w:color w:val="1F2229"/>
          <w:sz w:val="32"/>
        </w:rPr>
        <w:t>（二）针对项目支出存在问题的整改措施</w:t>
      </w:r>
      <w:r>
        <w:br w:type="textWrapping"/>
      </w:r>
      <w:r>
        <w:tab/>
      </w:r>
      <w:r>
        <w:rPr>
          <w:rFonts w:ascii="cBgpXohS+KSOFE44F9426" w:hAnsi="cBgpXohS+KSOFE44F9426" w:eastAsia="cBgpXohS+KSOFE44F9426"/>
          <w:color w:val="1F2229"/>
          <w:sz w:val="32"/>
        </w:rPr>
        <w:t>1.</w:t>
      </w:r>
      <w:r>
        <w:rPr>
          <w:rFonts w:ascii="RXlREYhZ+FangSong" w:hAnsi="RXlREYhZ+FangSong" w:eastAsia="RXlREYhZ+FangSong"/>
          <w:color w:val="1F2229"/>
          <w:sz w:val="32"/>
        </w:rPr>
        <w:t>加快滞后项目推进进度：对实施进度滞后的项目，成立专项整改小组，逐项分析滞后原因，制定专项推进计划，明确时间节点、责任人员，加强部门协同配合，及时协调解决项目实施过程中遇到的困难和问题，督促项目加快实施，确保尽快完成全部工作任务；建立项目实施进度定期通报机制，对进度严重滞后的项目，严肃追责问责。</w:t>
      </w:r>
    </w:p>
    <w:p w14:paraId="6BA04B5F">
      <w:pPr>
        <w:widowControl/>
        <w:autoSpaceDE w:val="0"/>
        <w:autoSpaceDN w:val="0"/>
        <w:spacing w:before="0" w:after="0" w:line="560" w:lineRule="exact"/>
        <w:ind w:left="146" w:right="144" w:firstLine="642"/>
        <w:jc w:val="left"/>
      </w:pPr>
      <w:r>
        <w:rPr>
          <w:rFonts w:ascii="cBgpXohS+KSOFE44F9426" w:hAnsi="cBgpXohS+KSOFE44F9426" w:eastAsia="cBgpXohS+KSOFE44F9426"/>
          <w:color w:val="1F2229"/>
          <w:sz w:val="32"/>
        </w:rPr>
        <w:t>2.</w:t>
      </w:r>
      <w:r>
        <w:rPr>
          <w:rFonts w:ascii="RXlREYhZ+FangSong" w:hAnsi="RXlREYhZ+FangSong" w:eastAsia="RXlREYhZ+FangSong"/>
          <w:color w:val="1F2229"/>
          <w:sz w:val="32"/>
        </w:rPr>
        <w:t>提升绩效指标设定质量：组织各科室认真学习绩效指标设定相关要求，结合项目实际，科学、合理设定绩效指标，增强指</w:t>
      </w:r>
    </w:p>
    <w:p w14:paraId="452F5732">
      <w:pPr>
        <w:widowControl/>
        <w:autoSpaceDE w:val="0"/>
        <w:autoSpaceDN w:val="0"/>
        <w:spacing w:before="858" w:after="0" w:line="286" w:lineRule="exact"/>
        <w:ind w:left="152" w:right="0" w:firstLine="0"/>
        <w:jc w:val="left"/>
      </w:pPr>
      <w:r>
        <w:rPr>
          <w:rFonts w:ascii="TSaPLJZp+Calibri" w:hAnsi="TSaPLJZp+Calibri" w:eastAsia="TSaPLJZp+Calibri"/>
          <w:color w:val="000000"/>
          <w:sz w:val="18"/>
        </w:rPr>
        <w:t>—</w:t>
      </w:r>
      <w:r>
        <w:rPr>
          <w:rFonts w:ascii="s25zntVZ+SimSun" w:hAnsi="s25zntVZ+SimSun" w:eastAsia="s25zntVZ+SimSun"/>
          <w:color w:val="000000"/>
          <w:sz w:val="28"/>
        </w:rPr>
        <w:t>6</w:t>
      </w:r>
      <w:r>
        <w:rPr>
          <w:rFonts w:ascii="TSaPLJZp+Calibri" w:hAnsi="TSaPLJZp+Calibri" w:eastAsia="TSaPLJZp+Calibri"/>
          <w:color w:val="000000"/>
          <w:sz w:val="18"/>
        </w:rPr>
        <w:t>—</w:t>
      </w:r>
    </w:p>
    <w:p w14:paraId="3F738CB8">
      <w:pPr>
        <w:sectPr>
          <w:pgSz w:w="11906" w:h="17238"/>
          <w:pgMar w:top="808" w:right="1296" w:bottom="440" w:left="1440" w:header="720" w:footer="720" w:gutter="0"/>
          <w:cols w:equalWidth="0" w:num="1">
            <w:col w:w="9170"/>
          </w:cols>
          <w:docGrid w:linePitch="360" w:charSpace="0"/>
        </w:sectPr>
      </w:pPr>
    </w:p>
    <w:p w14:paraId="44AC703E">
      <w:pPr>
        <w:widowControl/>
        <w:autoSpaceDE w:val="0"/>
        <w:autoSpaceDN w:val="0"/>
        <w:spacing w:before="588" w:after="0" w:line="220" w:lineRule="exact"/>
        <w:ind w:left="0" w:right="0"/>
      </w:pPr>
    </w:p>
    <w:p w14:paraId="2D27DADF">
      <w:pPr>
        <w:widowControl/>
        <w:autoSpaceDE w:val="0"/>
        <w:autoSpaceDN w:val="0"/>
        <w:spacing w:before="0" w:after="0" w:line="480" w:lineRule="exact"/>
        <w:ind w:left="146" w:right="340" w:firstLine="0"/>
        <w:jc w:val="both"/>
      </w:pPr>
      <w:r>
        <w:rPr>
          <w:rFonts w:ascii="RXlREYhZ+FangSong" w:hAnsi="RXlREYhZ+FangSong" w:eastAsia="RXlREYhZ+FangSong"/>
          <w:color w:val="1F2229"/>
          <w:sz w:val="32"/>
        </w:rPr>
        <w:t>标的量化性和可考核性；建立绩效指标审核机制，在项目立项和预算编制阶段，对绩效指标进行严格审核，对不符合要求的指标及时督促修改完善，确保指标贴合项目目标、符合评价要求。</w:t>
      </w:r>
    </w:p>
    <w:p w14:paraId="7B2EF817">
      <w:pPr>
        <w:widowControl/>
        <w:autoSpaceDE w:val="0"/>
        <w:autoSpaceDN w:val="0"/>
        <w:spacing w:before="0" w:after="0" w:line="560" w:lineRule="exact"/>
        <w:ind w:left="146" w:right="0" w:firstLine="642"/>
        <w:jc w:val="left"/>
      </w:pPr>
      <w:r>
        <w:rPr>
          <w:rFonts w:ascii="cBgpXohS+KSOFE44F9426" w:hAnsi="cBgpXohS+KSOFE44F9426" w:eastAsia="cBgpXohS+KSOFE44F9426"/>
          <w:color w:val="1F2229"/>
          <w:sz w:val="32"/>
        </w:rPr>
        <w:t>3.</w:t>
      </w:r>
      <w:r>
        <w:rPr>
          <w:rFonts w:ascii="RXlREYhZ+FangSong" w:hAnsi="RXlREYhZ+FangSong" w:eastAsia="RXlREYhZ+FangSong"/>
          <w:color w:val="1F2229"/>
          <w:sz w:val="32"/>
        </w:rPr>
        <w:t>规范项目资金使用管理：进一步完善项目资金管理制度，严格按照项目实施方案和预算安排使用资金，加强费用报销审核，确保报销附件完整、合规；规范项目资料归档管理，安排专人负责资料收集、整理、归档，确保资料齐全、规范，可追溯，不断提升资金使用的合规性和规范性。</w:t>
      </w:r>
    </w:p>
    <w:p w14:paraId="7813309C">
      <w:pPr>
        <w:widowControl/>
        <w:autoSpaceDE w:val="0"/>
        <w:autoSpaceDN w:val="0"/>
        <w:spacing w:before="0" w:after="0" w:line="560" w:lineRule="exact"/>
        <w:ind w:left="146" w:right="340" w:firstLine="642"/>
        <w:jc w:val="both"/>
      </w:pPr>
      <w:r>
        <w:rPr>
          <w:rFonts w:ascii="cBgpXohS+KSOFE44F9426" w:hAnsi="cBgpXohS+KSOFE44F9426" w:eastAsia="cBgpXohS+KSOFE44F9426"/>
          <w:color w:val="1F2229"/>
          <w:sz w:val="32"/>
        </w:rPr>
        <w:t>4.</w:t>
      </w:r>
      <w:r>
        <w:rPr>
          <w:rFonts w:ascii="RXlREYhZ+FangSong" w:hAnsi="RXlREYhZ+FangSong" w:eastAsia="RXlREYhZ+FangSong"/>
          <w:color w:val="1F2229"/>
          <w:sz w:val="32"/>
        </w:rPr>
        <w:t>强化绩效评价成果应用：建立绩效自评结果与项目后续安排、资金分配、科室绩效考核挂钩机制，对评价优秀的项目，优先安排后续资金和项目支持；对评价不合格、存在问题较多的项目，暂停后续资金拨付，督促整改到位，整改不到位的不予安排后续项目；将绩效自评工作纳入科室年度考核，强化各科室绩效意识，推动预算绩效管理提质增效，充分发挥绩效评价的导向和约束作用。</w:t>
      </w:r>
    </w:p>
    <w:p w14:paraId="4B151A05">
      <w:pPr>
        <w:widowControl/>
        <w:tabs>
          <w:tab w:val="left" w:pos="788"/>
        </w:tabs>
        <w:autoSpaceDE w:val="0"/>
        <w:autoSpaceDN w:val="0"/>
        <w:spacing w:before="0" w:after="0" w:line="560" w:lineRule="exact"/>
        <w:ind w:left="146" w:right="288" w:firstLine="0"/>
        <w:jc w:val="left"/>
      </w:pPr>
      <w:r>
        <w:tab/>
      </w:r>
      <w:r>
        <w:rPr>
          <w:rFonts w:ascii="1Bm9mvBQ+SimHei" w:hAnsi="1Bm9mvBQ+SimHei" w:eastAsia="1Bm9mvBQ+SimHei"/>
          <w:color w:val="1F2229"/>
          <w:sz w:val="32"/>
        </w:rPr>
        <w:t>五、其他需要说明的问题</w:t>
      </w:r>
      <w:r>
        <w:br w:type="textWrapping"/>
      </w:r>
      <w:r>
        <w:tab/>
      </w:r>
      <w:r>
        <w:rPr>
          <w:rFonts w:ascii="RXlREYhZ+FangSong" w:hAnsi="RXlREYhZ+FangSong" w:eastAsia="RXlREYhZ+FangSong"/>
          <w:color w:val="1F2229"/>
          <w:sz w:val="32"/>
        </w:rPr>
        <w:t>本次绩效自评工作严格按照上级财政部门要求和单位工作方案开展，坚持客观、公正、真实的原则，全面梳理</w:t>
      </w:r>
      <w:r>
        <w:rPr>
          <w:rFonts w:ascii="cBgpXohS+KSOFE44F9426" w:hAnsi="cBgpXohS+KSOFE44F9426" w:eastAsia="cBgpXohS+KSOFE44F9426"/>
          <w:color w:val="1F2229"/>
          <w:sz w:val="32"/>
        </w:rPr>
        <w:t>2025</w:t>
      </w:r>
      <w:r>
        <w:rPr>
          <w:rFonts w:ascii="RXlREYhZ+FangSong" w:hAnsi="RXlREYhZ+FangSong" w:eastAsia="RXlREYhZ+FangSong"/>
          <w:color w:val="1F2229"/>
          <w:sz w:val="32"/>
        </w:rPr>
        <w:t>年度预算支出绩效情况，如实反映存在的问题并制定整改措施，确保自评工作质量。</w:t>
      </w:r>
    </w:p>
    <w:p w14:paraId="68EA8F75">
      <w:pPr>
        <w:widowControl/>
        <w:tabs>
          <w:tab w:val="left" w:pos="788"/>
        </w:tabs>
        <w:autoSpaceDE w:val="0"/>
        <w:autoSpaceDN w:val="0"/>
        <w:spacing w:before="0" w:after="0" w:line="560" w:lineRule="exact"/>
        <w:ind w:left="146" w:right="144" w:firstLine="0"/>
        <w:jc w:val="left"/>
      </w:pPr>
      <w:r>
        <w:tab/>
      </w:r>
      <w:r>
        <w:rPr>
          <w:rFonts w:ascii="cBgpXohS+KSOFE44F9426" w:hAnsi="cBgpXohS+KSOFE44F9426" w:eastAsia="cBgpXohS+KSOFE44F9426"/>
          <w:color w:val="1F2229"/>
          <w:sz w:val="32"/>
        </w:rPr>
        <w:t>1.</w:t>
      </w:r>
      <w:r>
        <w:rPr>
          <w:rFonts w:ascii="RXlREYhZ+FangSong" w:hAnsi="RXlREYhZ+FangSong" w:eastAsia="RXlREYhZ+FangSong"/>
          <w:color w:val="1F2229"/>
          <w:sz w:val="32"/>
        </w:rPr>
        <w:t>巡视巡察、审计、财政监督检查等相关情况：</w:t>
      </w:r>
      <w:r>
        <w:rPr>
          <w:rFonts w:ascii="cBgpXohS+KSOFE44F9426" w:hAnsi="cBgpXohS+KSOFE44F9426" w:eastAsia="cBgpXohS+KSOFE44F9426"/>
          <w:color w:val="1F2229"/>
          <w:sz w:val="32"/>
        </w:rPr>
        <w:t>2025</w:t>
      </w:r>
      <w:r>
        <w:rPr>
          <w:rFonts w:ascii="RXlREYhZ+FangSong" w:hAnsi="RXlREYhZ+FangSong" w:eastAsia="RXlREYhZ+FangSong"/>
          <w:color w:val="1F2229"/>
          <w:sz w:val="32"/>
        </w:rPr>
        <w:t>年度，我单位未收到上级部门开展巡视巡察、审计、财政监督检查等工作的通知，未发现相关问题，也无涉及资金违规使用等相关情况。</w:t>
      </w:r>
      <w:r>
        <w:tab/>
      </w:r>
      <w:r>
        <w:rPr>
          <w:rFonts w:ascii="cBgpXohS+KSOFE44F9426" w:hAnsi="cBgpXohS+KSOFE44F9426" w:eastAsia="cBgpXohS+KSOFE44F9426"/>
          <w:color w:val="1F2229"/>
          <w:sz w:val="32"/>
        </w:rPr>
        <w:t>2.</w:t>
      </w:r>
      <w:r>
        <w:rPr>
          <w:rFonts w:ascii="RXlREYhZ+FangSong" w:hAnsi="RXlREYhZ+FangSong" w:eastAsia="RXlREYhZ+FangSong"/>
          <w:color w:val="1F2229"/>
          <w:sz w:val="32"/>
        </w:rPr>
        <w:t>其他需要说明的事项：无。</w:t>
      </w:r>
    </w:p>
    <w:p w14:paraId="1F26FB9B">
      <w:pPr>
        <w:widowControl/>
        <w:autoSpaceDE w:val="0"/>
        <w:autoSpaceDN w:val="0"/>
        <w:spacing w:before="858" w:after="0" w:line="286" w:lineRule="exact"/>
        <w:ind w:left="0" w:right="344" w:firstLine="0"/>
        <w:jc w:val="right"/>
      </w:pPr>
      <w:r>
        <w:rPr>
          <w:rFonts w:ascii="TSaPLJZp+Calibri" w:hAnsi="TSaPLJZp+Calibri" w:eastAsia="TSaPLJZp+Calibri"/>
          <w:color w:val="000000"/>
          <w:sz w:val="18"/>
        </w:rPr>
        <w:t>—</w:t>
      </w:r>
      <w:r>
        <w:rPr>
          <w:rFonts w:ascii="s25zntVZ+SimSun" w:hAnsi="s25zntVZ+SimSun" w:eastAsia="s25zntVZ+SimSun"/>
          <w:color w:val="000000"/>
          <w:sz w:val="28"/>
        </w:rPr>
        <w:t>7</w:t>
      </w:r>
      <w:r>
        <w:rPr>
          <w:rFonts w:ascii="TSaPLJZp+Calibri" w:hAnsi="TSaPLJZp+Calibri" w:eastAsia="TSaPLJZp+Calibri"/>
          <w:color w:val="000000"/>
          <w:sz w:val="18"/>
        </w:rPr>
        <w:t>—</w:t>
      </w:r>
    </w:p>
    <w:sectPr>
      <w:pgSz w:w="11906" w:h="17238"/>
      <w:pgMar w:top="808" w:right="1134" w:bottom="440" w:left="1440" w:header="720" w:footer="720" w:gutter="0"/>
      <w:cols w:equalWidth="0" w:num="1">
        <w:col w:w="9332"/>
      </w:cols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jUACcdo+FZXBSJW">
    <w:panose1 w:val="02000503000000000000"/>
    <w:charset w:val="00"/>
    <w:family w:val="auto"/>
    <w:pitch w:val="default"/>
    <w:sig w:usb0="00000001" w:usb1="08000000" w:usb2="00000000" w:usb3="00000000" w:csb0="00000001" w:csb1="00000000"/>
  </w:font>
  <w:font w:name="RXlREYhZ+FangSong">
    <w:panose1 w:val="02000503000000000000"/>
    <w:charset w:val="88"/>
    <w:family w:val="auto"/>
    <w:pitch w:val="default"/>
    <w:sig w:usb0="80000000" w:usb1="08010040" w:usb2="00000010" w:usb3="00000000" w:csb0="00100000" w:csb1="00000000"/>
  </w:font>
  <w:font w:name="cBgpXohS+KSOFE44F9426">
    <w:panose1 w:val="02000503000000000000"/>
    <w:charset w:val="00"/>
    <w:family w:val="auto"/>
    <w:pitch w:val="default"/>
    <w:sig w:usb0="00000001" w:usb1="00000000" w:usb2="00000000" w:usb3="00000000" w:csb0="00000001" w:csb1="00000000"/>
  </w:font>
  <w:font w:name="1Bm9mvBQ+SimHei">
    <w:panose1 w:val="02000503000000000000"/>
    <w:charset w:val="00"/>
    <w:family w:val="auto"/>
    <w:pitch w:val="default"/>
    <w:sig w:usb0="00000000" w:usb1="08010000" w:usb2="00000010" w:usb3="00000000" w:csb0="00000001" w:csb1="00000000"/>
  </w:font>
  <w:font w:name="ZfAlzrTJ+KaiTi">
    <w:panose1 w:val="02000503000000000000"/>
    <w:charset w:val="00"/>
    <w:family w:val="auto"/>
    <w:pitch w:val="default"/>
    <w:sig w:usb0="00000000" w:usb1="08000000" w:usb2="00000010" w:usb3="00000000" w:csb0="00000001" w:csb1="00000000"/>
  </w:font>
  <w:font w:name="TSaPLJZp+Calibri">
    <w:panose1 w:val="02000503000000000000"/>
    <w:charset w:val="00"/>
    <w:family w:val="auto"/>
    <w:pitch w:val="default"/>
    <w:sig w:usb0="80000001" w:usb1="00000000" w:usb2="00000000" w:usb3="00000000" w:csb0="00000001" w:csb1="00000000"/>
  </w:font>
  <w:font w:name="s25zntVZ+SimSun">
    <w:panose1 w:val="02000503000000000000"/>
    <w:charset w:val="00"/>
    <w:family w:val="auto"/>
    <w:pitch w:val="default"/>
    <w:sig w:usb0="00000001" w:usb1="00000000" w:usb2="00000000" w:usb3="00000000" w:csb0="00000001" w:csb1="00000000"/>
  </w:font>
  <w:font w:name="ＭＳ 明朝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  <w:font w:name="WPSEMBED2">
    <w:panose1 w:val="02000503000000000000"/>
    <w:charset w:val="00"/>
    <w:family w:val="auto"/>
    <w:pitch w:val="default"/>
    <w:sig w:usb0="00000001" w:usb1="08000000" w:usb2="00000000" w:usb3="00000000" w:csb0="00000001" w:csb1="00000000"/>
  </w:font>
  <w:font w:name="WPSEMBED4">
    <w:panose1 w:val="02000503000000000000"/>
    <w:charset w:val="88"/>
    <w:family w:val="auto"/>
    <w:pitch w:val="default"/>
    <w:sig w:usb0="80000000" w:usb1="08010040" w:usb2="00000010" w:usb3="00000000" w:csb0="00100000" w:csb1="00000000"/>
  </w:font>
  <w:font w:name="WPSEMBED5">
    <w:panose1 w:val="02000503000000000000"/>
    <w:charset w:val="00"/>
    <w:family w:val="auto"/>
    <w:pitch w:val="default"/>
    <w:sig w:usb0="00000001" w:usb1="00000000" w:usb2="00000000" w:usb3="00000000" w:csb0="00000001" w:csb1="00000000"/>
  </w:font>
  <w:font w:name="WPSEMBED6">
    <w:panose1 w:val="02000503000000000000"/>
    <w:charset w:val="00"/>
    <w:family w:val="auto"/>
    <w:pitch w:val="default"/>
    <w:sig w:usb0="00000000" w:usb1="08010000" w:usb2="00000010" w:usb3="00000000" w:csb0="00000001" w:csb1="00000000"/>
  </w:font>
  <w:font w:name="WPSEMBED7">
    <w:panose1 w:val="02000503000000000000"/>
    <w:charset w:val="00"/>
    <w:family w:val="auto"/>
    <w:pitch w:val="default"/>
    <w:sig w:usb0="00000000" w:usb1="08000000" w:usb2="00000010" w:usb3="00000000" w:csb0="00000001" w:csb1="00000000"/>
  </w:font>
  <w:font w:name="WPSEMBED8">
    <w:panose1 w:val="02000503000000000000"/>
    <w:charset w:val="00"/>
    <w:family w:val="auto"/>
    <w:pitch w:val="default"/>
    <w:sig w:usb0="80000001" w:usb1="00000000" w:usb2="00000000" w:usb3="00000000" w:csb0="00000001" w:csb1="00000000"/>
  </w:font>
  <w:font w:name="WPSEMBED1">
    <w:panose1 w:val="02000503000000000000"/>
    <w:charset w:val="00"/>
    <w:family w:val="auto"/>
    <w:pitch w:val="default"/>
    <w:sig w:usb0="00000001" w:usb1="00000000" w:usb2="00000000" w:usb3="00000000" w:csb0="00000001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1"/>
  <w:doNotDisplayPageBoundaries w:val="1"/>
  <w:documentProtection w:enforcement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29925547"/>
    <w:rsid w:val="69362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3932</Words>
  <Characters>4080</Characters>
  <Lines>0</Lines>
  <Paragraphs>0</Paragraphs>
  <TotalTime>0</TotalTime>
  <ScaleCrop>false</ScaleCrop>
  <LinksUpToDate>false</LinksUpToDate>
  <CharactersWithSpaces>4102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符号</cp:lastModifiedBy>
  <dcterms:modified xsi:type="dcterms:W3CDTF">2026-08-20T09:22:13Z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04B4C497C1F84D9CAC251D521CB2D545_13</vt:lpwstr>
  </property>
  <property fmtid="{D5CDD505-2E9C-101B-9397-08002B2CF9AE}" pid="4" name="KSOTemplateDocerSaveRecord">
    <vt:lpwstr>eyJoZGlkIjoiOGQyZDRkZmFlNWM0MDliNWRhYTQ0Nzc4MzE5NmI0MjQiLCJ1c2VySWQiOiIzNjE2NjA5NTcifQ==</vt:lpwstr>
  </property>
</Properties>
</file>