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46CB4">
      <w:pPr>
        <w:spacing w:line="560" w:lineRule="exact"/>
        <w:jc w:val="center"/>
        <w:rPr>
          <w:rFonts w:ascii="方正小标宋简体" w:hAnsi="黑体" w:eastAsia="方正小标宋简体"/>
          <w:color w:val="000000"/>
          <w:sz w:val="44"/>
          <w:szCs w:val="44"/>
        </w:rPr>
      </w:pPr>
      <w:r>
        <w:rPr>
          <w:rFonts w:hint="eastAsia" w:ascii="方正小标宋简体" w:hAnsi="黑体" w:eastAsia="方正小标宋简体"/>
          <w:color w:val="000000"/>
          <w:sz w:val="44"/>
          <w:szCs w:val="44"/>
        </w:rPr>
        <w:t>五华区区级预算支出部门评价表</w:t>
      </w:r>
    </w:p>
    <w:p w14:paraId="14711100">
      <w:pPr>
        <w:spacing w:line="560" w:lineRule="exact"/>
        <w:jc w:val="center"/>
        <w:rPr>
          <w:rFonts w:ascii="方正小标宋简体" w:hAnsi="黑体" w:eastAsia="方正小标宋简体"/>
          <w:color w:val="000000"/>
          <w:sz w:val="32"/>
          <w:szCs w:val="32"/>
        </w:rPr>
      </w:pPr>
      <w:r>
        <w:rPr>
          <w:rFonts w:hint="eastAsia" w:ascii="方正小标宋简体" w:hAnsi="黑体" w:eastAsia="方正小标宋简体"/>
          <w:color w:val="000000"/>
          <w:sz w:val="32"/>
          <w:szCs w:val="32"/>
        </w:rPr>
        <w:t>（202</w:t>
      </w:r>
      <w:r>
        <w:rPr>
          <w:rFonts w:hint="eastAsia" w:ascii="方正小标宋简体" w:hAnsi="黑体" w:eastAsia="方正小标宋简体"/>
          <w:color w:val="000000"/>
          <w:sz w:val="32"/>
          <w:szCs w:val="32"/>
          <w:lang w:val="en-US" w:eastAsia="zh-CN"/>
        </w:rPr>
        <w:t>5</w:t>
      </w:r>
      <w:r>
        <w:rPr>
          <w:rFonts w:hint="eastAsia" w:ascii="方正小标宋简体" w:hAnsi="黑体" w:eastAsia="方正小标宋简体"/>
          <w:color w:val="000000"/>
          <w:sz w:val="32"/>
          <w:szCs w:val="32"/>
        </w:rPr>
        <w:t>）年度</w:t>
      </w:r>
    </w:p>
    <w:tbl>
      <w:tblPr>
        <w:tblStyle w:val="9"/>
        <w:tblpPr w:leftFromText="180" w:rightFromText="180" w:vertAnchor="text" w:horzAnchor="page" w:tblpXSpec="center" w:tblpY="258"/>
        <w:tblOverlap w:val="never"/>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1413"/>
        <w:gridCol w:w="187"/>
        <w:gridCol w:w="187"/>
        <w:gridCol w:w="375"/>
        <w:gridCol w:w="1597"/>
        <w:gridCol w:w="623"/>
        <w:gridCol w:w="444"/>
        <w:gridCol w:w="548"/>
        <w:gridCol w:w="1217"/>
        <w:gridCol w:w="305"/>
        <w:gridCol w:w="1335"/>
        <w:gridCol w:w="784"/>
      </w:tblGrid>
      <w:tr w14:paraId="6F068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1787" w:type="dxa"/>
            <w:gridSpan w:val="3"/>
            <w:vAlign w:val="center"/>
          </w:tcPr>
          <w:p w14:paraId="6BDF3A9C">
            <w:pPr>
              <w:spacing w:line="400" w:lineRule="exact"/>
              <w:jc w:val="center"/>
              <w:rPr>
                <w:rFonts w:ascii="宋体" w:hAnsi="宋体"/>
                <w:sz w:val="18"/>
                <w:szCs w:val="18"/>
              </w:rPr>
            </w:pPr>
            <w:r>
              <w:rPr>
                <w:rFonts w:hint="eastAsia" w:ascii="宋体" w:hAnsi="宋体"/>
                <w:sz w:val="18"/>
                <w:szCs w:val="18"/>
              </w:rPr>
              <w:t>项目名称</w:t>
            </w:r>
          </w:p>
        </w:tc>
        <w:tc>
          <w:tcPr>
            <w:tcW w:w="7228" w:type="dxa"/>
            <w:gridSpan w:val="9"/>
            <w:vAlign w:val="center"/>
          </w:tcPr>
          <w:p w14:paraId="7DDFBFCE">
            <w:pPr>
              <w:spacing w:line="400" w:lineRule="exact"/>
              <w:rPr>
                <w:rFonts w:hint="eastAsia" w:ascii="宋体" w:hAnsi="宋体" w:eastAsia="宋体"/>
                <w:sz w:val="18"/>
                <w:szCs w:val="18"/>
                <w:lang w:eastAsia="zh-CN"/>
              </w:rPr>
            </w:pPr>
            <w:r>
              <w:rPr>
                <w:rFonts w:hint="eastAsia" w:ascii="宋体" w:hAnsi="宋体"/>
                <w:sz w:val="18"/>
                <w:szCs w:val="18"/>
                <w:lang w:eastAsia="zh-CN"/>
              </w:rPr>
              <w:t>政协参政议经费</w:t>
            </w:r>
          </w:p>
        </w:tc>
      </w:tr>
      <w:tr w14:paraId="7366C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0" w:hRule="atLeast"/>
          <w:jc w:val="center"/>
        </w:trPr>
        <w:tc>
          <w:tcPr>
            <w:tcW w:w="1787" w:type="dxa"/>
            <w:gridSpan w:val="3"/>
            <w:vAlign w:val="center"/>
          </w:tcPr>
          <w:p w14:paraId="3EAB1342">
            <w:pPr>
              <w:spacing w:line="300" w:lineRule="exact"/>
              <w:jc w:val="center"/>
              <w:rPr>
                <w:rFonts w:ascii="宋体" w:hAnsi="宋体"/>
                <w:sz w:val="18"/>
                <w:szCs w:val="18"/>
              </w:rPr>
            </w:pPr>
            <w:r>
              <w:rPr>
                <w:rFonts w:hint="eastAsia" w:ascii="宋体" w:hAnsi="宋体"/>
                <w:sz w:val="18"/>
                <w:szCs w:val="18"/>
              </w:rPr>
              <w:t>主管部门</w:t>
            </w:r>
          </w:p>
        </w:tc>
        <w:tc>
          <w:tcPr>
            <w:tcW w:w="3039" w:type="dxa"/>
            <w:gridSpan w:val="4"/>
            <w:vAlign w:val="center"/>
          </w:tcPr>
          <w:p w14:paraId="1E199917">
            <w:pPr>
              <w:spacing w:line="300" w:lineRule="exact"/>
              <w:jc w:val="center"/>
              <w:rPr>
                <w:rFonts w:ascii="宋体" w:hAnsi="宋体"/>
                <w:sz w:val="18"/>
                <w:szCs w:val="18"/>
              </w:rPr>
            </w:pPr>
            <w:r>
              <w:rPr>
                <w:rFonts w:hint="eastAsia" w:ascii="宋体" w:hAnsi="宋体"/>
                <w:sz w:val="18"/>
                <w:szCs w:val="18"/>
              </w:rPr>
              <w:t>昆明市五华区财政局</w:t>
            </w:r>
          </w:p>
        </w:tc>
        <w:tc>
          <w:tcPr>
            <w:tcW w:w="2070" w:type="dxa"/>
            <w:gridSpan w:val="3"/>
            <w:vAlign w:val="center"/>
          </w:tcPr>
          <w:p w14:paraId="0A905D90">
            <w:pPr>
              <w:spacing w:line="300" w:lineRule="exact"/>
              <w:jc w:val="center"/>
              <w:rPr>
                <w:rFonts w:ascii="宋体" w:hAnsi="宋体"/>
                <w:sz w:val="18"/>
                <w:szCs w:val="18"/>
              </w:rPr>
            </w:pPr>
            <w:r>
              <w:rPr>
                <w:rFonts w:hint="eastAsia" w:ascii="宋体" w:hAnsi="宋体"/>
                <w:sz w:val="18"/>
                <w:szCs w:val="18"/>
              </w:rPr>
              <w:t>项目实施单位</w:t>
            </w:r>
          </w:p>
        </w:tc>
        <w:tc>
          <w:tcPr>
            <w:tcW w:w="2119" w:type="dxa"/>
            <w:gridSpan w:val="2"/>
            <w:vAlign w:val="center"/>
          </w:tcPr>
          <w:p w14:paraId="3895494B">
            <w:pPr>
              <w:spacing w:line="300" w:lineRule="exact"/>
              <w:jc w:val="center"/>
              <w:rPr>
                <w:rFonts w:ascii="宋体" w:hAnsi="宋体"/>
                <w:sz w:val="18"/>
                <w:szCs w:val="18"/>
              </w:rPr>
            </w:pPr>
            <w:r>
              <w:rPr>
                <w:rFonts w:hint="eastAsia" w:ascii="宋体" w:hAnsi="宋体"/>
                <w:sz w:val="18"/>
                <w:szCs w:val="18"/>
              </w:rPr>
              <w:t>中国人民政治协商会议昆明市五华区委员会</w:t>
            </w:r>
          </w:p>
        </w:tc>
      </w:tr>
      <w:tr w14:paraId="3D79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1787" w:type="dxa"/>
            <w:gridSpan w:val="3"/>
            <w:vAlign w:val="center"/>
          </w:tcPr>
          <w:p w14:paraId="711367D5">
            <w:pPr>
              <w:spacing w:line="300" w:lineRule="exact"/>
              <w:jc w:val="center"/>
              <w:rPr>
                <w:rFonts w:ascii="宋体" w:hAnsi="宋体"/>
                <w:sz w:val="18"/>
                <w:szCs w:val="18"/>
              </w:rPr>
            </w:pPr>
            <w:r>
              <w:rPr>
                <w:rFonts w:hint="eastAsia" w:ascii="宋体" w:hAnsi="宋体"/>
                <w:sz w:val="18"/>
                <w:szCs w:val="18"/>
              </w:rPr>
              <w:t>项目负责人</w:t>
            </w:r>
          </w:p>
        </w:tc>
        <w:tc>
          <w:tcPr>
            <w:tcW w:w="3039" w:type="dxa"/>
            <w:gridSpan w:val="4"/>
            <w:vAlign w:val="center"/>
          </w:tcPr>
          <w:p w14:paraId="2450ED68">
            <w:pPr>
              <w:spacing w:line="300" w:lineRule="exact"/>
              <w:jc w:val="center"/>
              <w:rPr>
                <w:rFonts w:hint="eastAsia" w:ascii="宋体" w:hAnsi="宋体" w:eastAsia="宋体"/>
                <w:sz w:val="18"/>
                <w:szCs w:val="18"/>
                <w:lang w:val="en-US" w:eastAsia="zh-CN"/>
              </w:rPr>
            </w:pPr>
            <w:r>
              <w:rPr>
                <w:rFonts w:hint="eastAsia" w:ascii="宋体" w:hAnsi="宋体"/>
                <w:sz w:val="18"/>
                <w:szCs w:val="18"/>
                <w:lang w:val="en-US" w:eastAsia="zh-CN"/>
              </w:rPr>
              <w:t>牛勇</w:t>
            </w:r>
          </w:p>
        </w:tc>
        <w:tc>
          <w:tcPr>
            <w:tcW w:w="2070" w:type="dxa"/>
            <w:gridSpan w:val="3"/>
            <w:vAlign w:val="center"/>
          </w:tcPr>
          <w:p w14:paraId="13754982">
            <w:pPr>
              <w:spacing w:line="300" w:lineRule="exact"/>
              <w:jc w:val="center"/>
              <w:rPr>
                <w:rFonts w:ascii="宋体" w:hAnsi="宋体"/>
                <w:sz w:val="18"/>
                <w:szCs w:val="18"/>
              </w:rPr>
            </w:pPr>
            <w:r>
              <w:rPr>
                <w:rFonts w:hint="eastAsia" w:ascii="宋体" w:hAnsi="宋体"/>
                <w:sz w:val="18"/>
                <w:szCs w:val="18"/>
              </w:rPr>
              <w:t>联系电话</w:t>
            </w:r>
          </w:p>
        </w:tc>
        <w:tc>
          <w:tcPr>
            <w:tcW w:w="2119" w:type="dxa"/>
            <w:gridSpan w:val="2"/>
            <w:vAlign w:val="center"/>
          </w:tcPr>
          <w:p w14:paraId="3ABFCDB3">
            <w:pPr>
              <w:spacing w:line="300" w:lineRule="exact"/>
              <w:jc w:val="center"/>
              <w:rPr>
                <w:rFonts w:hint="default" w:ascii="宋体" w:hAnsi="宋体" w:eastAsia="宋体"/>
                <w:sz w:val="18"/>
                <w:szCs w:val="18"/>
                <w:lang w:val="en-US" w:eastAsia="zh-CN"/>
              </w:rPr>
            </w:pPr>
            <w:r>
              <w:rPr>
                <w:rFonts w:hint="eastAsia" w:ascii="宋体" w:hAnsi="宋体"/>
                <w:sz w:val="18"/>
                <w:szCs w:val="18"/>
                <w:lang w:val="en-US" w:eastAsia="zh-CN"/>
              </w:rPr>
              <w:t>63628130</w:t>
            </w:r>
          </w:p>
        </w:tc>
      </w:tr>
      <w:tr w14:paraId="41FA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1787" w:type="dxa"/>
            <w:gridSpan w:val="3"/>
            <w:vAlign w:val="center"/>
          </w:tcPr>
          <w:p w14:paraId="681CAD5D">
            <w:pPr>
              <w:spacing w:line="300" w:lineRule="exact"/>
              <w:jc w:val="center"/>
              <w:rPr>
                <w:rFonts w:ascii="宋体" w:hAnsi="宋体"/>
                <w:sz w:val="18"/>
                <w:szCs w:val="18"/>
              </w:rPr>
            </w:pPr>
            <w:r>
              <w:rPr>
                <w:rFonts w:hint="eastAsia" w:ascii="宋体" w:hAnsi="宋体"/>
                <w:sz w:val="18"/>
                <w:szCs w:val="18"/>
              </w:rPr>
              <w:t>项目类型</w:t>
            </w:r>
          </w:p>
        </w:tc>
        <w:tc>
          <w:tcPr>
            <w:tcW w:w="7228" w:type="dxa"/>
            <w:gridSpan w:val="9"/>
            <w:vAlign w:val="center"/>
          </w:tcPr>
          <w:p w14:paraId="0525C083">
            <w:pPr>
              <w:spacing w:line="300" w:lineRule="exact"/>
              <w:jc w:val="center"/>
              <w:rPr>
                <w:rFonts w:ascii="宋体" w:hAnsi="宋体"/>
                <w:sz w:val="18"/>
                <w:szCs w:val="18"/>
              </w:rPr>
            </w:pPr>
            <w:r>
              <w:rPr>
                <w:rFonts w:hint="eastAsia" w:ascii="宋体" w:hAnsi="宋体"/>
                <w:sz w:val="18"/>
                <w:szCs w:val="18"/>
              </w:rPr>
              <w:t>经常性项目（</w:t>
            </w:r>
            <w:r>
              <w:rPr>
                <w:rFonts w:hint="eastAsia" w:ascii="宋体" w:hAnsi="宋体"/>
                <w:sz w:val="18"/>
                <w:szCs w:val="18"/>
                <w:lang w:val="en-US" w:eastAsia="zh-CN"/>
              </w:rPr>
              <w:t xml:space="preserve"> </w:t>
            </w:r>
            <w:r>
              <w:rPr>
                <w:rFonts w:ascii="Arial" w:hAnsi="Arial" w:cs="Arial"/>
                <w:b/>
                <w:bCs/>
                <w:sz w:val="18"/>
                <w:szCs w:val="18"/>
              </w:rPr>
              <w:t>√</w:t>
            </w:r>
            <w:r>
              <w:rPr>
                <w:rFonts w:hint="eastAsia" w:ascii="宋体" w:hAnsi="宋体"/>
                <w:sz w:val="18"/>
                <w:szCs w:val="18"/>
              </w:rPr>
              <w:t xml:space="preserve"> </w:t>
            </w:r>
            <w:r>
              <w:rPr>
                <w:rFonts w:hint="eastAsia" w:ascii="宋体" w:hAnsi="宋体"/>
                <w:sz w:val="18"/>
                <w:szCs w:val="18"/>
                <w:lang w:val="en-US" w:eastAsia="zh-CN"/>
              </w:rPr>
              <w:t xml:space="preserve"> </w:t>
            </w:r>
            <w:r>
              <w:rPr>
                <w:rFonts w:hint="eastAsia" w:ascii="宋体" w:hAnsi="宋体"/>
                <w:sz w:val="18"/>
                <w:szCs w:val="18"/>
              </w:rPr>
              <w:t>）       一次性项目（ ）</w:t>
            </w:r>
          </w:p>
        </w:tc>
      </w:tr>
      <w:tr w14:paraId="5CD6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1787" w:type="dxa"/>
            <w:gridSpan w:val="3"/>
            <w:vMerge w:val="restart"/>
            <w:vAlign w:val="center"/>
          </w:tcPr>
          <w:p w14:paraId="1C764C82">
            <w:pPr>
              <w:spacing w:line="240" w:lineRule="exact"/>
              <w:jc w:val="center"/>
              <w:rPr>
                <w:rFonts w:ascii="宋体" w:hAnsi="宋体"/>
                <w:sz w:val="18"/>
                <w:szCs w:val="18"/>
              </w:rPr>
            </w:pPr>
            <w:r>
              <w:rPr>
                <w:rFonts w:hint="eastAsia" w:ascii="宋体" w:hAnsi="宋体"/>
                <w:sz w:val="18"/>
                <w:szCs w:val="18"/>
              </w:rPr>
              <w:t>项目资金（万元）</w:t>
            </w:r>
          </w:p>
        </w:tc>
        <w:tc>
          <w:tcPr>
            <w:tcW w:w="1972" w:type="dxa"/>
            <w:gridSpan w:val="2"/>
            <w:vAlign w:val="center"/>
          </w:tcPr>
          <w:p w14:paraId="57E06380">
            <w:pPr>
              <w:spacing w:line="240" w:lineRule="exact"/>
              <w:jc w:val="center"/>
              <w:rPr>
                <w:rFonts w:ascii="宋体" w:hAnsi="宋体"/>
                <w:sz w:val="18"/>
                <w:szCs w:val="18"/>
              </w:rPr>
            </w:pPr>
            <w:r>
              <w:rPr>
                <w:rFonts w:hint="eastAsia" w:ascii="宋体" w:hAnsi="宋体"/>
                <w:sz w:val="18"/>
                <w:szCs w:val="18"/>
              </w:rPr>
              <w:t>项目支出明细内容</w:t>
            </w:r>
          </w:p>
        </w:tc>
        <w:tc>
          <w:tcPr>
            <w:tcW w:w="1615" w:type="dxa"/>
            <w:gridSpan w:val="3"/>
            <w:vAlign w:val="center"/>
          </w:tcPr>
          <w:p w14:paraId="7B35A3ED">
            <w:pPr>
              <w:spacing w:line="240" w:lineRule="exact"/>
              <w:jc w:val="center"/>
              <w:rPr>
                <w:rFonts w:ascii="宋体" w:hAnsi="宋体"/>
                <w:sz w:val="18"/>
                <w:szCs w:val="18"/>
              </w:rPr>
            </w:pPr>
            <w:r>
              <w:rPr>
                <w:rFonts w:hint="eastAsia" w:ascii="宋体" w:hAnsi="宋体"/>
                <w:sz w:val="18"/>
                <w:szCs w:val="18"/>
              </w:rPr>
              <w:t>年初预算数</w:t>
            </w:r>
          </w:p>
        </w:tc>
        <w:tc>
          <w:tcPr>
            <w:tcW w:w="1522" w:type="dxa"/>
            <w:gridSpan w:val="2"/>
            <w:vAlign w:val="center"/>
          </w:tcPr>
          <w:p w14:paraId="3E2327B4">
            <w:pPr>
              <w:spacing w:line="240" w:lineRule="exact"/>
              <w:jc w:val="center"/>
              <w:rPr>
                <w:rFonts w:ascii="宋体" w:hAnsi="宋体"/>
                <w:sz w:val="18"/>
                <w:szCs w:val="18"/>
              </w:rPr>
            </w:pPr>
            <w:r>
              <w:rPr>
                <w:rFonts w:hint="eastAsia" w:ascii="宋体" w:hAnsi="宋体"/>
                <w:sz w:val="18"/>
                <w:szCs w:val="18"/>
              </w:rPr>
              <w:t>实际到位数</w:t>
            </w:r>
          </w:p>
        </w:tc>
        <w:tc>
          <w:tcPr>
            <w:tcW w:w="1335" w:type="dxa"/>
            <w:vAlign w:val="center"/>
          </w:tcPr>
          <w:p w14:paraId="47506546">
            <w:pPr>
              <w:spacing w:line="240" w:lineRule="exact"/>
              <w:jc w:val="center"/>
              <w:rPr>
                <w:rFonts w:ascii="宋体" w:hAnsi="宋体"/>
                <w:sz w:val="18"/>
                <w:szCs w:val="18"/>
              </w:rPr>
            </w:pPr>
            <w:r>
              <w:rPr>
                <w:rFonts w:hint="eastAsia" w:ascii="宋体" w:hAnsi="宋体"/>
                <w:sz w:val="18"/>
                <w:szCs w:val="18"/>
              </w:rPr>
              <w:t>实际支出数</w:t>
            </w:r>
          </w:p>
        </w:tc>
        <w:tc>
          <w:tcPr>
            <w:tcW w:w="784" w:type="dxa"/>
            <w:vAlign w:val="center"/>
          </w:tcPr>
          <w:p w14:paraId="55C52432">
            <w:pPr>
              <w:spacing w:line="240" w:lineRule="exact"/>
              <w:jc w:val="center"/>
              <w:rPr>
                <w:rFonts w:ascii="宋体" w:hAnsi="宋体"/>
                <w:sz w:val="18"/>
                <w:szCs w:val="18"/>
              </w:rPr>
            </w:pPr>
            <w:r>
              <w:rPr>
                <w:rFonts w:hint="eastAsia" w:ascii="宋体" w:hAnsi="宋体"/>
                <w:sz w:val="18"/>
                <w:szCs w:val="18"/>
              </w:rPr>
              <w:t>执行率</w:t>
            </w:r>
          </w:p>
        </w:tc>
      </w:tr>
      <w:tr w14:paraId="27B6F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1787" w:type="dxa"/>
            <w:gridSpan w:val="3"/>
            <w:vMerge w:val="continue"/>
            <w:vAlign w:val="center"/>
          </w:tcPr>
          <w:p w14:paraId="73855ACF">
            <w:pPr>
              <w:spacing w:line="240" w:lineRule="exact"/>
              <w:jc w:val="center"/>
              <w:rPr>
                <w:rFonts w:ascii="宋体" w:hAnsi="宋体"/>
                <w:sz w:val="18"/>
                <w:szCs w:val="18"/>
              </w:rPr>
            </w:pPr>
          </w:p>
        </w:tc>
        <w:tc>
          <w:tcPr>
            <w:tcW w:w="1972" w:type="dxa"/>
            <w:gridSpan w:val="2"/>
            <w:vAlign w:val="center"/>
          </w:tcPr>
          <w:p w14:paraId="16A6C1F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ascii="宋体" w:hAnsi="宋体"/>
                <w:sz w:val="18"/>
                <w:szCs w:val="18"/>
              </w:rPr>
            </w:pPr>
            <w:r>
              <w:rPr>
                <w:rFonts w:hint="eastAsia" w:ascii="宋体" w:hAnsi="宋体"/>
                <w:sz w:val="18"/>
                <w:szCs w:val="18"/>
                <w:lang w:val="en-US" w:eastAsia="zh-CN"/>
              </w:rPr>
              <w:t>政协参政议政经费</w:t>
            </w:r>
          </w:p>
        </w:tc>
        <w:tc>
          <w:tcPr>
            <w:tcW w:w="1615" w:type="dxa"/>
            <w:gridSpan w:val="3"/>
            <w:vAlign w:val="center"/>
          </w:tcPr>
          <w:p w14:paraId="15FE6AF5">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1060920</w:t>
            </w:r>
          </w:p>
        </w:tc>
        <w:tc>
          <w:tcPr>
            <w:tcW w:w="1522" w:type="dxa"/>
            <w:gridSpan w:val="2"/>
            <w:vAlign w:val="center"/>
          </w:tcPr>
          <w:p w14:paraId="7D1ED346">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宋体"/>
                <w:i w:val="0"/>
                <w:color w:val="000000"/>
                <w:kern w:val="0"/>
                <w:sz w:val="18"/>
                <w:szCs w:val="18"/>
                <w:u w:val="none"/>
                <w:lang w:val="en-US" w:eastAsia="zh-CN" w:bidi="ar"/>
              </w:rPr>
            </w:pPr>
            <w:r>
              <w:rPr>
                <w:rFonts w:hint="eastAsia" w:ascii="宋体" w:hAnsi="宋体"/>
                <w:sz w:val="18"/>
                <w:szCs w:val="18"/>
                <w:lang w:val="en-US" w:eastAsia="zh-CN"/>
              </w:rPr>
              <w:t>619028.6</w:t>
            </w:r>
          </w:p>
        </w:tc>
        <w:tc>
          <w:tcPr>
            <w:tcW w:w="1335" w:type="dxa"/>
            <w:vAlign w:val="center"/>
          </w:tcPr>
          <w:p w14:paraId="39F967BD">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宋体"/>
                <w:i w:val="0"/>
                <w:color w:val="000000"/>
                <w:kern w:val="0"/>
                <w:sz w:val="18"/>
                <w:szCs w:val="18"/>
                <w:u w:val="none"/>
                <w:lang w:val="en-US" w:eastAsia="zh-CN" w:bidi="ar"/>
              </w:rPr>
            </w:pPr>
            <w:r>
              <w:rPr>
                <w:rFonts w:hint="eastAsia" w:ascii="宋体" w:hAnsi="宋体"/>
                <w:sz w:val="18"/>
                <w:szCs w:val="18"/>
                <w:lang w:val="en-US" w:eastAsia="zh-CN"/>
              </w:rPr>
              <w:t>124220</w:t>
            </w:r>
          </w:p>
        </w:tc>
        <w:tc>
          <w:tcPr>
            <w:tcW w:w="784" w:type="dxa"/>
            <w:vAlign w:val="center"/>
          </w:tcPr>
          <w:p w14:paraId="4378939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sz w:val="18"/>
                <w:szCs w:val="18"/>
                <w:lang w:val="en-US"/>
              </w:rPr>
            </w:pPr>
            <w:r>
              <w:rPr>
                <w:rFonts w:hint="eastAsia" w:ascii="宋体" w:hAnsi="宋体"/>
                <w:sz w:val="18"/>
                <w:szCs w:val="18"/>
                <w:lang w:val="en-US" w:eastAsia="zh-CN"/>
              </w:rPr>
              <w:t>20.07%</w:t>
            </w:r>
          </w:p>
        </w:tc>
      </w:tr>
      <w:tr w14:paraId="195F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59" w:hRule="atLeast"/>
          <w:jc w:val="center"/>
        </w:trPr>
        <w:tc>
          <w:tcPr>
            <w:tcW w:w="1787" w:type="dxa"/>
            <w:gridSpan w:val="3"/>
            <w:vMerge w:val="continue"/>
            <w:vAlign w:val="center"/>
          </w:tcPr>
          <w:p w14:paraId="2AA83989">
            <w:pPr>
              <w:spacing w:line="240" w:lineRule="exact"/>
              <w:jc w:val="center"/>
              <w:rPr>
                <w:rFonts w:ascii="宋体" w:hAnsi="宋体"/>
                <w:sz w:val="18"/>
                <w:szCs w:val="18"/>
              </w:rPr>
            </w:pPr>
          </w:p>
        </w:tc>
        <w:tc>
          <w:tcPr>
            <w:tcW w:w="1972" w:type="dxa"/>
            <w:gridSpan w:val="2"/>
            <w:vAlign w:val="center"/>
          </w:tcPr>
          <w:p w14:paraId="61288218">
            <w:pPr>
              <w:keepNext w:val="0"/>
              <w:keepLines w:val="0"/>
              <w:widowControl/>
              <w:suppressLineNumbers w:val="0"/>
              <w:jc w:val="left"/>
              <w:textAlignment w:val="center"/>
              <w:rPr>
                <w:rFonts w:ascii="宋体" w:hAnsi="宋体"/>
                <w:sz w:val="18"/>
                <w:szCs w:val="18"/>
              </w:rPr>
            </w:pPr>
          </w:p>
        </w:tc>
        <w:tc>
          <w:tcPr>
            <w:tcW w:w="1615" w:type="dxa"/>
            <w:gridSpan w:val="3"/>
            <w:vAlign w:val="center"/>
          </w:tcPr>
          <w:p w14:paraId="13A5C9A8">
            <w:pPr>
              <w:keepNext w:val="0"/>
              <w:keepLines w:val="0"/>
              <w:widowControl/>
              <w:suppressLineNumbers w:val="0"/>
              <w:jc w:val="right"/>
              <w:textAlignment w:val="center"/>
              <w:rPr>
                <w:rFonts w:hint="eastAsia" w:ascii="宋体" w:hAnsi="宋体"/>
                <w:sz w:val="18"/>
                <w:szCs w:val="18"/>
                <w:lang w:val="en-US" w:eastAsia="zh-CN"/>
              </w:rPr>
            </w:pPr>
          </w:p>
        </w:tc>
        <w:tc>
          <w:tcPr>
            <w:tcW w:w="1522" w:type="dxa"/>
            <w:gridSpan w:val="2"/>
            <w:vAlign w:val="center"/>
          </w:tcPr>
          <w:p w14:paraId="71A7163D">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p>
        </w:tc>
        <w:tc>
          <w:tcPr>
            <w:tcW w:w="1335" w:type="dxa"/>
            <w:vAlign w:val="center"/>
          </w:tcPr>
          <w:p w14:paraId="2DF2311C">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w:t>
            </w:r>
          </w:p>
        </w:tc>
        <w:tc>
          <w:tcPr>
            <w:tcW w:w="784" w:type="dxa"/>
            <w:vAlign w:val="center"/>
          </w:tcPr>
          <w:p w14:paraId="58912070">
            <w:pPr>
              <w:spacing w:line="240" w:lineRule="exact"/>
              <w:jc w:val="center"/>
              <w:rPr>
                <w:rFonts w:ascii="宋体" w:hAnsi="宋体"/>
                <w:sz w:val="18"/>
                <w:szCs w:val="18"/>
              </w:rPr>
            </w:pPr>
          </w:p>
        </w:tc>
      </w:tr>
      <w:tr w14:paraId="0084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1787" w:type="dxa"/>
            <w:gridSpan w:val="3"/>
            <w:vMerge w:val="continue"/>
            <w:vAlign w:val="center"/>
          </w:tcPr>
          <w:p w14:paraId="073E4AC4">
            <w:pPr>
              <w:spacing w:line="240" w:lineRule="exact"/>
              <w:jc w:val="center"/>
              <w:rPr>
                <w:rFonts w:ascii="宋体" w:hAnsi="宋体"/>
                <w:sz w:val="18"/>
                <w:szCs w:val="18"/>
              </w:rPr>
            </w:pPr>
          </w:p>
        </w:tc>
        <w:tc>
          <w:tcPr>
            <w:tcW w:w="1972" w:type="dxa"/>
            <w:gridSpan w:val="2"/>
            <w:vAlign w:val="center"/>
          </w:tcPr>
          <w:p w14:paraId="6BEAFA68">
            <w:pPr>
              <w:keepNext w:val="0"/>
              <w:keepLines w:val="0"/>
              <w:widowControl/>
              <w:suppressLineNumbers w:val="0"/>
              <w:jc w:val="left"/>
              <w:textAlignment w:val="center"/>
              <w:rPr>
                <w:rFonts w:ascii="宋体" w:hAnsi="宋体"/>
                <w:sz w:val="18"/>
                <w:szCs w:val="18"/>
              </w:rPr>
            </w:pPr>
          </w:p>
        </w:tc>
        <w:tc>
          <w:tcPr>
            <w:tcW w:w="1615" w:type="dxa"/>
            <w:gridSpan w:val="3"/>
            <w:vAlign w:val="center"/>
          </w:tcPr>
          <w:p w14:paraId="1CFF3903">
            <w:pPr>
              <w:keepNext w:val="0"/>
              <w:keepLines w:val="0"/>
              <w:widowControl/>
              <w:suppressLineNumbers w:val="0"/>
              <w:jc w:val="right"/>
              <w:textAlignment w:val="center"/>
              <w:rPr>
                <w:rFonts w:hint="default" w:ascii="宋体" w:hAnsi="宋体"/>
                <w:sz w:val="18"/>
                <w:szCs w:val="18"/>
                <w:lang w:val="en-US" w:eastAsia="zh-CN"/>
              </w:rPr>
            </w:pPr>
          </w:p>
        </w:tc>
        <w:tc>
          <w:tcPr>
            <w:tcW w:w="1522" w:type="dxa"/>
            <w:gridSpan w:val="2"/>
            <w:vAlign w:val="center"/>
          </w:tcPr>
          <w:p w14:paraId="0AD9FFB0">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w:t>
            </w:r>
          </w:p>
        </w:tc>
        <w:tc>
          <w:tcPr>
            <w:tcW w:w="1335" w:type="dxa"/>
            <w:vAlign w:val="center"/>
          </w:tcPr>
          <w:p w14:paraId="3F3660DA">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p>
        </w:tc>
        <w:tc>
          <w:tcPr>
            <w:tcW w:w="784" w:type="dxa"/>
            <w:vAlign w:val="center"/>
          </w:tcPr>
          <w:p w14:paraId="47B5E85B">
            <w:pPr>
              <w:spacing w:line="240" w:lineRule="exact"/>
              <w:jc w:val="center"/>
              <w:rPr>
                <w:rFonts w:ascii="宋体" w:hAnsi="宋体"/>
                <w:sz w:val="18"/>
                <w:szCs w:val="18"/>
              </w:rPr>
            </w:pPr>
          </w:p>
        </w:tc>
      </w:tr>
      <w:tr w14:paraId="4175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3759" w:type="dxa"/>
            <w:gridSpan w:val="5"/>
            <w:vAlign w:val="center"/>
          </w:tcPr>
          <w:p w14:paraId="2EE183D3">
            <w:pPr>
              <w:spacing w:line="240" w:lineRule="exact"/>
              <w:jc w:val="center"/>
              <w:rPr>
                <w:rFonts w:ascii="宋体" w:hAnsi="宋体"/>
                <w:b/>
                <w:bCs/>
                <w:sz w:val="18"/>
                <w:szCs w:val="18"/>
              </w:rPr>
            </w:pPr>
            <w:r>
              <w:rPr>
                <w:rFonts w:hint="eastAsia" w:ascii="宋体" w:hAnsi="宋体"/>
                <w:b/>
                <w:bCs/>
                <w:sz w:val="18"/>
                <w:szCs w:val="18"/>
              </w:rPr>
              <w:t>合      计</w:t>
            </w:r>
          </w:p>
        </w:tc>
        <w:tc>
          <w:tcPr>
            <w:tcW w:w="1615" w:type="dxa"/>
            <w:gridSpan w:val="3"/>
            <w:vAlign w:val="center"/>
          </w:tcPr>
          <w:p w14:paraId="1739C6E5">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b/>
                <w:bCs/>
                <w:sz w:val="18"/>
                <w:szCs w:val="18"/>
                <w:lang w:val="en-US" w:eastAsia="zh-CN"/>
              </w:rPr>
            </w:pPr>
            <w:r>
              <w:rPr>
                <w:rFonts w:hint="eastAsia" w:ascii="宋体" w:hAnsi="宋体"/>
                <w:sz w:val="18"/>
                <w:szCs w:val="18"/>
                <w:lang w:val="en-US" w:eastAsia="zh-CN"/>
              </w:rPr>
              <w:t>1060920</w:t>
            </w:r>
          </w:p>
        </w:tc>
        <w:tc>
          <w:tcPr>
            <w:tcW w:w="1522" w:type="dxa"/>
            <w:gridSpan w:val="2"/>
            <w:vAlign w:val="center"/>
          </w:tcPr>
          <w:p w14:paraId="10DB36E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b/>
                <w:bCs/>
                <w:sz w:val="18"/>
                <w:szCs w:val="18"/>
                <w:lang w:val="en-US" w:eastAsia="zh-CN"/>
              </w:rPr>
            </w:pPr>
            <w:r>
              <w:rPr>
                <w:rFonts w:hint="eastAsia" w:ascii="宋体" w:hAnsi="宋体"/>
                <w:sz w:val="18"/>
                <w:szCs w:val="18"/>
                <w:lang w:val="en-US" w:eastAsia="zh-CN"/>
              </w:rPr>
              <w:t>619028.6</w:t>
            </w:r>
          </w:p>
        </w:tc>
        <w:tc>
          <w:tcPr>
            <w:tcW w:w="1335" w:type="dxa"/>
            <w:vAlign w:val="center"/>
          </w:tcPr>
          <w:p w14:paraId="6CA9580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b/>
                <w:bCs/>
                <w:sz w:val="18"/>
                <w:szCs w:val="18"/>
                <w:lang w:val="en-US" w:eastAsia="zh-CN"/>
              </w:rPr>
            </w:pPr>
            <w:r>
              <w:rPr>
                <w:rFonts w:hint="eastAsia" w:ascii="宋体" w:hAnsi="宋体"/>
                <w:sz w:val="18"/>
                <w:szCs w:val="18"/>
                <w:lang w:val="en-US" w:eastAsia="zh-CN"/>
              </w:rPr>
              <w:t>124220</w:t>
            </w:r>
          </w:p>
        </w:tc>
        <w:tc>
          <w:tcPr>
            <w:tcW w:w="784" w:type="dxa"/>
            <w:vAlign w:val="center"/>
          </w:tcPr>
          <w:p w14:paraId="440C4ADC">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b/>
                <w:bCs/>
                <w:sz w:val="18"/>
                <w:szCs w:val="18"/>
                <w:lang w:val="en-US"/>
              </w:rPr>
            </w:pPr>
            <w:r>
              <w:rPr>
                <w:rFonts w:hint="eastAsia" w:ascii="宋体" w:hAnsi="宋体"/>
                <w:sz w:val="18"/>
                <w:szCs w:val="18"/>
                <w:lang w:val="en-US" w:eastAsia="zh-CN"/>
              </w:rPr>
              <w:t>20.07%</w:t>
            </w:r>
          </w:p>
        </w:tc>
      </w:tr>
      <w:tr w14:paraId="00DFC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3759" w:type="dxa"/>
            <w:gridSpan w:val="5"/>
            <w:vAlign w:val="center"/>
          </w:tcPr>
          <w:p w14:paraId="23275D2C">
            <w:pPr>
              <w:spacing w:line="300" w:lineRule="exact"/>
              <w:jc w:val="center"/>
              <w:rPr>
                <w:rFonts w:ascii="宋体" w:hAnsi="宋体"/>
                <w:sz w:val="18"/>
                <w:szCs w:val="18"/>
              </w:rPr>
            </w:pPr>
            <w:r>
              <w:rPr>
                <w:rFonts w:hint="eastAsia" w:ascii="宋体" w:hAnsi="宋体"/>
                <w:sz w:val="18"/>
                <w:szCs w:val="18"/>
              </w:rPr>
              <w:t xml:space="preserve">                其中：中央财政</w:t>
            </w:r>
          </w:p>
        </w:tc>
        <w:tc>
          <w:tcPr>
            <w:tcW w:w="1615" w:type="dxa"/>
            <w:gridSpan w:val="3"/>
            <w:vAlign w:val="center"/>
          </w:tcPr>
          <w:p w14:paraId="523F3FA7">
            <w:pPr>
              <w:spacing w:line="300" w:lineRule="exact"/>
              <w:jc w:val="center"/>
              <w:rPr>
                <w:rFonts w:ascii="宋体" w:hAnsi="宋体"/>
                <w:sz w:val="18"/>
                <w:szCs w:val="18"/>
              </w:rPr>
            </w:pPr>
          </w:p>
        </w:tc>
        <w:tc>
          <w:tcPr>
            <w:tcW w:w="1522" w:type="dxa"/>
            <w:gridSpan w:val="2"/>
            <w:vAlign w:val="center"/>
          </w:tcPr>
          <w:p w14:paraId="4069B162">
            <w:pPr>
              <w:spacing w:line="300" w:lineRule="exact"/>
              <w:jc w:val="center"/>
              <w:rPr>
                <w:rFonts w:ascii="宋体" w:hAnsi="宋体"/>
                <w:sz w:val="18"/>
                <w:szCs w:val="18"/>
              </w:rPr>
            </w:pPr>
          </w:p>
        </w:tc>
        <w:tc>
          <w:tcPr>
            <w:tcW w:w="1335" w:type="dxa"/>
            <w:vAlign w:val="center"/>
          </w:tcPr>
          <w:p w14:paraId="1F702EE9">
            <w:pPr>
              <w:spacing w:line="300" w:lineRule="exact"/>
              <w:jc w:val="center"/>
              <w:rPr>
                <w:rFonts w:ascii="宋体" w:hAnsi="宋体"/>
                <w:sz w:val="18"/>
                <w:szCs w:val="18"/>
              </w:rPr>
            </w:pPr>
          </w:p>
        </w:tc>
        <w:tc>
          <w:tcPr>
            <w:tcW w:w="784" w:type="dxa"/>
            <w:vAlign w:val="center"/>
          </w:tcPr>
          <w:p w14:paraId="1C6B41C1">
            <w:pPr>
              <w:spacing w:line="300" w:lineRule="exact"/>
              <w:jc w:val="center"/>
              <w:rPr>
                <w:rFonts w:ascii="宋体" w:hAnsi="宋体"/>
                <w:sz w:val="18"/>
                <w:szCs w:val="18"/>
              </w:rPr>
            </w:pPr>
          </w:p>
        </w:tc>
      </w:tr>
      <w:tr w14:paraId="3458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3759" w:type="dxa"/>
            <w:gridSpan w:val="5"/>
            <w:vAlign w:val="center"/>
          </w:tcPr>
          <w:p w14:paraId="141D4437">
            <w:pPr>
              <w:spacing w:line="300" w:lineRule="exact"/>
              <w:jc w:val="center"/>
              <w:rPr>
                <w:rFonts w:ascii="宋体" w:hAnsi="宋体"/>
                <w:sz w:val="18"/>
                <w:szCs w:val="18"/>
              </w:rPr>
            </w:pPr>
            <w:r>
              <w:rPr>
                <w:rFonts w:hint="eastAsia" w:ascii="宋体" w:hAnsi="宋体"/>
                <w:sz w:val="18"/>
                <w:szCs w:val="18"/>
              </w:rPr>
              <w:t xml:space="preserve">                      省级财政</w:t>
            </w:r>
          </w:p>
        </w:tc>
        <w:tc>
          <w:tcPr>
            <w:tcW w:w="1615" w:type="dxa"/>
            <w:gridSpan w:val="3"/>
            <w:vAlign w:val="center"/>
          </w:tcPr>
          <w:p w14:paraId="30109404">
            <w:pPr>
              <w:spacing w:line="300" w:lineRule="exact"/>
              <w:jc w:val="center"/>
              <w:rPr>
                <w:rFonts w:ascii="宋体" w:hAnsi="宋体"/>
                <w:sz w:val="18"/>
                <w:szCs w:val="18"/>
              </w:rPr>
            </w:pPr>
            <w:r>
              <w:rPr>
                <w:rFonts w:hint="eastAsia" w:ascii="宋体" w:hAnsi="宋体"/>
                <w:sz w:val="18"/>
                <w:szCs w:val="18"/>
              </w:rPr>
              <w:t xml:space="preserve">   </w:t>
            </w:r>
          </w:p>
        </w:tc>
        <w:tc>
          <w:tcPr>
            <w:tcW w:w="1522" w:type="dxa"/>
            <w:gridSpan w:val="2"/>
            <w:vAlign w:val="center"/>
          </w:tcPr>
          <w:p w14:paraId="4C58695A">
            <w:pPr>
              <w:spacing w:line="300" w:lineRule="exact"/>
              <w:jc w:val="center"/>
              <w:rPr>
                <w:rFonts w:ascii="宋体" w:hAnsi="宋体"/>
                <w:sz w:val="18"/>
                <w:szCs w:val="18"/>
              </w:rPr>
            </w:pPr>
          </w:p>
        </w:tc>
        <w:tc>
          <w:tcPr>
            <w:tcW w:w="1335" w:type="dxa"/>
            <w:vAlign w:val="center"/>
          </w:tcPr>
          <w:p w14:paraId="32747918">
            <w:pPr>
              <w:spacing w:line="300" w:lineRule="exact"/>
              <w:jc w:val="center"/>
              <w:rPr>
                <w:rFonts w:ascii="宋体" w:hAnsi="宋体"/>
                <w:sz w:val="18"/>
                <w:szCs w:val="18"/>
              </w:rPr>
            </w:pPr>
          </w:p>
        </w:tc>
        <w:tc>
          <w:tcPr>
            <w:tcW w:w="784" w:type="dxa"/>
            <w:vAlign w:val="center"/>
          </w:tcPr>
          <w:p w14:paraId="267791E3">
            <w:pPr>
              <w:spacing w:line="300" w:lineRule="exact"/>
              <w:jc w:val="center"/>
              <w:rPr>
                <w:rFonts w:ascii="宋体" w:hAnsi="宋体"/>
                <w:sz w:val="18"/>
                <w:szCs w:val="18"/>
              </w:rPr>
            </w:pPr>
          </w:p>
        </w:tc>
      </w:tr>
      <w:tr w14:paraId="78954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3759" w:type="dxa"/>
            <w:gridSpan w:val="5"/>
            <w:vAlign w:val="center"/>
          </w:tcPr>
          <w:p w14:paraId="0C077ED1">
            <w:pPr>
              <w:spacing w:line="300" w:lineRule="exact"/>
              <w:jc w:val="center"/>
              <w:rPr>
                <w:rFonts w:ascii="宋体" w:hAnsi="宋体"/>
                <w:sz w:val="18"/>
                <w:szCs w:val="18"/>
              </w:rPr>
            </w:pPr>
            <w:r>
              <w:rPr>
                <w:rFonts w:hint="eastAsia" w:ascii="宋体" w:hAnsi="宋体"/>
                <w:sz w:val="18"/>
                <w:szCs w:val="18"/>
              </w:rPr>
              <w:t xml:space="preserve">                      市级财政</w:t>
            </w:r>
          </w:p>
        </w:tc>
        <w:tc>
          <w:tcPr>
            <w:tcW w:w="1615" w:type="dxa"/>
            <w:gridSpan w:val="3"/>
            <w:vAlign w:val="center"/>
          </w:tcPr>
          <w:p w14:paraId="40D41D6C">
            <w:pPr>
              <w:spacing w:line="300" w:lineRule="exact"/>
              <w:jc w:val="center"/>
              <w:rPr>
                <w:rFonts w:ascii="宋体" w:hAnsi="宋体"/>
                <w:sz w:val="18"/>
                <w:szCs w:val="18"/>
              </w:rPr>
            </w:pPr>
            <w:r>
              <w:rPr>
                <w:rFonts w:hint="eastAsia" w:ascii="宋体" w:hAnsi="宋体"/>
                <w:sz w:val="18"/>
                <w:szCs w:val="18"/>
              </w:rPr>
              <w:t xml:space="preserve">     </w:t>
            </w:r>
          </w:p>
        </w:tc>
        <w:tc>
          <w:tcPr>
            <w:tcW w:w="1522" w:type="dxa"/>
            <w:gridSpan w:val="2"/>
            <w:vAlign w:val="center"/>
          </w:tcPr>
          <w:p w14:paraId="31A30317">
            <w:pPr>
              <w:spacing w:line="300" w:lineRule="exact"/>
              <w:jc w:val="center"/>
              <w:rPr>
                <w:rFonts w:ascii="宋体" w:hAnsi="宋体"/>
                <w:sz w:val="18"/>
                <w:szCs w:val="18"/>
              </w:rPr>
            </w:pPr>
          </w:p>
        </w:tc>
        <w:tc>
          <w:tcPr>
            <w:tcW w:w="1335" w:type="dxa"/>
            <w:vAlign w:val="center"/>
          </w:tcPr>
          <w:p w14:paraId="4EFA2254">
            <w:pPr>
              <w:spacing w:line="300" w:lineRule="exact"/>
              <w:jc w:val="center"/>
              <w:rPr>
                <w:rFonts w:ascii="宋体" w:hAnsi="宋体"/>
                <w:sz w:val="18"/>
                <w:szCs w:val="18"/>
              </w:rPr>
            </w:pPr>
          </w:p>
        </w:tc>
        <w:tc>
          <w:tcPr>
            <w:tcW w:w="784" w:type="dxa"/>
            <w:vAlign w:val="center"/>
          </w:tcPr>
          <w:p w14:paraId="4A5EF6B4">
            <w:pPr>
              <w:spacing w:line="300" w:lineRule="exact"/>
              <w:jc w:val="center"/>
              <w:rPr>
                <w:rFonts w:ascii="宋体" w:hAnsi="宋体"/>
                <w:sz w:val="18"/>
                <w:szCs w:val="18"/>
              </w:rPr>
            </w:pPr>
          </w:p>
        </w:tc>
      </w:tr>
      <w:tr w14:paraId="6D31C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55" w:hRule="atLeast"/>
          <w:jc w:val="center"/>
        </w:trPr>
        <w:tc>
          <w:tcPr>
            <w:tcW w:w="3759" w:type="dxa"/>
            <w:gridSpan w:val="5"/>
            <w:vAlign w:val="center"/>
          </w:tcPr>
          <w:p w14:paraId="66CF1C20">
            <w:pPr>
              <w:spacing w:line="300" w:lineRule="exact"/>
              <w:jc w:val="center"/>
              <w:rPr>
                <w:rFonts w:ascii="宋体" w:hAnsi="宋体"/>
                <w:sz w:val="18"/>
                <w:szCs w:val="18"/>
              </w:rPr>
            </w:pPr>
            <w:r>
              <w:rPr>
                <w:rFonts w:hint="eastAsia" w:ascii="宋体" w:hAnsi="宋体"/>
                <w:sz w:val="18"/>
                <w:szCs w:val="18"/>
              </w:rPr>
              <w:t xml:space="preserve">                      区级财政</w:t>
            </w:r>
          </w:p>
        </w:tc>
        <w:tc>
          <w:tcPr>
            <w:tcW w:w="1615" w:type="dxa"/>
            <w:gridSpan w:val="3"/>
            <w:vAlign w:val="center"/>
          </w:tcPr>
          <w:p w14:paraId="28336CCB">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b/>
                <w:bCs/>
                <w:sz w:val="18"/>
                <w:szCs w:val="18"/>
                <w:lang w:val="en-US" w:eastAsia="zh-CN"/>
              </w:rPr>
            </w:pPr>
            <w:r>
              <w:rPr>
                <w:rFonts w:hint="eastAsia" w:ascii="宋体" w:hAnsi="宋体"/>
                <w:sz w:val="18"/>
                <w:szCs w:val="18"/>
                <w:lang w:val="en-US" w:eastAsia="zh-CN"/>
              </w:rPr>
              <w:t>1060920</w:t>
            </w:r>
          </w:p>
        </w:tc>
        <w:tc>
          <w:tcPr>
            <w:tcW w:w="1522" w:type="dxa"/>
            <w:gridSpan w:val="2"/>
            <w:vAlign w:val="center"/>
          </w:tcPr>
          <w:p w14:paraId="6692C00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b/>
                <w:bCs/>
                <w:sz w:val="18"/>
                <w:szCs w:val="18"/>
                <w:lang w:val="en-US" w:eastAsia="zh-CN"/>
              </w:rPr>
            </w:pPr>
            <w:r>
              <w:rPr>
                <w:rFonts w:hint="eastAsia" w:ascii="宋体" w:hAnsi="宋体"/>
                <w:sz w:val="18"/>
                <w:szCs w:val="18"/>
                <w:lang w:val="en-US" w:eastAsia="zh-CN"/>
              </w:rPr>
              <w:t>619028.6</w:t>
            </w:r>
          </w:p>
        </w:tc>
        <w:tc>
          <w:tcPr>
            <w:tcW w:w="1335" w:type="dxa"/>
            <w:vAlign w:val="center"/>
          </w:tcPr>
          <w:p w14:paraId="6139D15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b/>
                <w:bCs/>
                <w:sz w:val="18"/>
                <w:szCs w:val="18"/>
                <w:lang w:val="en-US" w:eastAsia="zh-CN"/>
              </w:rPr>
            </w:pPr>
            <w:r>
              <w:rPr>
                <w:rFonts w:hint="eastAsia" w:ascii="宋体" w:hAnsi="宋体"/>
                <w:sz w:val="18"/>
                <w:szCs w:val="18"/>
                <w:lang w:val="en-US" w:eastAsia="zh-CN"/>
              </w:rPr>
              <w:t>124220</w:t>
            </w:r>
          </w:p>
        </w:tc>
        <w:tc>
          <w:tcPr>
            <w:tcW w:w="784" w:type="dxa"/>
            <w:vAlign w:val="center"/>
          </w:tcPr>
          <w:p w14:paraId="5CEAA44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b/>
                <w:bCs/>
                <w:sz w:val="18"/>
                <w:szCs w:val="18"/>
                <w:lang w:val="en-US"/>
              </w:rPr>
            </w:pPr>
            <w:r>
              <w:rPr>
                <w:rFonts w:hint="eastAsia" w:ascii="宋体" w:hAnsi="宋体"/>
                <w:sz w:val="18"/>
                <w:szCs w:val="18"/>
                <w:lang w:val="en-US" w:eastAsia="zh-CN"/>
              </w:rPr>
              <w:t>20.07%</w:t>
            </w:r>
          </w:p>
        </w:tc>
      </w:tr>
      <w:tr w14:paraId="7BD23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1" w:hRule="atLeast"/>
          <w:jc w:val="center"/>
        </w:trPr>
        <w:tc>
          <w:tcPr>
            <w:tcW w:w="3759" w:type="dxa"/>
            <w:gridSpan w:val="5"/>
            <w:vAlign w:val="center"/>
          </w:tcPr>
          <w:p w14:paraId="463CC790">
            <w:pPr>
              <w:spacing w:line="300" w:lineRule="exact"/>
              <w:jc w:val="center"/>
              <w:rPr>
                <w:rFonts w:ascii="宋体" w:hAnsi="宋体"/>
                <w:sz w:val="18"/>
                <w:szCs w:val="18"/>
              </w:rPr>
            </w:pPr>
            <w:r>
              <w:rPr>
                <w:rFonts w:hint="eastAsia" w:ascii="宋体" w:hAnsi="宋体"/>
                <w:sz w:val="18"/>
                <w:szCs w:val="18"/>
              </w:rPr>
              <w:t xml:space="preserve">                  其他</w:t>
            </w:r>
          </w:p>
        </w:tc>
        <w:tc>
          <w:tcPr>
            <w:tcW w:w="1615" w:type="dxa"/>
            <w:gridSpan w:val="3"/>
            <w:vAlign w:val="center"/>
          </w:tcPr>
          <w:p w14:paraId="6961D66A">
            <w:pPr>
              <w:spacing w:line="300" w:lineRule="exact"/>
              <w:jc w:val="center"/>
              <w:rPr>
                <w:rFonts w:ascii="宋体" w:hAnsi="宋体"/>
                <w:sz w:val="18"/>
                <w:szCs w:val="18"/>
              </w:rPr>
            </w:pPr>
          </w:p>
        </w:tc>
        <w:tc>
          <w:tcPr>
            <w:tcW w:w="1522" w:type="dxa"/>
            <w:gridSpan w:val="2"/>
            <w:vAlign w:val="center"/>
          </w:tcPr>
          <w:p w14:paraId="7A495A86">
            <w:pPr>
              <w:spacing w:line="300" w:lineRule="exact"/>
              <w:jc w:val="center"/>
              <w:rPr>
                <w:rFonts w:ascii="宋体" w:hAnsi="宋体"/>
                <w:sz w:val="18"/>
                <w:szCs w:val="18"/>
              </w:rPr>
            </w:pPr>
          </w:p>
        </w:tc>
        <w:tc>
          <w:tcPr>
            <w:tcW w:w="1335" w:type="dxa"/>
            <w:vAlign w:val="center"/>
          </w:tcPr>
          <w:p w14:paraId="11CF9E8E">
            <w:pPr>
              <w:spacing w:line="300" w:lineRule="exact"/>
              <w:jc w:val="center"/>
              <w:rPr>
                <w:rFonts w:ascii="宋体" w:hAnsi="宋体"/>
                <w:sz w:val="18"/>
                <w:szCs w:val="18"/>
              </w:rPr>
            </w:pPr>
          </w:p>
        </w:tc>
        <w:tc>
          <w:tcPr>
            <w:tcW w:w="784" w:type="dxa"/>
            <w:vAlign w:val="center"/>
          </w:tcPr>
          <w:p w14:paraId="2EBE96B0">
            <w:pPr>
              <w:spacing w:line="300" w:lineRule="exact"/>
              <w:jc w:val="center"/>
              <w:rPr>
                <w:rFonts w:ascii="宋体" w:hAnsi="宋体"/>
                <w:sz w:val="18"/>
                <w:szCs w:val="18"/>
              </w:rPr>
            </w:pPr>
          </w:p>
        </w:tc>
      </w:tr>
      <w:tr w14:paraId="49E42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175" w:hRule="atLeast"/>
          <w:jc w:val="center"/>
        </w:trPr>
        <w:tc>
          <w:tcPr>
            <w:tcW w:w="1787" w:type="dxa"/>
            <w:gridSpan w:val="3"/>
            <w:vMerge w:val="restart"/>
            <w:vAlign w:val="center"/>
          </w:tcPr>
          <w:p w14:paraId="2474D2D6">
            <w:pPr>
              <w:spacing w:line="300" w:lineRule="exact"/>
              <w:jc w:val="center"/>
              <w:rPr>
                <w:rFonts w:ascii="宋体" w:hAnsi="宋体"/>
                <w:sz w:val="18"/>
                <w:szCs w:val="18"/>
              </w:rPr>
            </w:pPr>
            <w:r>
              <w:rPr>
                <w:rFonts w:hint="eastAsia" w:ascii="宋体" w:hAnsi="宋体"/>
                <w:sz w:val="18"/>
                <w:szCs w:val="18"/>
              </w:rPr>
              <w:t>年度总体目标</w:t>
            </w:r>
          </w:p>
        </w:tc>
        <w:tc>
          <w:tcPr>
            <w:tcW w:w="3587" w:type="dxa"/>
            <w:gridSpan w:val="5"/>
            <w:vAlign w:val="center"/>
          </w:tcPr>
          <w:p w14:paraId="5F30809A">
            <w:pPr>
              <w:spacing w:line="300" w:lineRule="exact"/>
              <w:jc w:val="center"/>
              <w:rPr>
                <w:rFonts w:ascii="宋体" w:hAnsi="宋体"/>
                <w:sz w:val="18"/>
                <w:szCs w:val="18"/>
              </w:rPr>
            </w:pPr>
            <w:r>
              <w:rPr>
                <w:rFonts w:hint="eastAsia" w:ascii="宋体" w:hAnsi="宋体"/>
                <w:sz w:val="18"/>
                <w:szCs w:val="18"/>
              </w:rPr>
              <w:t>预期目标</w:t>
            </w:r>
          </w:p>
        </w:tc>
        <w:tc>
          <w:tcPr>
            <w:tcW w:w="3641" w:type="dxa"/>
            <w:gridSpan w:val="4"/>
            <w:vAlign w:val="center"/>
          </w:tcPr>
          <w:p w14:paraId="10B1ADC9">
            <w:pPr>
              <w:spacing w:line="300" w:lineRule="exact"/>
              <w:jc w:val="center"/>
              <w:rPr>
                <w:rFonts w:ascii="宋体" w:hAnsi="宋体"/>
                <w:sz w:val="18"/>
                <w:szCs w:val="18"/>
              </w:rPr>
            </w:pPr>
            <w:r>
              <w:rPr>
                <w:rFonts w:hint="eastAsia" w:ascii="宋体" w:hAnsi="宋体"/>
                <w:sz w:val="18"/>
                <w:szCs w:val="18"/>
              </w:rPr>
              <w:t>实际完成情况</w:t>
            </w:r>
          </w:p>
        </w:tc>
      </w:tr>
      <w:tr w14:paraId="316B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0" w:hRule="atLeast"/>
          <w:jc w:val="center"/>
        </w:trPr>
        <w:tc>
          <w:tcPr>
            <w:tcW w:w="1787" w:type="dxa"/>
            <w:gridSpan w:val="3"/>
            <w:vMerge w:val="continue"/>
            <w:vAlign w:val="center"/>
          </w:tcPr>
          <w:p w14:paraId="63E9E118">
            <w:pPr>
              <w:spacing w:line="300" w:lineRule="exact"/>
              <w:jc w:val="center"/>
              <w:rPr>
                <w:rFonts w:ascii="宋体" w:hAnsi="宋体"/>
                <w:sz w:val="18"/>
                <w:szCs w:val="18"/>
              </w:rPr>
            </w:pPr>
          </w:p>
        </w:tc>
        <w:tc>
          <w:tcPr>
            <w:tcW w:w="3587" w:type="dxa"/>
            <w:gridSpan w:val="5"/>
            <w:vAlign w:val="center"/>
          </w:tcPr>
          <w:p w14:paraId="027EFBBE">
            <w:pPr>
              <w:pStyle w:val="8"/>
              <w:ind w:firstLine="0" w:firstLineChars="0"/>
              <w:rPr>
                <w:rFonts w:ascii="宋体" w:hAnsi="宋体"/>
                <w:sz w:val="18"/>
                <w:szCs w:val="18"/>
              </w:rPr>
            </w:pPr>
            <w:r>
              <w:rPr>
                <w:rFonts w:hint="eastAsia" w:ascii="宋体" w:hAnsi="宋体"/>
                <w:sz w:val="18"/>
                <w:szCs w:val="18"/>
                <w:lang w:eastAsia="zh-CN"/>
              </w:rPr>
              <w:t>政协参政议政经费</w:t>
            </w:r>
          </w:p>
        </w:tc>
        <w:tc>
          <w:tcPr>
            <w:tcW w:w="3641" w:type="dxa"/>
            <w:gridSpan w:val="4"/>
            <w:vAlign w:val="center"/>
          </w:tcPr>
          <w:p w14:paraId="1D0A1D3F">
            <w:pPr>
              <w:spacing w:line="300" w:lineRule="exact"/>
              <w:jc w:val="center"/>
              <w:rPr>
                <w:rFonts w:ascii="宋体" w:hAnsi="宋体"/>
                <w:sz w:val="18"/>
                <w:szCs w:val="18"/>
              </w:rPr>
            </w:pPr>
            <w:r>
              <w:rPr>
                <w:rFonts w:hint="eastAsia" w:ascii="宋体" w:hAnsi="宋体"/>
                <w:sz w:val="18"/>
                <w:szCs w:val="18"/>
              </w:rPr>
              <w:t>项目已完成，</w:t>
            </w:r>
            <w:r>
              <w:rPr>
                <w:rFonts w:hint="eastAsia" w:ascii="宋体" w:hAnsi="宋体"/>
                <w:sz w:val="18"/>
                <w:szCs w:val="18"/>
                <w:lang w:eastAsia="zh-CN"/>
              </w:rPr>
              <w:t>政协参政议政经费财政</w:t>
            </w:r>
            <w:r>
              <w:rPr>
                <w:rFonts w:hint="eastAsia" w:ascii="宋体" w:hAnsi="宋体"/>
                <w:sz w:val="18"/>
                <w:szCs w:val="18"/>
              </w:rPr>
              <w:t>已回收</w:t>
            </w:r>
          </w:p>
        </w:tc>
      </w:tr>
      <w:tr w14:paraId="3509E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9015" w:type="dxa"/>
            <w:gridSpan w:val="12"/>
            <w:vAlign w:val="center"/>
          </w:tcPr>
          <w:p w14:paraId="2A5B5AD0">
            <w:pPr>
              <w:spacing w:line="300" w:lineRule="exact"/>
              <w:rPr>
                <w:rFonts w:ascii="宋体" w:hAnsi="宋体"/>
                <w:sz w:val="18"/>
                <w:szCs w:val="18"/>
              </w:rPr>
            </w:pPr>
            <w:r>
              <w:rPr>
                <w:rFonts w:hint="eastAsia" w:ascii="宋体" w:hAnsi="宋体"/>
                <w:b/>
                <w:bCs/>
                <w:sz w:val="18"/>
                <w:szCs w:val="18"/>
              </w:rPr>
              <w:t>二、</w:t>
            </w:r>
            <w:r>
              <w:rPr>
                <w:rFonts w:hint="eastAsia" w:ascii="宋体" w:hAnsi="宋体"/>
                <w:b/>
                <w:color w:val="000000"/>
                <w:sz w:val="18"/>
                <w:szCs w:val="18"/>
              </w:rPr>
              <w:t>绩效评价指标评分（参考）</w:t>
            </w:r>
          </w:p>
        </w:tc>
      </w:tr>
      <w:tr w14:paraId="69C19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tcBorders>
              <w:top w:val="single" w:color="000000" w:sz="4" w:space="0"/>
              <w:left w:val="single" w:color="000000" w:sz="4" w:space="0"/>
              <w:right w:val="single" w:color="000000" w:sz="4" w:space="0"/>
            </w:tcBorders>
            <w:vAlign w:val="center"/>
          </w:tcPr>
          <w:p w14:paraId="79F6FBA8">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一级指标</w:t>
            </w:r>
          </w:p>
        </w:tc>
        <w:tc>
          <w:tcPr>
            <w:tcW w:w="749" w:type="dxa"/>
            <w:gridSpan w:val="3"/>
            <w:tcBorders>
              <w:top w:val="single" w:color="000000" w:sz="4" w:space="0"/>
              <w:left w:val="single" w:color="000000" w:sz="4" w:space="0"/>
              <w:right w:val="single" w:color="000000" w:sz="4" w:space="0"/>
            </w:tcBorders>
            <w:vAlign w:val="center"/>
          </w:tcPr>
          <w:p w14:paraId="74309845">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分值</w:t>
            </w:r>
          </w:p>
        </w:tc>
        <w:tc>
          <w:tcPr>
            <w:tcW w:w="1597" w:type="dxa"/>
            <w:tcBorders>
              <w:top w:val="single" w:color="000000" w:sz="4" w:space="0"/>
              <w:left w:val="single" w:color="000000" w:sz="4" w:space="0"/>
              <w:bottom w:val="single" w:color="000000" w:sz="4" w:space="0"/>
              <w:right w:val="single" w:color="000000" w:sz="4" w:space="0"/>
            </w:tcBorders>
            <w:vAlign w:val="center"/>
          </w:tcPr>
          <w:p w14:paraId="00EDDB35">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二级指标</w:t>
            </w:r>
          </w:p>
        </w:tc>
        <w:tc>
          <w:tcPr>
            <w:tcW w:w="623" w:type="dxa"/>
            <w:tcBorders>
              <w:top w:val="single" w:color="000000" w:sz="4" w:space="0"/>
              <w:left w:val="single" w:color="000000" w:sz="4" w:space="0"/>
              <w:bottom w:val="single" w:color="000000" w:sz="4" w:space="0"/>
              <w:right w:val="single" w:color="000000" w:sz="4" w:space="0"/>
            </w:tcBorders>
            <w:vAlign w:val="center"/>
          </w:tcPr>
          <w:p w14:paraId="77F3E12B">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分值</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1CC46913">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三级指标</w:t>
            </w:r>
          </w:p>
        </w:tc>
        <w:tc>
          <w:tcPr>
            <w:tcW w:w="1335" w:type="dxa"/>
            <w:tcBorders>
              <w:top w:val="single" w:color="000000" w:sz="4" w:space="0"/>
              <w:left w:val="single" w:color="000000" w:sz="4" w:space="0"/>
              <w:bottom w:val="single" w:color="000000" w:sz="4" w:space="0"/>
              <w:right w:val="single" w:color="000000" w:sz="4" w:space="0"/>
            </w:tcBorders>
            <w:vAlign w:val="center"/>
          </w:tcPr>
          <w:p w14:paraId="025B1BD5">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分值</w:t>
            </w:r>
          </w:p>
        </w:tc>
        <w:tc>
          <w:tcPr>
            <w:tcW w:w="784" w:type="dxa"/>
            <w:tcBorders>
              <w:top w:val="single" w:color="000000" w:sz="4" w:space="0"/>
              <w:left w:val="single" w:color="000000" w:sz="4" w:space="0"/>
              <w:bottom w:val="single" w:color="000000" w:sz="4" w:space="0"/>
              <w:right w:val="single" w:color="000000" w:sz="4" w:space="0"/>
            </w:tcBorders>
            <w:vAlign w:val="center"/>
          </w:tcPr>
          <w:p w14:paraId="5AAE094B">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得分</w:t>
            </w:r>
          </w:p>
        </w:tc>
      </w:tr>
      <w:tr w14:paraId="29B8C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restart"/>
            <w:tcBorders>
              <w:top w:val="single" w:color="000000" w:sz="4" w:space="0"/>
              <w:left w:val="single" w:color="000000" w:sz="4" w:space="0"/>
              <w:bottom w:val="single" w:color="000000" w:sz="4" w:space="0"/>
              <w:right w:val="single" w:color="000000" w:sz="4" w:space="0"/>
            </w:tcBorders>
            <w:vAlign w:val="center"/>
          </w:tcPr>
          <w:p w14:paraId="344DE3CD">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决策</w:t>
            </w:r>
          </w:p>
        </w:tc>
        <w:tc>
          <w:tcPr>
            <w:tcW w:w="749" w:type="dxa"/>
            <w:gridSpan w:val="3"/>
            <w:vMerge w:val="restart"/>
            <w:tcBorders>
              <w:top w:val="single" w:color="000000" w:sz="4" w:space="0"/>
              <w:left w:val="single" w:color="000000" w:sz="4" w:space="0"/>
              <w:right w:val="single" w:color="000000" w:sz="4" w:space="0"/>
            </w:tcBorders>
            <w:vAlign w:val="center"/>
          </w:tcPr>
          <w:p w14:paraId="36E2DDBA">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40</w:t>
            </w:r>
          </w:p>
        </w:tc>
        <w:tc>
          <w:tcPr>
            <w:tcW w:w="1597" w:type="dxa"/>
            <w:vMerge w:val="restart"/>
            <w:tcBorders>
              <w:top w:val="single" w:color="000000" w:sz="4" w:space="0"/>
              <w:left w:val="single" w:color="000000" w:sz="4" w:space="0"/>
              <w:right w:val="single" w:color="000000" w:sz="4" w:space="0"/>
            </w:tcBorders>
            <w:vAlign w:val="center"/>
          </w:tcPr>
          <w:p w14:paraId="76C983DF">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项目立项</w:t>
            </w:r>
          </w:p>
        </w:tc>
        <w:tc>
          <w:tcPr>
            <w:tcW w:w="623" w:type="dxa"/>
            <w:vMerge w:val="restart"/>
            <w:tcBorders>
              <w:top w:val="single" w:color="000000" w:sz="4" w:space="0"/>
              <w:left w:val="single" w:color="000000" w:sz="4" w:space="0"/>
              <w:right w:val="single" w:color="000000" w:sz="4" w:space="0"/>
            </w:tcBorders>
            <w:vAlign w:val="center"/>
          </w:tcPr>
          <w:p w14:paraId="601247C9">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7</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2CA42790">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立项依据充分性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678B5111">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c>
          <w:tcPr>
            <w:tcW w:w="784" w:type="dxa"/>
            <w:tcBorders>
              <w:top w:val="single" w:color="000000" w:sz="4" w:space="0"/>
              <w:left w:val="single" w:color="000000" w:sz="4" w:space="0"/>
              <w:bottom w:val="single" w:color="000000" w:sz="4" w:space="0"/>
              <w:right w:val="single" w:color="000000" w:sz="4" w:space="0"/>
            </w:tcBorders>
            <w:vAlign w:val="center"/>
          </w:tcPr>
          <w:p w14:paraId="37FD3E27">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r>
      <w:tr w14:paraId="44DB3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4AE4B667">
            <w:pPr>
              <w:autoSpaceDN w:val="0"/>
              <w:spacing w:line="300" w:lineRule="exact"/>
              <w:jc w:val="center"/>
              <w:textAlignment w:val="center"/>
              <w:rPr>
                <w:rFonts w:ascii="宋体" w:hAnsi="宋体"/>
                <w:color w:val="000000"/>
                <w:sz w:val="18"/>
                <w:szCs w:val="18"/>
              </w:rPr>
            </w:pPr>
          </w:p>
        </w:tc>
        <w:tc>
          <w:tcPr>
            <w:tcW w:w="749" w:type="dxa"/>
            <w:gridSpan w:val="3"/>
            <w:vMerge w:val="continue"/>
            <w:tcBorders>
              <w:left w:val="single" w:color="000000" w:sz="4" w:space="0"/>
              <w:right w:val="single" w:color="000000" w:sz="4" w:space="0"/>
            </w:tcBorders>
            <w:vAlign w:val="center"/>
          </w:tcPr>
          <w:p w14:paraId="40848B24">
            <w:pPr>
              <w:autoSpaceDN w:val="0"/>
              <w:spacing w:line="300" w:lineRule="exact"/>
              <w:jc w:val="center"/>
              <w:textAlignment w:val="center"/>
              <w:rPr>
                <w:rFonts w:ascii="宋体" w:hAnsi="宋体"/>
                <w:color w:val="000000"/>
                <w:sz w:val="18"/>
                <w:szCs w:val="18"/>
              </w:rPr>
            </w:pPr>
          </w:p>
        </w:tc>
        <w:tc>
          <w:tcPr>
            <w:tcW w:w="1597" w:type="dxa"/>
            <w:vMerge w:val="continue"/>
            <w:tcBorders>
              <w:left w:val="single" w:color="000000" w:sz="4" w:space="0"/>
              <w:bottom w:val="single" w:color="000000" w:sz="4" w:space="0"/>
              <w:right w:val="single" w:color="000000" w:sz="4" w:space="0"/>
            </w:tcBorders>
            <w:vAlign w:val="center"/>
          </w:tcPr>
          <w:p w14:paraId="5DB481F8">
            <w:pPr>
              <w:autoSpaceDN w:val="0"/>
              <w:spacing w:line="300" w:lineRule="exact"/>
              <w:jc w:val="center"/>
              <w:textAlignment w:val="center"/>
              <w:rPr>
                <w:rFonts w:ascii="宋体" w:hAnsi="宋体"/>
                <w:color w:val="000000"/>
                <w:sz w:val="18"/>
                <w:szCs w:val="18"/>
              </w:rPr>
            </w:pPr>
          </w:p>
        </w:tc>
        <w:tc>
          <w:tcPr>
            <w:tcW w:w="623" w:type="dxa"/>
            <w:vMerge w:val="continue"/>
            <w:tcBorders>
              <w:left w:val="single" w:color="000000" w:sz="4" w:space="0"/>
              <w:bottom w:val="single" w:color="000000" w:sz="4" w:space="0"/>
              <w:right w:val="single" w:color="000000" w:sz="4" w:space="0"/>
            </w:tcBorders>
            <w:vAlign w:val="center"/>
          </w:tcPr>
          <w:p w14:paraId="0DEFCB5A">
            <w:pPr>
              <w:autoSpaceDN w:val="0"/>
              <w:spacing w:line="300" w:lineRule="exact"/>
              <w:jc w:val="center"/>
              <w:textAlignment w:val="center"/>
              <w:rPr>
                <w:rFonts w:ascii="宋体" w:hAnsi="宋体"/>
                <w:color w:val="000000"/>
                <w:sz w:val="18"/>
                <w:szCs w:val="18"/>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17380F1A">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立项程序规范性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14AA3184">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c>
          <w:tcPr>
            <w:tcW w:w="784" w:type="dxa"/>
            <w:tcBorders>
              <w:top w:val="single" w:color="000000" w:sz="4" w:space="0"/>
              <w:left w:val="single" w:color="000000" w:sz="4" w:space="0"/>
              <w:bottom w:val="single" w:color="000000" w:sz="4" w:space="0"/>
              <w:right w:val="single" w:color="000000" w:sz="4" w:space="0"/>
            </w:tcBorders>
            <w:vAlign w:val="center"/>
          </w:tcPr>
          <w:p w14:paraId="431FE520">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r>
      <w:tr w14:paraId="633F4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2064A63E">
            <w:pPr>
              <w:autoSpaceDN w:val="0"/>
              <w:spacing w:line="300" w:lineRule="exact"/>
              <w:jc w:val="center"/>
              <w:textAlignment w:val="center"/>
              <w:rPr>
                <w:rFonts w:ascii="宋体" w:hAnsi="宋体"/>
                <w:color w:val="000000"/>
                <w:sz w:val="18"/>
                <w:szCs w:val="18"/>
              </w:rPr>
            </w:pPr>
          </w:p>
        </w:tc>
        <w:tc>
          <w:tcPr>
            <w:tcW w:w="749" w:type="dxa"/>
            <w:gridSpan w:val="3"/>
            <w:vMerge w:val="continue"/>
            <w:tcBorders>
              <w:left w:val="single" w:color="000000" w:sz="4" w:space="0"/>
              <w:right w:val="single" w:color="000000" w:sz="4" w:space="0"/>
            </w:tcBorders>
            <w:vAlign w:val="center"/>
          </w:tcPr>
          <w:p w14:paraId="5E9D7B2F">
            <w:pPr>
              <w:autoSpaceDN w:val="0"/>
              <w:spacing w:line="300" w:lineRule="exact"/>
              <w:jc w:val="center"/>
              <w:textAlignment w:val="center"/>
              <w:rPr>
                <w:rFonts w:ascii="宋体" w:hAnsi="宋体"/>
                <w:color w:val="000000"/>
                <w:sz w:val="18"/>
                <w:szCs w:val="18"/>
              </w:rPr>
            </w:pPr>
          </w:p>
        </w:tc>
        <w:tc>
          <w:tcPr>
            <w:tcW w:w="1597" w:type="dxa"/>
            <w:vMerge w:val="restart"/>
            <w:tcBorders>
              <w:left w:val="single" w:color="000000" w:sz="4" w:space="0"/>
              <w:right w:val="single" w:color="000000" w:sz="4" w:space="0"/>
            </w:tcBorders>
            <w:vAlign w:val="center"/>
          </w:tcPr>
          <w:p w14:paraId="730E3CE2">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绩效目标</w:t>
            </w:r>
          </w:p>
        </w:tc>
        <w:tc>
          <w:tcPr>
            <w:tcW w:w="623" w:type="dxa"/>
            <w:vMerge w:val="restart"/>
            <w:tcBorders>
              <w:left w:val="single" w:color="000000" w:sz="4" w:space="0"/>
              <w:right w:val="single" w:color="000000" w:sz="4" w:space="0"/>
            </w:tcBorders>
            <w:vAlign w:val="center"/>
          </w:tcPr>
          <w:p w14:paraId="629C52C6">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7</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092CF224">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绩效目标合理性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611287E2">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c>
          <w:tcPr>
            <w:tcW w:w="784" w:type="dxa"/>
            <w:tcBorders>
              <w:top w:val="single" w:color="000000" w:sz="4" w:space="0"/>
              <w:left w:val="single" w:color="000000" w:sz="4" w:space="0"/>
              <w:bottom w:val="single" w:color="000000" w:sz="4" w:space="0"/>
              <w:right w:val="single" w:color="000000" w:sz="4" w:space="0"/>
            </w:tcBorders>
            <w:vAlign w:val="center"/>
          </w:tcPr>
          <w:p w14:paraId="2C03CFFE">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r>
      <w:tr w14:paraId="2DB00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73B7F7AD">
            <w:pPr>
              <w:autoSpaceDN w:val="0"/>
              <w:spacing w:line="300" w:lineRule="exact"/>
              <w:jc w:val="center"/>
              <w:textAlignment w:val="center"/>
              <w:rPr>
                <w:rFonts w:ascii="宋体" w:hAnsi="宋体"/>
                <w:color w:val="000000"/>
                <w:sz w:val="18"/>
                <w:szCs w:val="18"/>
              </w:rPr>
            </w:pPr>
          </w:p>
        </w:tc>
        <w:tc>
          <w:tcPr>
            <w:tcW w:w="749" w:type="dxa"/>
            <w:gridSpan w:val="3"/>
            <w:vMerge w:val="continue"/>
            <w:tcBorders>
              <w:left w:val="single" w:color="000000" w:sz="4" w:space="0"/>
              <w:right w:val="single" w:color="000000" w:sz="4" w:space="0"/>
            </w:tcBorders>
            <w:vAlign w:val="center"/>
          </w:tcPr>
          <w:p w14:paraId="5E63050A">
            <w:pPr>
              <w:autoSpaceDN w:val="0"/>
              <w:spacing w:line="300" w:lineRule="exact"/>
              <w:jc w:val="center"/>
              <w:textAlignment w:val="center"/>
              <w:rPr>
                <w:rFonts w:ascii="宋体" w:hAnsi="宋体"/>
                <w:color w:val="000000"/>
                <w:sz w:val="18"/>
                <w:szCs w:val="18"/>
              </w:rPr>
            </w:pPr>
          </w:p>
        </w:tc>
        <w:tc>
          <w:tcPr>
            <w:tcW w:w="1597" w:type="dxa"/>
            <w:vMerge w:val="continue"/>
            <w:tcBorders>
              <w:left w:val="single" w:color="000000" w:sz="4" w:space="0"/>
              <w:bottom w:val="single" w:color="000000" w:sz="4" w:space="0"/>
              <w:right w:val="single" w:color="000000" w:sz="4" w:space="0"/>
            </w:tcBorders>
            <w:vAlign w:val="center"/>
          </w:tcPr>
          <w:p w14:paraId="67EBFD43">
            <w:pPr>
              <w:autoSpaceDN w:val="0"/>
              <w:spacing w:line="300" w:lineRule="exact"/>
              <w:jc w:val="center"/>
              <w:textAlignment w:val="center"/>
              <w:rPr>
                <w:rFonts w:ascii="宋体" w:hAnsi="宋体"/>
                <w:color w:val="000000"/>
                <w:sz w:val="18"/>
                <w:szCs w:val="18"/>
              </w:rPr>
            </w:pPr>
          </w:p>
        </w:tc>
        <w:tc>
          <w:tcPr>
            <w:tcW w:w="623" w:type="dxa"/>
            <w:vMerge w:val="continue"/>
            <w:tcBorders>
              <w:left w:val="single" w:color="000000" w:sz="4" w:space="0"/>
              <w:bottom w:val="single" w:color="000000" w:sz="4" w:space="0"/>
              <w:right w:val="single" w:color="000000" w:sz="4" w:space="0"/>
            </w:tcBorders>
            <w:vAlign w:val="center"/>
          </w:tcPr>
          <w:p w14:paraId="1B2FDA58">
            <w:pPr>
              <w:autoSpaceDN w:val="0"/>
              <w:spacing w:line="300" w:lineRule="exact"/>
              <w:jc w:val="center"/>
              <w:textAlignment w:val="center"/>
              <w:rPr>
                <w:rFonts w:ascii="宋体" w:hAnsi="宋体"/>
                <w:color w:val="000000"/>
                <w:sz w:val="18"/>
                <w:szCs w:val="18"/>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574D7375">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绩效指标明确性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7C552B5D">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c>
          <w:tcPr>
            <w:tcW w:w="784" w:type="dxa"/>
            <w:tcBorders>
              <w:top w:val="single" w:color="000000" w:sz="4" w:space="0"/>
              <w:left w:val="single" w:color="000000" w:sz="4" w:space="0"/>
              <w:bottom w:val="single" w:color="000000" w:sz="4" w:space="0"/>
              <w:right w:val="single" w:color="000000" w:sz="4" w:space="0"/>
            </w:tcBorders>
            <w:vAlign w:val="center"/>
          </w:tcPr>
          <w:p w14:paraId="45E12EFD">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r>
      <w:tr w14:paraId="064C9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01F34C11">
            <w:pPr>
              <w:spacing w:line="300" w:lineRule="exact"/>
              <w:jc w:val="center"/>
              <w:rPr>
                <w:rFonts w:ascii="宋体" w:hAnsi="宋体"/>
                <w:sz w:val="18"/>
                <w:szCs w:val="18"/>
              </w:rPr>
            </w:pPr>
          </w:p>
        </w:tc>
        <w:tc>
          <w:tcPr>
            <w:tcW w:w="749" w:type="dxa"/>
            <w:gridSpan w:val="3"/>
            <w:vMerge w:val="continue"/>
            <w:tcBorders>
              <w:left w:val="single" w:color="000000" w:sz="4" w:space="0"/>
              <w:right w:val="single" w:color="000000" w:sz="4" w:space="0"/>
            </w:tcBorders>
            <w:vAlign w:val="center"/>
          </w:tcPr>
          <w:p w14:paraId="00BB2B06">
            <w:pPr>
              <w:spacing w:line="300" w:lineRule="exact"/>
              <w:jc w:val="center"/>
              <w:rPr>
                <w:rFonts w:ascii="宋体" w:hAnsi="宋体"/>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vAlign w:val="center"/>
          </w:tcPr>
          <w:p w14:paraId="73662352">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资金投入</w:t>
            </w:r>
          </w:p>
        </w:tc>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1BD7A9BC">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7</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373930A5">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预算编制科学性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583D954D">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c>
          <w:tcPr>
            <w:tcW w:w="784" w:type="dxa"/>
            <w:tcBorders>
              <w:top w:val="single" w:color="000000" w:sz="4" w:space="0"/>
              <w:left w:val="single" w:color="000000" w:sz="4" w:space="0"/>
              <w:bottom w:val="single" w:color="000000" w:sz="4" w:space="0"/>
              <w:right w:val="single" w:color="000000" w:sz="4" w:space="0"/>
            </w:tcBorders>
            <w:vAlign w:val="center"/>
          </w:tcPr>
          <w:p w14:paraId="0983FE18">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r>
      <w:tr w14:paraId="60B16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0DA3F407">
            <w:pPr>
              <w:spacing w:line="300" w:lineRule="exact"/>
              <w:jc w:val="center"/>
              <w:rPr>
                <w:rFonts w:ascii="宋体" w:hAnsi="宋体"/>
                <w:sz w:val="18"/>
                <w:szCs w:val="18"/>
              </w:rPr>
            </w:pPr>
          </w:p>
        </w:tc>
        <w:tc>
          <w:tcPr>
            <w:tcW w:w="749" w:type="dxa"/>
            <w:gridSpan w:val="3"/>
            <w:vMerge w:val="continue"/>
            <w:tcBorders>
              <w:left w:val="single" w:color="000000" w:sz="4" w:space="0"/>
              <w:right w:val="single" w:color="000000" w:sz="4" w:space="0"/>
            </w:tcBorders>
            <w:vAlign w:val="center"/>
          </w:tcPr>
          <w:p w14:paraId="10CB3A10">
            <w:pPr>
              <w:spacing w:line="300" w:lineRule="exact"/>
              <w:jc w:val="center"/>
              <w:rPr>
                <w:rFonts w:ascii="宋体" w:hAnsi="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6CD5506B">
            <w:pPr>
              <w:autoSpaceDN w:val="0"/>
              <w:spacing w:line="300" w:lineRule="exact"/>
              <w:jc w:val="center"/>
              <w:textAlignment w:val="center"/>
              <w:rPr>
                <w:rFonts w:ascii="宋体" w:hAnsi="宋体"/>
                <w:color w:val="000000"/>
                <w:sz w:val="18"/>
                <w:szCs w:val="18"/>
              </w:rPr>
            </w:pPr>
          </w:p>
        </w:tc>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6DE5FF99">
            <w:pPr>
              <w:autoSpaceDN w:val="0"/>
              <w:spacing w:line="300" w:lineRule="exact"/>
              <w:jc w:val="center"/>
              <w:textAlignment w:val="center"/>
              <w:rPr>
                <w:rFonts w:ascii="宋体" w:hAnsi="宋体"/>
                <w:color w:val="000000"/>
                <w:sz w:val="18"/>
                <w:szCs w:val="18"/>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27E2E544">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资金分配合理性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2389CE4E">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c>
          <w:tcPr>
            <w:tcW w:w="784" w:type="dxa"/>
            <w:tcBorders>
              <w:top w:val="single" w:color="000000" w:sz="4" w:space="0"/>
              <w:left w:val="single" w:color="000000" w:sz="4" w:space="0"/>
              <w:bottom w:val="single" w:color="000000" w:sz="4" w:space="0"/>
              <w:right w:val="single" w:color="000000" w:sz="4" w:space="0"/>
            </w:tcBorders>
            <w:vAlign w:val="center"/>
          </w:tcPr>
          <w:p w14:paraId="4DE4D9E6">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r>
      <w:tr w14:paraId="4D3EE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restart"/>
            <w:tcBorders>
              <w:top w:val="single" w:color="000000" w:sz="4" w:space="0"/>
              <w:left w:val="single" w:color="000000" w:sz="4" w:space="0"/>
              <w:bottom w:val="single" w:color="000000" w:sz="4" w:space="0"/>
              <w:right w:val="single" w:color="000000" w:sz="4" w:space="0"/>
            </w:tcBorders>
            <w:vAlign w:val="center"/>
          </w:tcPr>
          <w:p w14:paraId="0BA3CCC6">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过程</w:t>
            </w:r>
          </w:p>
        </w:tc>
        <w:tc>
          <w:tcPr>
            <w:tcW w:w="749" w:type="dxa"/>
            <w:gridSpan w:val="3"/>
            <w:vMerge w:val="continue"/>
            <w:tcBorders>
              <w:left w:val="single" w:color="000000" w:sz="4" w:space="0"/>
              <w:right w:val="single" w:color="000000" w:sz="4" w:space="0"/>
            </w:tcBorders>
            <w:vAlign w:val="center"/>
          </w:tcPr>
          <w:p w14:paraId="36D5158D">
            <w:pPr>
              <w:autoSpaceDN w:val="0"/>
              <w:spacing w:line="300" w:lineRule="exact"/>
              <w:jc w:val="center"/>
              <w:textAlignment w:val="center"/>
              <w:rPr>
                <w:rFonts w:ascii="宋体" w:hAnsi="宋体"/>
                <w:color w:val="000000"/>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vAlign w:val="center"/>
          </w:tcPr>
          <w:p w14:paraId="29EA67A7">
            <w:pPr>
              <w:spacing w:line="0" w:lineRule="atLeast"/>
              <w:jc w:val="center"/>
              <w:rPr>
                <w:rFonts w:ascii="宋体" w:hAnsi="宋体"/>
                <w:color w:val="000000"/>
                <w:sz w:val="18"/>
                <w:szCs w:val="18"/>
              </w:rPr>
            </w:pPr>
            <w:r>
              <w:rPr>
                <w:rFonts w:hint="eastAsia" w:ascii="宋体" w:hAnsi="宋体"/>
                <w:color w:val="000000"/>
                <w:sz w:val="18"/>
                <w:szCs w:val="18"/>
              </w:rPr>
              <w:t>资金管理</w:t>
            </w:r>
          </w:p>
        </w:tc>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685F7BA7">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6</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687DFBF4">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资金到位率</w:t>
            </w:r>
          </w:p>
        </w:tc>
        <w:tc>
          <w:tcPr>
            <w:tcW w:w="1335" w:type="dxa"/>
            <w:tcBorders>
              <w:top w:val="single" w:color="000000" w:sz="4" w:space="0"/>
              <w:left w:val="single" w:color="000000" w:sz="4" w:space="0"/>
              <w:bottom w:val="single" w:color="000000" w:sz="4" w:space="0"/>
              <w:right w:val="single" w:color="000000" w:sz="4" w:space="0"/>
            </w:tcBorders>
            <w:vAlign w:val="center"/>
          </w:tcPr>
          <w:p w14:paraId="18D3177D">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c>
          <w:tcPr>
            <w:tcW w:w="784" w:type="dxa"/>
            <w:tcBorders>
              <w:top w:val="single" w:color="000000" w:sz="4" w:space="0"/>
              <w:left w:val="single" w:color="000000" w:sz="4" w:space="0"/>
              <w:bottom w:val="single" w:color="000000" w:sz="4" w:space="0"/>
              <w:right w:val="single" w:color="000000" w:sz="4" w:space="0"/>
            </w:tcBorders>
            <w:vAlign w:val="center"/>
          </w:tcPr>
          <w:p w14:paraId="4B6CAE3D">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r>
      <w:tr w14:paraId="24DC7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76F9A990">
            <w:pPr>
              <w:spacing w:line="300" w:lineRule="exact"/>
              <w:jc w:val="center"/>
              <w:rPr>
                <w:rFonts w:ascii="宋体" w:hAnsi="宋体"/>
                <w:sz w:val="18"/>
                <w:szCs w:val="18"/>
              </w:rPr>
            </w:pPr>
          </w:p>
        </w:tc>
        <w:tc>
          <w:tcPr>
            <w:tcW w:w="749" w:type="dxa"/>
            <w:gridSpan w:val="3"/>
            <w:vMerge w:val="continue"/>
            <w:tcBorders>
              <w:left w:val="single" w:color="000000" w:sz="4" w:space="0"/>
              <w:right w:val="single" w:color="000000" w:sz="4" w:space="0"/>
            </w:tcBorders>
            <w:vAlign w:val="center"/>
          </w:tcPr>
          <w:p w14:paraId="360D9EC8">
            <w:pPr>
              <w:spacing w:line="300" w:lineRule="exact"/>
              <w:jc w:val="center"/>
              <w:rPr>
                <w:rFonts w:ascii="宋体" w:hAnsi="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211D9C1D">
            <w:pPr>
              <w:spacing w:line="300" w:lineRule="exact"/>
              <w:jc w:val="center"/>
              <w:rPr>
                <w:rFonts w:ascii="宋体" w:hAnsi="宋体"/>
                <w:color w:val="000000"/>
                <w:sz w:val="18"/>
                <w:szCs w:val="18"/>
              </w:rPr>
            </w:pPr>
          </w:p>
        </w:tc>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111B02B3">
            <w:pPr>
              <w:spacing w:line="300" w:lineRule="exact"/>
              <w:jc w:val="center"/>
              <w:rPr>
                <w:rFonts w:ascii="宋体" w:hAnsi="宋体"/>
                <w:sz w:val="18"/>
                <w:szCs w:val="18"/>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7B0443F7">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预算执行率</w:t>
            </w:r>
          </w:p>
        </w:tc>
        <w:tc>
          <w:tcPr>
            <w:tcW w:w="1335" w:type="dxa"/>
            <w:tcBorders>
              <w:top w:val="single" w:color="000000" w:sz="4" w:space="0"/>
              <w:left w:val="single" w:color="000000" w:sz="4" w:space="0"/>
              <w:bottom w:val="single" w:color="000000" w:sz="4" w:space="0"/>
              <w:right w:val="single" w:color="000000" w:sz="4" w:space="0"/>
            </w:tcBorders>
            <w:vAlign w:val="center"/>
          </w:tcPr>
          <w:p w14:paraId="7AE55B5F">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c>
          <w:tcPr>
            <w:tcW w:w="784" w:type="dxa"/>
            <w:tcBorders>
              <w:top w:val="single" w:color="000000" w:sz="4" w:space="0"/>
              <w:left w:val="single" w:color="000000" w:sz="4" w:space="0"/>
              <w:bottom w:val="single" w:color="000000" w:sz="4" w:space="0"/>
              <w:right w:val="single" w:color="000000" w:sz="4" w:space="0"/>
            </w:tcBorders>
            <w:vAlign w:val="center"/>
          </w:tcPr>
          <w:p w14:paraId="3670E8A3">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1</w:t>
            </w:r>
          </w:p>
        </w:tc>
      </w:tr>
      <w:tr w14:paraId="55AC7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5CF48D0A">
            <w:pPr>
              <w:spacing w:line="300" w:lineRule="exact"/>
              <w:jc w:val="center"/>
              <w:rPr>
                <w:rFonts w:ascii="宋体" w:hAnsi="宋体"/>
                <w:sz w:val="18"/>
                <w:szCs w:val="18"/>
              </w:rPr>
            </w:pPr>
          </w:p>
        </w:tc>
        <w:tc>
          <w:tcPr>
            <w:tcW w:w="749" w:type="dxa"/>
            <w:gridSpan w:val="3"/>
            <w:vMerge w:val="continue"/>
            <w:tcBorders>
              <w:left w:val="single" w:color="000000" w:sz="4" w:space="0"/>
              <w:right w:val="single" w:color="000000" w:sz="4" w:space="0"/>
            </w:tcBorders>
            <w:vAlign w:val="center"/>
          </w:tcPr>
          <w:p w14:paraId="5B7083AB">
            <w:pPr>
              <w:spacing w:line="300" w:lineRule="exact"/>
              <w:jc w:val="center"/>
              <w:rPr>
                <w:rFonts w:ascii="宋体" w:hAnsi="宋体"/>
                <w:sz w:val="18"/>
                <w:szCs w:val="18"/>
              </w:rPr>
            </w:pPr>
          </w:p>
        </w:tc>
        <w:tc>
          <w:tcPr>
            <w:tcW w:w="1597" w:type="dxa"/>
            <w:tcBorders>
              <w:top w:val="single" w:color="000000" w:sz="4" w:space="0"/>
              <w:left w:val="single" w:color="000000" w:sz="4" w:space="0"/>
              <w:bottom w:val="single" w:color="000000" w:sz="4" w:space="0"/>
              <w:right w:val="single" w:color="000000" w:sz="4" w:space="0"/>
            </w:tcBorders>
            <w:vAlign w:val="center"/>
          </w:tcPr>
          <w:p w14:paraId="244376F4">
            <w:pPr>
              <w:spacing w:line="0" w:lineRule="atLeast"/>
              <w:jc w:val="center"/>
              <w:rPr>
                <w:rFonts w:ascii="宋体" w:hAnsi="宋体"/>
                <w:color w:val="000000"/>
                <w:sz w:val="18"/>
                <w:szCs w:val="18"/>
              </w:rPr>
            </w:pPr>
            <w:r>
              <w:rPr>
                <w:rFonts w:hint="eastAsia" w:ascii="宋体" w:hAnsi="宋体"/>
                <w:color w:val="000000"/>
                <w:sz w:val="18"/>
                <w:szCs w:val="18"/>
              </w:rPr>
              <w:t>资金管理</w:t>
            </w:r>
          </w:p>
        </w:tc>
        <w:tc>
          <w:tcPr>
            <w:tcW w:w="623" w:type="dxa"/>
            <w:tcBorders>
              <w:top w:val="single" w:color="000000" w:sz="4" w:space="0"/>
              <w:left w:val="single" w:color="000000" w:sz="4" w:space="0"/>
              <w:bottom w:val="single" w:color="000000" w:sz="4" w:space="0"/>
              <w:right w:val="single" w:color="000000" w:sz="4" w:space="0"/>
            </w:tcBorders>
            <w:vAlign w:val="center"/>
          </w:tcPr>
          <w:p w14:paraId="4D1C0069">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6</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0DE2ADB5">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资金使用合规性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1620ABEB">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6</w:t>
            </w:r>
          </w:p>
        </w:tc>
        <w:tc>
          <w:tcPr>
            <w:tcW w:w="784" w:type="dxa"/>
            <w:tcBorders>
              <w:top w:val="single" w:color="000000" w:sz="4" w:space="0"/>
              <w:left w:val="single" w:color="000000" w:sz="4" w:space="0"/>
              <w:bottom w:val="single" w:color="000000" w:sz="4" w:space="0"/>
              <w:right w:val="single" w:color="000000" w:sz="4" w:space="0"/>
            </w:tcBorders>
            <w:vAlign w:val="center"/>
          </w:tcPr>
          <w:p w14:paraId="5991AAEC">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6</w:t>
            </w:r>
          </w:p>
        </w:tc>
      </w:tr>
      <w:tr w14:paraId="3E4F9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01B11B2C">
            <w:pPr>
              <w:spacing w:line="300" w:lineRule="exact"/>
              <w:jc w:val="center"/>
              <w:rPr>
                <w:rFonts w:ascii="宋体" w:hAnsi="宋体"/>
                <w:sz w:val="18"/>
                <w:szCs w:val="18"/>
              </w:rPr>
            </w:pPr>
          </w:p>
        </w:tc>
        <w:tc>
          <w:tcPr>
            <w:tcW w:w="749" w:type="dxa"/>
            <w:gridSpan w:val="3"/>
            <w:vMerge w:val="continue"/>
            <w:tcBorders>
              <w:left w:val="single" w:color="000000" w:sz="4" w:space="0"/>
              <w:right w:val="single" w:color="000000" w:sz="4" w:space="0"/>
            </w:tcBorders>
            <w:vAlign w:val="center"/>
          </w:tcPr>
          <w:p w14:paraId="55817049">
            <w:pPr>
              <w:spacing w:line="300" w:lineRule="exact"/>
              <w:jc w:val="center"/>
              <w:rPr>
                <w:rFonts w:ascii="宋体" w:hAnsi="宋体"/>
                <w:sz w:val="18"/>
                <w:szCs w:val="18"/>
              </w:rPr>
            </w:pPr>
          </w:p>
        </w:tc>
        <w:tc>
          <w:tcPr>
            <w:tcW w:w="1597" w:type="dxa"/>
            <w:vMerge w:val="restart"/>
            <w:tcBorders>
              <w:top w:val="single" w:color="000000" w:sz="4" w:space="0"/>
              <w:left w:val="single" w:color="000000" w:sz="4" w:space="0"/>
              <w:right w:val="single" w:color="000000" w:sz="4" w:space="0"/>
            </w:tcBorders>
            <w:vAlign w:val="center"/>
          </w:tcPr>
          <w:p w14:paraId="1F9ABEFB">
            <w:pPr>
              <w:spacing w:line="0" w:lineRule="atLeast"/>
              <w:jc w:val="center"/>
              <w:rPr>
                <w:rFonts w:ascii="宋体" w:hAnsi="宋体"/>
                <w:color w:val="000000"/>
                <w:sz w:val="18"/>
                <w:szCs w:val="18"/>
              </w:rPr>
            </w:pPr>
            <w:r>
              <w:rPr>
                <w:rFonts w:hint="eastAsia" w:ascii="宋体" w:hAnsi="宋体"/>
                <w:color w:val="000000"/>
                <w:sz w:val="18"/>
                <w:szCs w:val="18"/>
              </w:rPr>
              <w:t>组织实施　</w:t>
            </w:r>
          </w:p>
        </w:tc>
        <w:tc>
          <w:tcPr>
            <w:tcW w:w="623" w:type="dxa"/>
            <w:vMerge w:val="restart"/>
            <w:tcBorders>
              <w:top w:val="single" w:color="000000" w:sz="4" w:space="0"/>
              <w:left w:val="single" w:color="000000" w:sz="4" w:space="0"/>
              <w:right w:val="single" w:color="000000" w:sz="4" w:space="0"/>
            </w:tcBorders>
            <w:vAlign w:val="center"/>
          </w:tcPr>
          <w:p w14:paraId="01BF12A6">
            <w:pPr>
              <w:autoSpaceDN w:val="0"/>
              <w:spacing w:line="300" w:lineRule="exact"/>
              <w:jc w:val="center"/>
              <w:textAlignment w:val="center"/>
              <w:rPr>
                <w:rFonts w:ascii="宋体" w:hAnsi="宋体"/>
                <w:sz w:val="18"/>
                <w:szCs w:val="18"/>
              </w:rPr>
            </w:pPr>
            <w:r>
              <w:rPr>
                <w:rFonts w:hint="eastAsia" w:ascii="宋体" w:hAnsi="宋体"/>
                <w:sz w:val="18"/>
                <w:szCs w:val="18"/>
              </w:rPr>
              <w:t>7</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468D80D0">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管理制度健全性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131EA513">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c>
          <w:tcPr>
            <w:tcW w:w="784" w:type="dxa"/>
            <w:tcBorders>
              <w:top w:val="single" w:color="000000" w:sz="4" w:space="0"/>
              <w:left w:val="single" w:color="000000" w:sz="4" w:space="0"/>
              <w:bottom w:val="single" w:color="000000" w:sz="4" w:space="0"/>
              <w:right w:val="single" w:color="000000" w:sz="4" w:space="0"/>
            </w:tcBorders>
            <w:vAlign w:val="center"/>
          </w:tcPr>
          <w:p w14:paraId="0D449B86">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r>
      <w:tr w14:paraId="2666A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0800B0C4">
            <w:pPr>
              <w:spacing w:line="300" w:lineRule="exact"/>
              <w:jc w:val="center"/>
              <w:rPr>
                <w:rFonts w:ascii="宋体" w:hAnsi="宋体"/>
                <w:sz w:val="18"/>
                <w:szCs w:val="18"/>
              </w:rPr>
            </w:pPr>
          </w:p>
        </w:tc>
        <w:tc>
          <w:tcPr>
            <w:tcW w:w="749" w:type="dxa"/>
            <w:gridSpan w:val="3"/>
            <w:vMerge w:val="continue"/>
            <w:tcBorders>
              <w:left w:val="single" w:color="000000" w:sz="4" w:space="0"/>
              <w:bottom w:val="single" w:color="000000" w:sz="4" w:space="0"/>
              <w:right w:val="single" w:color="000000" w:sz="4" w:space="0"/>
            </w:tcBorders>
            <w:vAlign w:val="center"/>
          </w:tcPr>
          <w:p w14:paraId="053C8C66">
            <w:pPr>
              <w:spacing w:line="300" w:lineRule="exact"/>
              <w:jc w:val="center"/>
              <w:rPr>
                <w:rFonts w:ascii="宋体" w:hAnsi="宋体"/>
                <w:sz w:val="18"/>
                <w:szCs w:val="18"/>
              </w:rPr>
            </w:pPr>
          </w:p>
        </w:tc>
        <w:tc>
          <w:tcPr>
            <w:tcW w:w="1597" w:type="dxa"/>
            <w:vMerge w:val="continue"/>
            <w:tcBorders>
              <w:left w:val="single" w:color="000000" w:sz="4" w:space="0"/>
              <w:bottom w:val="single" w:color="000000" w:sz="4" w:space="0"/>
              <w:right w:val="single" w:color="000000" w:sz="4" w:space="0"/>
            </w:tcBorders>
            <w:vAlign w:val="center"/>
          </w:tcPr>
          <w:p w14:paraId="34529372">
            <w:pPr>
              <w:autoSpaceDN w:val="0"/>
              <w:spacing w:line="300" w:lineRule="exact"/>
              <w:jc w:val="center"/>
              <w:textAlignment w:val="center"/>
              <w:rPr>
                <w:rFonts w:ascii="宋体" w:hAnsi="宋体"/>
                <w:color w:val="000000"/>
                <w:sz w:val="18"/>
                <w:szCs w:val="18"/>
              </w:rPr>
            </w:pPr>
          </w:p>
        </w:tc>
        <w:tc>
          <w:tcPr>
            <w:tcW w:w="623" w:type="dxa"/>
            <w:vMerge w:val="continue"/>
            <w:tcBorders>
              <w:left w:val="single" w:color="000000" w:sz="4" w:space="0"/>
              <w:bottom w:val="single" w:color="000000" w:sz="4" w:space="0"/>
              <w:right w:val="single" w:color="000000" w:sz="4" w:space="0"/>
            </w:tcBorders>
            <w:vAlign w:val="center"/>
          </w:tcPr>
          <w:p w14:paraId="46FDEAFD">
            <w:pPr>
              <w:autoSpaceDN w:val="0"/>
              <w:spacing w:line="300" w:lineRule="exact"/>
              <w:jc w:val="center"/>
              <w:textAlignment w:val="center"/>
              <w:rPr>
                <w:rFonts w:ascii="宋体" w:hAnsi="宋体"/>
                <w:color w:val="000000"/>
                <w:sz w:val="18"/>
                <w:szCs w:val="18"/>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2214389B">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制度执行有效性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0149983D">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c>
          <w:tcPr>
            <w:tcW w:w="784" w:type="dxa"/>
            <w:tcBorders>
              <w:top w:val="single" w:color="000000" w:sz="4" w:space="0"/>
              <w:left w:val="single" w:color="000000" w:sz="4" w:space="0"/>
              <w:bottom w:val="single" w:color="000000" w:sz="4" w:space="0"/>
              <w:right w:val="single" w:color="000000" w:sz="4" w:space="0"/>
            </w:tcBorders>
            <w:vAlign w:val="center"/>
          </w:tcPr>
          <w:p w14:paraId="01B79183">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r>
      <w:tr w14:paraId="4D50E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jc w:val="center"/>
        </w:trPr>
        <w:tc>
          <w:tcPr>
            <w:tcW w:w="1413" w:type="dxa"/>
            <w:vMerge w:val="restart"/>
            <w:tcBorders>
              <w:top w:val="single" w:color="000000" w:sz="4" w:space="0"/>
              <w:left w:val="single" w:color="000000" w:sz="4" w:space="0"/>
              <w:right w:val="single" w:color="000000" w:sz="4" w:space="0"/>
            </w:tcBorders>
            <w:vAlign w:val="center"/>
          </w:tcPr>
          <w:p w14:paraId="33618774">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产出</w:t>
            </w:r>
          </w:p>
        </w:tc>
        <w:tc>
          <w:tcPr>
            <w:tcW w:w="749" w:type="dxa"/>
            <w:gridSpan w:val="3"/>
            <w:vMerge w:val="restart"/>
            <w:tcBorders>
              <w:top w:val="single" w:color="000000" w:sz="4" w:space="0"/>
              <w:left w:val="single" w:color="000000" w:sz="4" w:space="0"/>
              <w:right w:val="single" w:color="000000" w:sz="4" w:space="0"/>
            </w:tcBorders>
            <w:vAlign w:val="center"/>
          </w:tcPr>
          <w:p w14:paraId="218236CE">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60</w:t>
            </w:r>
          </w:p>
        </w:tc>
        <w:tc>
          <w:tcPr>
            <w:tcW w:w="1597" w:type="dxa"/>
            <w:tcBorders>
              <w:top w:val="single" w:color="000000" w:sz="4" w:space="0"/>
              <w:left w:val="single" w:color="000000" w:sz="4" w:space="0"/>
              <w:right w:val="single" w:color="000000" w:sz="4" w:space="0"/>
            </w:tcBorders>
            <w:vAlign w:val="center"/>
          </w:tcPr>
          <w:p w14:paraId="0696CA17">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产出数量</w:t>
            </w:r>
          </w:p>
        </w:tc>
        <w:tc>
          <w:tcPr>
            <w:tcW w:w="623" w:type="dxa"/>
            <w:tcBorders>
              <w:top w:val="single" w:color="000000" w:sz="4" w:space="0"/>
              <w:left w:val="single" w:color="000000" w:sz="4" w:space="0"/>
              <w:bottom w:val="single" w:color="000000" w:sz="4" w:space="0"/>
              <w:right w:val="single" w:color="000000" w:sz="4" w:space="0"/>
            </w:tcBorders>
            <w:vAlign w:val="center"/>
          </w:tcPr>
          <w:p w14:paraId="32522E7B">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5DF66BCD">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lang w:eastAsia="zh-CN"/>
              </w:rPr>
              <w:t>应付事项</w:t>
            </w:r>
          </w:p>
        </w:tc>
        <w:tc>
          <w:tcPr>
            <w:tcW w:w="1335" w:type="dxa"/>
            <w:tcBorders>
              <w:top w:val="single" w:color="000000" w:sz="4" w:space="0"/>
              <w:left w:val="single" w:color="000000" w:sz="4" w:space="0"/>
              <w:bottom w:val="single" w:color="000000" w:sz="4" w:space="0"/>
              <w:right w:val="single" w:color="000000" w:sz="4" w:space="0"/>
            </w:tcBorders>
            <w:vAlign w:val="center"/>
          </w:tcPr>
          <w:p w14:paraId="01A58E9B">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c>
          <w:tcPr>
            <w:tcW w:w="784" w:type="dxa"/>
            <w:tcBorders>
              <w:top w:val="single" w:color="000000" w:sz="4" w:space="0"/>
              <w:left w:val="single" w:color="000000" w:sz="4" w:space="0"/>
              <w:bottom w:val="single" w:color="000000" w:sz="4" w:space="0"/>
              <w:right w:val="single" w:color="000000" w:sz="4" w:space="0"/>
            </w:tcBorders>
            <w:vAlign w:val="center"/>
          </w:tcPr>
          <w:p w14:paraId="4ACD8A22">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6</w:t>
            </w:r>
          </w:p>
        </w:tc>
      </w:tr>
      <w:tr w14:paraId="21CAC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left w:val="single" w:color="000000" w:sz="4" w:space="0"/>
              <w:right w:val="single" w:color="000000" w:sz="4" w:space="0"/>
            </w:tcBorders>
            <w:vAlign w:val="center"/>
          </w:tcPr>
          <w:p w14:paraId="21492F63">
            <w:pPr>
              <w:spacing w:line="300" w:lineRule="exact"/>
              <w:jc w:val="center"/>
              <w:rPr>
                <w:rFonts w:ascii="宋体" w:hAnsi="宋体"/>
                <w:sz w:val="18"/>
                <w:szCs w:val="18"/>
              </w:rPr>
            </w:pPr>
          </w:p>
        </w:tc>
        <w:tc>
          <w:tcPr>
            <w:tcW w:w="74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93820A1">
            <w:pPr>
              <w:spacing w:line="300" w:lineRule="exact"/>
              <w:jc w:val="center"/>
              <w:rPr>
                <w:rFonts w:ascii="宋体" w:hAnsi="宋体"/>
                <w:sz w:val="18"/>
                <w:szCs w:val="18"/>
              </w:rPr>
            </w:pPr>
          </w:p>
        </w:tc>
        <w:tc>
          <w:tcPr>
            <w:tcW w:w="1597" w:type="dxa"/>
            <w:vMerge w:val="restart"/>
            <w:tcBorders>
              <w:top w:val="single" w:color="000000" w:sz="4" w:space="0"/>
              <w:left w:val="single" w:color="000000" w:sz="4" w:space="0"/>
              <w:right w:val="single" w:color="000000" w:sz="4" w:space="0"/>
            </w:tcBorders>
            <w:vAlign w:val="center"/>
          </w:tcPr>
          <w:p w14:paraId="6BDF4F23">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产出质量</w:t>
            </w:r>
          </w:p>
        </w:tc>
        <w:tc>
          <w:tcPr>
            <w:tcW w:w="623" w:type="dxa"/>
            <w:vMerge w:val="restart"/>
            <w:tcBorders>
              <w:top w:val="single" w:color="000000" w:sz="4" w:space="0"/>
              <w:left w:val="single" w:color="000000" w:sz="4" w:space="0"/>
              <w:right w:val="single" w:color="000000" w:sz="4" w:space="0"/>
            </w:tcBorders>
            <w:vAlign w:val="center"/>
          </w:tcPr>
          <w:p w14:paraId="4864DEAF">
            <w:pPr>
              <w:spacing w:line="300" w:lineRule="exact"/>
              <w:jc w:val="center"/>
              <w:rPr>
                <w:rFonts w:hint="eastAsia" w:ascii="宋体" w:hAnsi="宋体"/>
                <w:sz w:val="18"/>
                <w:szCs w:val="18"/>
                <w:lang w:val="en-US" w:eastAsia="zh-CN"/>
              </w:rPr>
            </w:pPr>
          </w:p>
          <w:p w14:paraId="753561AC">
            <w:pPr>
              <w:spacing w:line="300" w:lineRule="exact"/>
              <w:jc w:val="center"/>
              <w:rPr>
                <w:rFonts w:hint="default" w:ascii="宋体" w:hAnsi="宋体" w:eastAsia="宋体"/>
                <w:sz w:val="18"/>
                <w:szCs w:val="18"/>
                <w:lang w:val="en-US" w:eastAsia="zh-CN"/>
              </w:rPr>
            </w:pPr>
            <w:r>
              <w:rPr>
                <w:rFonts w:hint="eastAsia" w:ascii="宋体" w:hAnsi="宋体"/>
                <w:sz w:val="18"/>
                <w:szCs w:val="18"/>
                <w:lang w:val="en-US" w:eastAsia="zh-CN"/>
              </w:rPr>
              <w:t>24</w:t>
            </w:r>
          </w:p>
          <w:p w14:paraId="4434EC86">
            <w:pPr>
              <w:spacing w:line="300" w:lineRule="exact"/>
              <w:jc w:val="center"/>
              <w:rPr>
                <w:rFonts w:hint="eastAsia" w:ascii="宋体" w:hAnsi="宋体" w:eastAsia="宋体"/>
                <w:sz w:val="18"/>
                <w:szCs w:val="18"/>
                <w:lang w:eastAsia="zh-CN"/>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74E4E44C">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lang w:eastAsia="zh-CN"/>
              </w:rPr>
              <w:t>付款审批手续完整</w:t>
            </w:r>
          </w:p>
        </w:tc>
        <w:tc>
          <w:tcPr>
            <w:tcW w:w="1335" w:type="dxa"/>
            <w:tcBorders>
              <w:top w:val="single" w:color="000000" w:sz="4" w:space="0"/>
              <w:left w:val="single" w:color="000000" w:sz="4" w:space="0"/>
              <w:bottom w:val="single" w:color="000000" w:sz="4" w:space="0"/>
              <w:right w:val="single" w:color="000000" w:sz="4" w:space="0"/>
            </w:tcBorders>
            <w:vAlign w:val="center"/>
          </w:tcPr>
          <w:p w14:paraId="5C6EC1C7">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c>
          <w:tcPr>
            <w:tcW w:w="784" w:type="dxa"/>
            <w:tcBorders>
              <w:top w:val="single" w:color="000000" w:sz="4" w:space="0"/>
              <w:left w:val="single" w:color="000000" w:sz="4" w:space="0"/>
              <w:bottom w:val="single" w:color="000000" w:sz="4" w:space="0"/>
              <w:right w:val="single" w:color="000000" w:sz="4" w:space="0"/>
            </w:tcBorders>
            <w:vAlign w:val="center"/>
          </w:tcPr>
          <w:p w14:paraId="2D60483C">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r>
      <w:tr w14:paraId="369F3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left w:val="single" w:color="000000" w:sz="4" w:space="0"/>
              <w:right w:val="single" w:color="000000" w:sz="4" w:space="0"/>
            </w:tcBorders>
            <w:vAlign w:val="center"/>
          </w:tcPr>
          <w:p w14:paraId="292D0F3A">
            <w:pPr>
              <w:spacing w:line="300" w:lineRule="exact"/>
              <w:jc w:val="center"/>
              <w:rPr>
                <w:rFonts w:ascii="宋体" w:hAnsi="宋体"/>
                <w:sz w:val="18"/>
                <w:szCs w:val="18"/>
              </w:rPr>
            </w:pPr>
          </w:p>
        </w:tc>
        <w:tc>
          <w:tcPr>
            <w:tcW w:w="74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24195C6">
            <w:pPr>
              <w:spacing w:line="300" w:lineRule="exact"/>
              <w:jc w:val="center"/>
              <w:rPr>
                <w:rFonts w:ascii="宋体" w:hAnsi="宋体"/>
                <w:sz w:val="18"/>
                <w:szCs w:val="18"/>
              </w:rPr>
            </w:pPr>
          </w:p>
        </w:tc>
        <w:tc>
          <w:tcPr>
            <w:tcW w:w="1597" w:type="dxa"/>
            <w:vMerge w:val="continue"/>
            <w:tcBorders>
              <w:left w:val="single" w:color="000000" w:sz="4" w:space="0"/>
              <w:right w:val="single" w:color="000000" w:sz="4" w:space="0"/>
            </w:tcBorders>
            <w:vAlign w:val="center"/>
          </w:tcPr>
          <w:p w14:paraId="5284FC71">
            <w:pPr>
              <w:autoSpaceDN w:val="0"/>
              <w:spacing w:line="300" w:lineRule="exact"/>
              <w:jc w:val="center"/>
              <w:textAlignment w:val="center"/>
              <w:rPr>
                <w:rFonts w:ascii="宋体" w:hAnsi="宋体"/>
                <w:color w:val="000000"/>
                <w:sz w:val="18"/>
                <w:szCs w:val="18"/>
              </w:rPr>
            </w:pPr>
          </w:p>
        </w:tc>
        <w:tc>
          <w:tcPr>
            <w:tcW w:w="623" w:type="dxa"/>
            <w:vMerge w:val="continue"/>
            <w:tcBorders>
              <w:left w:val="single" w:color="000000" w:sz="4" w:space="0"/>
              <w:right w:val="single" w:color="000000" w:sz="4" w:space="0"/>
            </w:tcBorders>
            <w:vAlign w:val="center"/>
          </w:tcPr>
          <w:p w14:paraId="29B3B6B6">
            <w:pPr>
              <w:spacing w:line="300" w:lineRule="exact"/>
              <w:jc w:val="center"/>
              <w:rPr>
                <w:rFonts w:hint="eastAsia" w:ascii="宋体" w:hAnsi="宋体" w:eastAsia="宋体"/>
                <w:sz w:val="18"/>
                <w:szCs w:val="18"/>
                <w:lang w:eastAsia="zh-CN"/>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364D8649">
            <w:pPr>
              <w:autoSpaceDN w:val="0"/>
              <w:spacing w:line="300" w:lineRule="exact"/>
              <w:jc w:val="center"/>
              <w:textAlignment w:val="center"/>
              <w:rPr>
                <w:rFonts w:hint="eastAsia" w:ascii="宋体" w:hAnsi="宋体"/>
                <w:color w:val="000000"/>
                <w:sz w:val="18"/>
                <w:szCs w:val="18"/>
                <w:lang w:eastAsia="zh-CN"/>
              </w:rPr>
            </w:pPr>
            <w:r>
              <w:rPr>
                <w:rFonts w:hint="eastAsia" w:ascii="宋体" w:hAnsi="宋体"/>
                <w:color w:val="000000"/>
                <w:sz w:val="18"/>
                <w:szCs w:val="18"/>
                <w:lang w:eastAsia="zh-CN"/>
              </w:rPr>
              <w:t>付款单据真实合法</w:t>
            </w:r>
          </w:p>
        </w:tc>
        <w:tc>
          <w:tcPr>
            <w:tcW w:w="1335" w:type="dxa"/>
            <w:tcBorders>
              <w:top w:val="single" w:color="000000" w:sz="4" w:space="0"/>
              <w:left w:val="single" w:color="000000" w:sz="4" w:space="0"/>
              <w:bottom w:val="single" w:color="000000" w:sz="4" w:space="0"/>
              <w:right w:val="single" w:color="000000" w:sz="4" w:space="0"/>
            </w:tcBorders>
            <w:vAlign w:val="center"/>
          </w:tcPr>
          <w:p w14:paraId="63DEBFBE">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c>
          <w:tcPr>
            <w:tcW w:w="784" w:type="dxa"/>
            <w:tcBorders>
              <w:top w:val="single" w:color="000000" w:sz="4" w:space="0"/>
              <w:left w:val="single" w:color="000000" w:sz="4" w:space="0"/>
              <w:bottom w:val="single" w:color="000000" w:sz="4" w:space="0"/>
              <w:right w:val="single" w:color="000000" w:sz="4" w:space="0"/>
            </w:tcBorders>
            <w:vAlign w:val="center"/>
          </w:tcPr>
          <w:p w14:paraId="0304E199">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r>
      <w:tr w14:paraId="1F6B8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left w:val="single" w:color="000000" w:sz="4" w:space="0"/>
              <w:right w:val="single" w:color="000000" w:sz="4" w:space="0"/>
            </w:tcBorders>
            <w:vAlign w:val="center"/>
          </w:tcPr>
          <w:p w14:paraId="7A748030">
            <w:pPr>
              <w:spacing w:line="300" w:lineRule="exact"/>
              <w:jc w:val="center"/>
              <w:rPr>
                <w:rFonts w:ascii="宋体" w:hAnsi="宋体"/>
                <w:sz w:val="18"/>
                <w:szCs w:val="18"/>
              </w:rPr>
            </w:pPr>
          </w:p>
        </w:tc>
        <w:tc>
          <w:tcPr>
            <w:tcW w:w="74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861B312">
            <w:pPr>
              <w:spacing w:line="300" w:lineRule="exact"/>
              <w:jc w:val="center"/>
              <w:rPr>
                <w:rFonts w:ascii="宋体" w:hAnsi="宋体"/>
                <w:sz w:val="18"/>
                <w:szCs w:val="18"/>
              </w:rPr>
            </w:pPr>
          </w:p>
        </w:tc>
        <w:tc>
          <w:tcPr>
            <w:tcW w:w="1597" w:type="dxa"/>
            <w:vMerge w:val="continue"/>
            <w:tcBorders>
              <w:left w:val="single" w:color="000000" w:sz="4" w:space="0"/>
              <w:right w:val="single" w:color="000000" w:sz="4" w:space="0"/>
            </w:tcBorders>
            <w:vAlign w:val="center"/>
          </w:tcPr>
          <w:p w14:paraId="69BD7A67">
            <w:pPr>
              <w:autoSpaceDN w:val="0"/>
              <w:spacing w:line="300" w:lineRule="exact"/>
              <w:jc w:val="center"/>
              <w:textAlignment w:val="center"/>
              <w:rPr>
                <w:rFonts w:ascii="宋体" w:hAnsi="宋体"/>
                <w:color w:val="000000"/>
                <w:sz w:val="18"/>
                <w:szCs w:val="18"/>
              </w:rPr>
            </w:pPr>
          </w:p>
        </w:tc>
        <w:tc>
          <w:tcPr>
            <w:tcW w:w="623" w:type="dxa"/>
            <w:vMerge w:val="continue"/>
            <w:tcBorders>
              <w:left w:val="single" w:color="000000" w:sz="4" w:space="0"/>
              <w:bottom w:val="single" w:color="000000" w:sz="4" w:space="0"/>
              <w:right w:val="single" w:color="000000" w:sz="4" w:space="0"/>
            </w:tcBorders>
            <w:vAlign w:val="center"/>
          </w:tcPr>
          <w:p w14:paraId="0F3406C0">
            <w:pPr>
              <w:spacing w:line="300" w:lineRule="exact"/>
              <w:jc w:val="center"/>
              <w:rPr>
                <w:rFonts w:hint="eastAsia" w:ascii="宋体" w:hAnsi="宋体" w:eastAsia="宋体"/>
                <w:sz w:val="18"/>
                <w:szCs w:val="18"/>
                <w:lang w:eastAsia="zh-CN"/>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4EFBA9E2">
            <w:pPr>
              <w:autoSpaceDN w:val="0"/>
              <w:spacing w:line="300" w:lineRule="exact"/>
              <w:jc w:val="center"/>
              <w:textAlignment w:val="center"/>
              <w:rPr>
                <w:rFonts w:hint="eastAsia" w:ascii="宋体" w:hAnsi="宋体"/>
                <w:color w:val="000000"/>
                <w:sz w:val="18"/>
                <w:szCs w:val="18"/>
                <w:lang w:eastAsia="zh-CN"/>
              </w:rPr>
            </w:pPr>
            <w:r>
              <w:rPr>
                <w:rFonts w:hint="eastAsia" w:ascii="宋体" w:hAnsi="宋体"/>
                <w:color w:val="000000"/>
                <w:sz w:val="18"/>
                <w:szCs w:val="18"/>
                <w:lang w:eastAsia="zh-CN"/>
              </w:rPr>
              <w:t>资金使用合规率</w:t>
            </w:r>
          </w:p>
        </w:tc>
        <w:tc>
          <w:tcPr>
            <w:tcW w:w="1335" w:type="dxa"/>
            <w:tcBorders>
              <w:top w:val="single" w:color="000000" w:sz="4" w:space="0"/>
              <w:left w:val="single" w:color="000000" w:sz="4" w:space="0"/>
              <w:bottom w:val="single" w:color="000000" w:sz="4" w:space="0"/>
              <w:right w:val="single" w:color="000000" w:sz="4" w:space="0"/>
            </w:tcBorders>
            <w:vAlign w:val="center"/>
          </w:tcPr>
          <w:p w14:paraId="180131F5">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c>
          <w:tcPr>
            <w:tcW w:w="784" w:type="dxa"/>
            <w:tcBorders>
              <w:top w:val="single" w:color="000000" w:sz="4" w:space="0"/>
              <w:left w:val="single" w:color="000000" w:sz="4" w:space="0"/>
              <w:bottom w:val="single" w:color="000000" w:sz="4" w:space="0"/>
              <w:right w:val="single" w:color="000000" w:sz="4" w:space="0"/>
            </w:tcBorders>
            <w:vAlign w:val="center"/>
          </w:tcPr>
          <w:p w14:paraId="6F80F4AA">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r>
      <w:tr w14:paraId="05A50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413" w:type="dxa"/>
            <w:vMerge w:val="continue"/>
            <w:tcBorders>
              <w:left w:val="single" w:color="000000" w:sz="4" w:space="0"/>
              <w:right w:val="single" w:color="000000" w:sz="4" w:space="0"/>
            </w:tcBorders>
            <w:vAlign w:val="center"/>
          </w:tcPr>
          <w:p w14:paraId="22DE1BD0">
            <w:pPr>
              <w:spacing w:line="300" w:lineRule="exact"/>
              <w:jc w:val="center"/>
              <w:rPr>
                <w:rFonts w:ascii="宋体" w:hAnsi="宋体"/>
                <w:sz w:val="18"/>
                <w:szCs w:val="18"/>
              </w:rPr>
            </w:pPr>
          </w:p>
        </w:tc>
        <w:tc>
          <w:tcPr>
            <w:tcW w:w="74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5FB55D7">
            <w:pPr>
              <w:spacing w:line="300" w:lineRule="exact"/>
              <w:jc w:val="center"/>
              <w:rPr>
                <w:rFonts w:ascii="宋体" w:hAnsi="宋体"/>
                <w:sz w:val="18"/>
                <w:szCs w:val="18"/>
              </w:rPr>
            </w:pPr>
          </w:p>
        </w:tc>
        <w:tc>
          <w:tcPr>
            <w:tcW w:w="1597" w:type="dxa"/>
            <w:tcBorders>
              <w:top w:val="single" w:color="000000" w:sz="4" w:space="0"/>
              <w:left w:val="single" w:color="000000" w:sz="4" w:space="0"/>
              <w:right w:val="single" w:color="000000" w:sz="4" w:space="0"/>
            </w:tcBorders>
            <w:vAlign w:val="center"/>
          </w:tcPr>
          <w:p w14:paraId="5B719F97">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产出时效</w:t>
            </w:r>
          </w:p>
        </w:tc>
        <w:tc>
          <w:tcPr>
            <w:tcW w:w="623" w:type="dxa"/>
            <w:tcBorders>
              <w:top w:val="single" w:color="000000" w:sz="4" w:space="0"/>
              <w:left w:val="single" w:color="000000" w:sz="4" w:space="0"/>
              <w:bottom w:val="single" w:color="000000" w:sz="4" w:space="0"/>
              <w:right w:val="single" w:color="000000" w:sz="4" w:space="0"/>
            </w:tcBorders>
            <w:vAlign w:val="center"/>
          </w:tcPr>
          <w:p w14:paraId="633F5CF4">
            <w:pPr>
              <w:spacing w:line="300" w:lineRule="exact"/>
              <w:jc w:val="center"/>
              <w:rPr>
                <w:rFonts w:hint="eastAsia" w:ascii="宋体" w:hAnsi="宋体" w:eastAsia="宋体"/>
                <w:sz w:val="18"/>
                <w:szCs w:val="18"/>
                <w:lang w:eastAsia="zh-CN"/>
              </w:rPr>
            </w:pPr>
            <w:r>
              <w:rPr>
                <w:rFonts w:hint="eastAsia" w:ascii="宋体" w:hAnsi="宋体"/>
                <w:sz w:val="18"/>
                <w:szCs w:val="18"/>
                <w:lang w:val="en-US" w:eastAsia="zh-CN"/>
              </w:rPr>
              <w:t>7</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192F1FFF">
            <w:pPr>
              <w:autoSpaceDN w:val="0"/>
              <w:spacing w:line="300" w:lineRule="exact"/>
              <w:jc w:val="center"/>
              <w:textAlignment w:val="center"/>
              <w:rPr>
                <w:rFonts w:hint="eastAsia" w:ascii="宋体" w:hAnsi="宋体"/>
                <w:color w:val="000000"/>
                <w:sz w:val="18"/>
                <w:szCs w:val="18"/>
                <w:lang w:eastAsia="zh-CN"/>
              </w:rPr>
            </w:pPr>
            <w:r>
              <w:rPr>
                <w:rFonts w:hint="eastAsia" w:ascii="宋体" w:hAnsi="宋体"/>
                <w:color w:val="000000"/>
                <w:sz w:val="18"/>
                <w:szCs w:val="18"/>
                <w:lang w:eastAsia="zh-CN"/>
              </w:rPr>
              <w:t>付款及时性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6CC8D1DD">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c>
          <w:tcPr>
            <w:tcW w:w="784" w:type="dxa"/>
            <w:tcBorders>
              <w:top w:val="single" w:color="000000" w:sz="4" w:space="0"/>
              <w:left w:val="single" w:color="000000" w:sz="4" w:space="0"/>
              <w:bottom w:val="single" w:color="000000" w:sz="4" w:space="0"/>
              <w:right w:val="single" w:color="000000" w:sz="4" w:space="0"/>
            </w:tcBorders>
            <w:vAlign w:val="center"/>
          </w:tcPr>
          <w:p w14:paraId="23703E03">
            <w:pPr>
              <w:autoSpaceDN w:val="0"/>
              <w:spacing w:line="300" w:lineRule="exact"/>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6</w:t>
            </w:r>
          </w:p>
        </w:tc>
      </w:tr>
      <w:tr w14:paraId="79378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left w:val="single" w:color="000000" w:sz="4" w:space="0"/>
              <w:right w:val="single" w:color="000000" w:sz="4" w:space="0"/>
            </w:tcBorders>
            <w:vAlign w:val="center"/>
          </w:tcPr>
          <w:p w14:paraId="291EF327">
            <w:pPr>
              <w:spacing w:line="300" w:lineRule="exact"/>
              <w:jc w:val="center"/>
              <w:rPr>
                <w:rFonts w:ascii="宋体" w:hAnsi="宋体"/>
                <w:sz w:val="18"/>
                <w:szCs w:val="18"/>
              </w:rPr>
            </w:pPr>
          </w:p>
        </w:tc>
        <w:tc>
          <w:tcPr>
            <w:tcW w:w="74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8614EB7">
            <w:pPr>
              <w:spacing w:line="300" w:lineRule="exact"/>
              <w:jc w:val="center"/>
              <w:rPr>
                <w:rFonts w:ascii="宋体" w:hAnsi="宋体"/>
                <w:sz w:val="18"/>
                <w:szCs w:val="18"/>
              </w:rPr>
            </w:pPr>
          </w:p>
        </w:tc>
        <w:tc>
          <w:tcPr>
            <w:tcW w:w="1597" w:type="dxa"/>
            <w:tcBorders>
              <w:top w:val="single" w:color="000000" w:sz="4" w:space="0"/>
              <w:left w:val="single" w:color="000000" w:sz="4" w:space="0"/>
              <w:right w:val="single" w:color="000000" w:sz="4" w:space="0"/>
            </w:tcBorders>
            <w:vAlign w:val="center"/>
          </w:tcPr>
          <w:p w14:paraId="2628B16D">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产出成本</w:t>
            </w:r>
          </w:p>
        </w:tc>
        <w:tc>
          <w:tcPr>
            <w:tcW w:w="623" w:type="dxa"/>
            <w:tcBorders>
              <w:top w:val="single" w:color="000000" w:sz="4" w:space="0"/>
              <w:left w:val="single" w:color="000000" w:sz="4" w:space="0"/>
              <w:bottom w:val="single" w:color="000000" w:sz="4" w:space="0"/>
              <w:right w:val="single" w:color="000000" w:sz="4" w:space="0"/>
            </w:tcBorders>
            <w:vAlign w:val="center"/>
          </w:tcPr>
          <w:p w14:paraId="5856F41F">
            <w:pPr>
              <w:spacing w:line="300" w:lineRule="exact"/>
              <w:jc w:val="center"/>
              <w:rPr>
                <w:rFonts w:hint="eastAsia" w:ascii="宋体" w:hAnsi="宋体" w:eastAsia="宋体"/>
                <w:sz w:val="18"/>
                <w:szCs w:val="18"/>
                <w:lang w:eastAsia="zh-CN"/>
              </w:rPr>
            </w:pPr>
            <w:r>
              <w:rPr>
                <w:rFonts w:hint="eastAsia" w:ascii="宋体" w:hAnsi="宋体"/>
                <w:sz w:val="18"/>
                <w:szCs w:val="18"/>
                <w:lang w:val="en-US" w:eastAsia="zh-CN"/>
              </w:rPr>
              <w:t>7</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6885BC07">
            <w:pPr>
              <w:autoSpaceDN w:val="0"/>
              <w:spacing w:line="300" w:lineRule="exact"/>
              <w:jc w:val="center"/>
              <w:textAlignment w:val="center"/>
              <w:rPr>
                <w:rFonts w:hint="eastAsia" w:ascii="宋体" w:hAnsi="宋体"/>
                <w:color w:val="000000"/>
                <w:sz w:val="18"/>
                <w:szCs w:val="18"/>
                <w:lang w:eastAsia="zh-CN"/>
              </w:rPr>
            </w:pPr>
            <w:r>
              <w:rPr>
                <w:rFonts w:hint="eastAsia" w:ascii="宋体" w:hAnsi="宋体"/>
                <w:color w:val="000000"/>
                <w:sz w:val="18"/>
                <w:szCs w:val="18"/>
                <w:lang w:eastAsia="zh-CN"/>
              </w:rPr>
              <w:t>经济成本指标</w:t>
            </w:r>
          </w:p>
        </w:tc>
        <w:tc>
          <w:tcPr>
            <w:tcW w:w="1335" w:type="dxa"/>
            <w:tcBorders>
              <w:top w:val="single" w:color="000000" w:sz="4" w:space="0"/>
              <w:left w:val="single" w:color="000000" w:sz="4" w:space="0"/>
              <w:bottom w:val="single" w:color="000000" w:sz="4" w:space="0"/>
              <w:right w:val="single" w:color="000000" w:sz="4" w:space="0"/>
            </w:tcBorders>
            <w:vAlign w:val="center"/>
          </w:tcPr>
          <w:p w14:paraId="343B74B0">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c>
          <w:tcPr>
            <w:tcW w:w="784" w:type="dxa"/>
            <w:tcBorders>
              <w:top w:val="single" w:color="000000" w:sz="4" w:space="0"/>
              <w:left w:val="single" w:color="000000" w:sz="4" w:space="0"/>
              <w:bottom w:val="single" w:color="000000" w:sz="4" w:space="0"/>
              <w:right w:val="single" w:color="000000" w:sz="4" w:space="0"/>
            </w:tcBorders>
            <w:vAlign w:val="center"/>
          </w:tcPr>
          <w:p w14:paraId="01989471">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r>
      <w:tr w14:paraId="7CC18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restart"/>
            <w:tcBorders>
              <w:left w:val="single" w:color="000000" w:sz="4" w:space="0"/>
              <w:right w:val="single" w:color="000000" w:sz="4" w:space="0"/>
            </w:tcBorders>
            <w:vAlign w:val="center"/>
          </w:tcPr>
          <w:p w14:paraId="7BE29E5F">
            <w:pPr>
              <w:spacing w:line="300" w:lineRule="exact"/>
              <w:jc w:val="center"/>
              <w:rPr>
                <w:rFonts w:hint="eastAsia" w:ascii="宋体" w:hAnsi="宋体" w:eastAsia="宋体"/>
                <w:sz w:val="18"/>
                <w:szCs w:val="18"/>
                <w:lang w:eastAsia="zh-CN"/>
              </w:rPr>
            </w:pPr>
            <w:r>
              <w:rPr>
                <w:rFonts w:hint="eastAsia" w:ascii="宋体" w:hAnsi="宋体"/>
                <w:sz w:val="18"/>
                <w:szCs w:val="18"/>
                <w:lang w:eastAsia="zh-CN"/>
              </w:rPr>
              <w:t>效益</w:t>
            </w:r>
          </w:p>
        </w:tc>
        <w:tc>
          <w:tcPr>
            <w:tcW w:w="74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27B68A0">
            <w:pPr>
              <w:spacing w:line="300" w:lineRule="exact"/>
              <w:jc w:val="center"/>
              <w:rPr>
                <w:rFonts w:ascii="宋体" w:hAnsi="宋体"/>
                <w:sz w:val="18"/>
                <w:szCs w:val="18"/>
              </w:rPr>
            </w:pPr>
          </w:p>
        </w:tc>
        <w:tc>
          <w:tcPr>
            <w:tcW w:w="1597" w:type="dxa"/>
            <w:tcBorders>
              <w:top w:val="single" w:color="000000" w:sz="4" w:space="0"/>
              <w:left w:val="single" w:color="000000" w:sz="4" w:space="0"/>
              <w:right w:val="single" w:color="000000" w:sz="4" w:space="0"/>
            </w:tcBorders>
            <w:vAlign w:val="center"/>
          </w:tcPr>
          <w:p w14:paraId="5FA6D8E8">
            <w:pPr>
              <w:autoSpaceDN w:val="0"/>
              <w:spacing w:line="300" w:lineRule="exact"/>
              <w:jc w:val="center"/>
              <w:textAlignment w:val="center"/>
              <w:rPr>
                <w:rFonts w:ascii="宋体" w:hAnsi="宋体"/>
                <w:sz w:val="18"/>
                <w:szCs w:val="18"/>
              </w:rPr>
            </w:pPr>
            <w:r>
              <w:rPr>
                <w:rFonts w:hint="eastAsia" w:ascii="宋体" w:hAnsi="宋体"/>
                <w:color w:val="000000"/>
                <w:sz w:val="18"/>
                <w:szCs w:val="18"/>
              </w:rPr>
              <w:t>社会效益</w:t>
            </w:r>
          </w:p>
        </w:tc>
        <w:tc>
          <w:tcPr>
            <w:tcW w:w="623" w:type="dxa"/>
            <w:tcBorders>
              <w:top w:val="single" w:color="000000" w:sz="4" w:space="0"/>
              <w:left w:val="single" w:color="000000" w:sz="4" w:space="0"/>
              <w:bottom w:val="single" w:color="000000" w:sz="4" w:space="0"/>
              <w:right w:val="single" w:color="000000" w:sz="4" w:space="0"/>
            </w:tcBorders>
            <w:vAlign w:val="center"/>
          </w:tcPr>
          <w:p w14:paraId="4BAF96B2">
            <w:pPr>
              <w:spacing w:line="300" w:lineRule="exact"/>
              <w:jc w:val="center"/>
              <w:rPr>
                <w:rFonts w:hint="eastAsia" w:ascii="宋体" w:hAnsi="宋体" w:eastAsia="宋体"/>
                <w:sz w:val="18"/>
                <w:szCs w:val="18"/>
                <w:lang w:eastAsia="zh-CN"/>
              </w:rPr>
            </w:pPr>
            <w:r>
              <w:rPr>
                <w:rFonts w:hint="eastAsia" w:ascii="宋体" w:hAnsi="宋体"/>
                <w:sz w:val="18"/>
                <w:szCs w:val="18"/>
                <w:lang w:val="en-US" w:eastAsia="zh-CN"/>
              </w:rPr>
              <w:t>7</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28ED11F5">
            <w:pPr>
              <w:autoSpaceDN w:val="0"/>
              <w:spacing w:line="300" w:lineRule="exact"/>
              <w:jc w:val="center"/>
              <w:textAlignment w:val="center"/>
              <w:rPr>
                <w:rFonts w:hint="eastAsia" w:ascii="宋体" w:hAnsi="宋体"/>
                <w:color w:val="000000"/>
                <w:sz w:val="18"/>
                <w:szCs w:val="18"/>
                <w:lang w:eastAsia="zh-CN"/>
              </w:rPr>
            </w:pPr>
            <w:r>
              <w:rPr>
                <w:rFonts w:hint="eastAsia" w:ascii="宋体" w:hAnsi="宋体"/>
                <w:color w:val="000000"/>
                <w:sz w:val="18"/>
                <w:szCs w:val="18"/>
                <w:lang w:eastAsia="zh-CN"/>
              </w:rPr>
              <w:t>促进社会和谐发展</w:t>
            </w:r>
          </w:p>
        </w:tc>
        <w:tc>
          <w:tcPr>
            <w:tcW w:w="1335" w:type="dxa"/>
            <w:tcBorders>
              <w:top w:val="single" w:color="000000" w:sz="4" w:space="0"/>
              <w:left w:val="single" w:color="000000" w:sz="4" w:space="0"/>
              <w:bottom w:val="single" w:color="000000" w:sz="4" w:space="0"/>
              <w:right w:val="single" w:color="000000" w:sz="4" w:space="0"/>
            </w:tcBorders>
            <w:vAlign w:val="center"/>
          </w:tcPr>
          <w:p w14:paraId="3561CCFB">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c>
          <w:tcPr>
            <w:tcW w:w="784" w:type="dxa"/>
            <w:tcBorders>
              <w:top w:val="single" w:color="000000" w:sz="4" w:space="0"/>
              <w:left w:val="single" w:color="000000" w:sz="4" w:space="0"/>
              <w:bottom w:val="single" w:color="000000" w:sz="4" w:space="0"/>
              <w:right w:val="single" w:color="000000" w:sz="4" w:space="0"/>
            </w:tcBorders>
            <w:vAlign w:val="center"/>
          </w:tcPr>
          <w:p w14:paraId="6574C511">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r>
      <w:tr w14:paraId="27188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1413" w:type="dxa"/>
            <w:vMerge w:val="continue"/>
            <w:tcBorders>
              <w:left w:val="single" w:color="000000" w:sz="4" w:space="0"/>
              <w:bottom w:val="single" w:color="000000" w:sz="4" w:space="0"/>
              <w:right w:val="single" w:color="000000" w:sz="4" w:space="0"/>
            </w:tcBorders>
            <w:vAlign w:val="center"/>
          </w:tcPr>
          <w:p w14:paraId="43837FC6">
            <w:pPr>
              <w:spacing w:line="300" w:lineRule="exact"/>
              <w:jc w:val="center"/>
              <w:rPr>
                <w:rFonts w:ascii="宋体" w:hAnsi="宋体"/>
                <w:sz w:val="18"/>
                <w:szCs w:val="18"/>
              </w:rPr>
            </w:pPr>
          </w:p>
        </w:tc>
        <w:tc>
          <w:tcPr>
            <w:tcW w:w="74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A3C820B">
            <w:pPr>
              <w:spacing w:line="300" w:lineRule="exact"/>
              <w:jc w:val="center"/>
              <w:rPr>
                <w:rFonts w:ascii="宋体" w:hAnsi="宋体"/>
                <w:sz w:val="18"/>
                <w:szCs w:val="18"/>
              </w:rPr>
            </w:pPr>
          </w:p>
        </w:tc>
        <w:tc>
          <w:tcPr>
            <w:tcW w:w="1597" w:type="dxa"/>
            <w:tcBorders>
              <w:top w:val="single" w:color="000000" w:sz="4" w:space="0"/>
              <w:left w:val="single" w:color="000000" w:sz="4" w:space="0"/>
              <w:right w:val="single" w:color="000000" w:sz="4" w:space="0"/>
            </w:tcBorders>
            <w:vAlign w:val="center"/>
          </w:tcPr>
          <w:p w14:paraId="6AACA8E7">
            <w:pPr>
              <w:autoSpaceDN w:val="0"/>
              <w:spacing w:line="280" w:lineRule="exact"/>
              <w:jc w:val="center"/>
              <w:textAlignment w:val="center"/>
              <w:rPr>
                <w:rFonts w:ascii="宋体" w:hAnsi="宋体"/>
                <w:sz w:val="18"/>
                <w:szCs w:val="18"/>
              </w:rPr>
            </w:pPr>
            <w:r>
              <w:rPr>
                <w:rFonts w:hint="eastAsia" w:ascii="宋体" w:hAnsi="宋体"/>
                <w:color w:val="000000"/>
                <w:sz w:val="18"/>
                <w:szCs w:val="18"/>
              </w:rPr>
              <w:t>满意度</w:t>
            </w:r>
          </w:p>
        </w:tc>
        <w:tc>
          <w:tcPr>
            <w:tcW w:w="623" w:type="dxa"/>
            <w:tcBorders>
              <w:top w:val="single" w:color="000000" w:sz="4" w:space="0"/>
              <w:left w:val="single" w:color="000000" w:sz="4" w:space="0"/>
              <w:bottom w:val="single" w:color="auto" w:sz="4" w:space="0"/>
              <w:right w:val="single" w:color="000000" w:sz="4" w:space="0"/>
            </w:tcBorders>
            <w:vAlign w:val="center"/>
          </w:tcPr>
          <w:p w14:paraId="6D1C5FAA">
            <w:pPr>
              <w:spacing w:line="280" w:lineRule="exact"/>
              <w:jc w:val="center"/>
              <w:rPr>
                <w:rFonts w:hint="default" w:ascii="宋体" w:hAnsi="宋体" w:eastAsia="宋体"/>
                <w:sz w:val="18"/>
                <w:szCs w:val="18"/>
                <w:lang w:val="en-US" w:eastAsia="zh-CN"/>
              </w:rPr>
            </w:pPr>
            <w:r>
              <w:rPr>
                <w:rFonts w:hint="eastAsia" w:ascii="宋体" w:hAnsi="宋体"/>
                <w:sz w:val="18"/>
                <w:szCs w:val="18"/>
                <w:lang w:val="en-US" w:eastAsia="zh-CN"/>
              </w:rPr>
              <w:t>7</w:t>
            </w:r>
          </w:p>
        </w:tc>
        <w:tc>
          <w:tcPr>
            <w:tcW w:w="2514" w:type="dxa"/>
            <w:gridSpan w:val="4"/>
            <w:tcBorders>
              <w:top w:val="single" w:color="000000" w:sz="4" w:space="0"/>
              <w:left w:val="single" w:color="000000" w:sz="4" w:space="0"/>
              <w:bottom w:val="single" w:color="auto" w:sz="4" w:space="0"/>
              <w:right w:val="single" w:color="000000" w:sz="4" w:space="0"/>
            </w:tcBorders>
            <w:vAlign w:val="center"/>
          </w:tcPr>
          <w:p w14:paraId="561AEAE8">
            <w:pPr>
              <w:autoSpaceDN w:val="0"/>
              <w:spacing w:line="300" w:lineRule="exact"/>
              <w:jc w:val="center"/>
              <w:textAlignment w:val="center"/>
              <w:rPr>
                <w:rFonts w:hint="eastAsia" w:ascii="宋体" w:hAnsi="宋体"/>
                <w:color w:val="000000"/>
                <w:sz w:val="18"/>
                <w:szCs w:val="18"/>
                <w:lang w:eastAsia="zh-CN"/>
              </w:rPr>
            </w:pPr>
            <w:r>
              <w:rPr>
                <w:rFonts w:hint="eastAsia" w:ascii="宋体" w:hAnsi="宋体"/>
                <w:color w:val="000000"/>
                <w:sz w:val="18"/>
                <w:szCs w:val="18"/>
                <w:lang w:eastAsia="zh-CN"/>
              </w:rPr>
              <w:t>社会群众满意度</w:t>
            </w:r>
          </w:p>
        </w:tc>
        <w:tc>
          <w:tcPr>
            <w:tcW w:w="1335" w:type="dxa"/>
            <w:tcBorders>
              <w:top w:val="single" w:color="000000" w:sz="4" w:space="0"/>
              <w:left w:val="single" w:color="000000" w:sz="4" w:space="0"/>
              <w:bottom w:val="single" w:color="auto" w:sz="4" w:space="0"/>
              <w:right w:val="single" w:color="000000" w:sz="4" w:space="0"/>
            </w:tcBorders>
            <w:vAlign w:val="center"/>
          </w:tcPr>
          <w:p w14:paraId="55EF8057">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c>
          <w:tcPr>
            <w:tcW w:w="784" w:type="dxa"/>
            <w:tcBorders>
              <w:top w:val="single" w:color="000000" w:sz="4" w:space="0"/>
              <w:left w:val="single" w:color="000000" w:sz="4" w:space="0"/>
              <w:bottom w:val="single" w:color="auto" w:sz="4" w:space="0"/>
              <w:right w:val="single" w:color="000000" w:sz="4" w:space="0"/>
            </w:tcBorders>
            <w:vAlign w:val="center"/>
          </w:tcPr>
          <w:p w14:paraId="36EBF3D9">
            <w:pPr>
              <w:tabs>
                <w:tab w:val="left" w:pos="202"/>
              </w:tabs>
              <w:autoSpaceDN w:val="0"/>
              <w:spacing w:line="300" w:lineRule="exact"/>
              <w:ind w:firstLine="180" w:firstLineChars="100"/>
              <w:jc w:val="left"/>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r>
      <w:tr w14:paraId="0FF97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tcBorders>
              <w:top w:val="single" w:color="000000" w:sz="4" w:space="0"/>
              <w:left w:val="single" w:color="000000" w:sz="4" w:space="0"/>
              <w:bottom w:val="single" w:color="000000" w:sz="4" w:space="0"/>
              <w:right w:val="single" w:color="000000" w:sz="4" w:space="0"/>
            </w:tcBorders>
            <w:vAlign w:val="center"/>
          </w:tcPr>
          <w:p w14:paraId="49F9335A">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总分</w:t>
            </w:r>
          </w:p>
        </w:tc>
        <w:tc>
          <w:tcPr>
            <w:tcW w:w="749" w:type="dxa"/>
            <w:gridSpan w:val="3"/>
            <w:tcBorders>
              <w:top w:val="single" w:color="000000" w:sz="4" w:space="0"/>
              <w:left w:val="single" w:color="000000" w:sz="4" w:space="0"/>
              <w:bottom w:val="single" w:color="000000" w:sz="4" w:space="0"/>
              <w:right w:val="single" w:color="000000" w:sz="4" w:space="0"/>
            </w:tcBorders>
            <w:vAlign w:val="center"/>
          </w:tcPr>
          <w:p w14:paraId="468F79A4">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100</w:t>
            </w:r>
          </w:p>
        </w:tc>
        <w:tc>
          <w:tcPr>
            <w:tcW w:w="1597" w:type="dxa"/>
            <w:tcBorders>
              <w:top w:val="single" w:color="000000" w:sz="4" w:space="0"/>
              <w:left w:val="single" w:color="000000" w:sz="4" w:space="0"/>
              <w:bottom w:val="single" w:color="000000" w:sz="4" w:space="0"/>
              <w:right w:val="single" w:color="000000" w:sz="4" w:space="0"/>
            </w:tcBorders>
            <w:vAlign w:val="center"/>
          </w:tcPr>
          <w:p w14:paraId="690F8880">
            <w:pPr>
              <w:autoSpaceDN w:val="0"/>
              <w:spacing w:line="300" w:lineRule="exact"/>
              <w:jc w:val="center"/>
              <w:textAlignment w:val="center"/>
              <w:rPr>
                <w:rFonts w:ascii="宋体" w:hAnsi="宋体"/>
                <w:bCs/>
                <w:color w:val="000000"/>
                <w:sz w:val="18"/>
                <w:szCs w:val="18"/>
              </w:rPr>
            </w:pPr>
          </w:p>
        </w:tc>
        <w:tc>
          <w:tcPr>
            <w:tcW w:w="623" w:type="dxa"/>
            <w:tcBorders>
              <w:top w:val="single" w:color="000000" w:sz="4" w:space="0"/>
              <w:left w:val="single" w:color="000000" w:sz="4" w:space="0"/>
              <w:bottom w:val="single" w:color="000000" w:sz="4" w:space="0"/>
              <w:right w:val="single" w:color="000000" w:sz="4" w:space="0"/>
            </w:tcBorders>
            <w:vAlign w:val="center"/>
          </w:tcPr>
          <w:p w14:paraId="613C5FFB">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100</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68777BAC">
            <w:pPr>
              <w:autoSpaceDN w:val="0"/>
              <w:spacing w:line="300" w:lineRule="exact"/>
              <w:jc w:val="center"/>
              <w:textAlignment w:val="center"/>
              <w:rPr>
                <w:rFonts w:ascii="宋体" w:hAnsi="宋体"/>
                <w:bCs/>
                <w:color w:val="000000"/>
                <w:sz w:val="18"/>
                <w:szCs w:val="18"/>
              </w:rPr>
            </w:pPr>
          </w:p>
        </w:tc>
        <w:tc>
          <w:tcPr>
            <w:tcW w:w="1335" w:type="dxa"/>
            <w:tcBorders>
              <w:top w:val="single" w:color="000000" w:sz="4" w:space="0"/>
              <w:left w:val="single" w:color="000000" w:sz="4" w:space="0"/>
              <w:bottom w:val="single" w:color="000000" w:sz="4" w:space="0"/>
              <w:right w:val="single" w:color="000000" w:sz="4" w:space="0"/>
            </w:tcBorders>
            <w:vAlign w:val="center"/>
          </w:tcPr>
          <w:p w14:paraId="4342A671">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100</w:t>
            </w:r>
          </w:p>
        </w:tc>
        <w:tc>
          <w:tcPr>
            <w:tcW w:w="784" w:type="dxa"/>
            <w:tcBorders>
              <w:top w:val="single" w:color="000000" w:sz="4" w:space="0"/>
              <w:left w:val="single" w:color="000000" w:sz="4" w:space="0"/>
              <w:bottom w:val="single" w:color="000000" w:sz="4" w:space="0"/>
              <w:right w:val="single" w:color="000000" w:sz="4" w:space="0"/>
            </w:tcBorders>
            <w:vAlign w:val="center"/>
          </w:tcPr>
          <w:p w14:paraId="6D250A25">
            <w:pPr>
              <w:autoSpaceDN w:val="0"/>
              <w:spacing w:line="300" w:lineRule="exact"/>
              <w:jc w:val="center"/>
              <w:textAlignment w:val="center"/>
              <w:rPr>
                <w:rFonts w:hint="eastAsia" w:ascii="宋体" w:hAnsi="宋体" w:eastAsia="宋体"/>
                <w:bCs/>
                <w:color w:val="000000"/>
                <w:sz w:val="18"/>
                <w:szCs w:val="18"/>
                <w:lang w:eastAsia="zh-CN"/>
              </w:rPr>
            </w:pPr>
            <w:r>
              <w:rPr>
                <w:rFonts w:hint="eastAsia" w:ascii="宋体" w:hAnsi="宋体"/>
                <w:bCs/>
                <w:color w:val="000000"/>
                <w:sz w:val="18"/>
                <w:szCs w:val="18"/>
              </w:rPr>
              <w:t>9</w:t>
            </w:r>
            <w:r>
              <w:rPr>
                <w:rFonts w:hint="eastAsia" w:ascii="宋体" w:hAnsi="宋体"/>
                <w:bCs/>
                <w:color w:val="000000"/>
                <w:sz w:val="18"/>
                <w:szCs w:val="18"/>
                <w:lang w:val="en-US" w:eastAsia="zh-CN"/>
              </w:rPr>
              <w:t>5</w:t>
            </w:r>
          </w:p>
        </w:tc>
      </w:tr>
      <w:tr w14:paraId="3B99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413" w:type="dxa"/>
            <w:vMerge w:val="restart"/>
            <w:vAlign w:val="center"/>
          </w:tcPr>
          <w:p w14:paraId="315D83EA">
            <w:pPr>
              <w:spacing w:line="300" w:lineRule="exact"/>
              <w:jc w:val="center"/>
              <w:rPr>
                <w:rFonts w:ascii="宋体" w:hAnsi="宋体"/>
                <w:sz w:val="18"/>
                <w:szCs w:val="18"/>
              </w:rPr>
            </w:pPr>
            <w:r>
              <w:rPr>
                <w:rFonts w:hint="eastAsia" w:ascii="宋体" w:hAnsi="宋体"/>
                <w:sz w:val="18"/>
                <w:szCs w:val="18"/>
              </w:rPr>
              <w:t>评价等次</w:t>
            </w:r>
          </w:p>
        </w:tc>
        <w:tc>
          <w:tcPr>
            <w:tcW w:w="7602" w:type="dxa"/>
            <w:gridSpan w:val="11"/>
            <w:vAlign w:val="center"/>
          </w:tcPr>
          <w:p w14:paraId="592C224C">
            <w:pPr>
              <w:spacing w:line="300" w:lineRule="exact"/>
              <w:jc w:val="center"/>
              <w:rPr>
                <w:rFonts w:ascii="宋体" w:hAnsi="宋体"/>
                <w:sz w:val="18"/>
                <w:szCs w:val="18"/>
              </w:rPr>
            </w:pPr>
            <w:r>
              <w:rPr>
                <w:rFonts w:hint="eastAsia" w:ascii="宋体" w:hAnsi="宋体" w:cs="宋体"/>
                <w:color w:val="000000"/>
                <w:kern w:val="0"/>
                <w:sz w:val="18"/>
                <w:szCs w:val="18"/>
              </w:rPr>
              <w:t>优</w:t>
            </w:r>
            <w:r>
              <w:rPr>
                <w:rFonts w:hint="eastAsia" w:ascii="宋体" w:hAnsi="宋体" w:cs="宋体"/>
                <w:color w:val="000000"/>
                <w:kern w:val="0"/>
                <w:sz w:val="18"/>
                <w:szCs w:val="18"/>
              </w:rPr>
              <w:sym w:font="Wingdings 2" w:char="F050"/>
            </w:r>
            <w:r>
              <w:rPr>
                <w:rFonts w:hint="eastAsia" w:ascii="宋体" w:hAnsi="宋体" w:cs="宋体"/>
                <w:color w:val="000000"/>
                <w:kern w:val="0"/>
                <w:sz w:val="18"/>
                <w:szCs w:val="18"/>
              </w:rPr>
              <w:t xml:space="preserve">        良□       中 □       差□</w:t>
            </w:r>
          </w:p>
        </w:tc>
      </w:tr>
      <w:tr w14:paraId="18715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413" w:type="dxa"/>
            <w:vMerge w:val="continue"/>
            <w:vAlign w:val="center"/>
          </w:tcPr>
          <w:p w14:paraId="2C02B079">
            <w:pPr>
              <w:spacing w:line="300" w:lineRule="exact"/>
              <w:jc w:val="center"/>
              <w:rPr>
                <w:rFonts w:ascii="宋体" w:hAnsi="宋体"/>
                <w:sz w:val="18"/>
                <w:szCs w:val="18"/>
              </w:rPr>
            </w:pPr>
          </w:p>
        </w:tc>
        <w:tc>
          <w:tcPr>
            <w:tcW w:w="7602" w:type="dxa"/>
            <w:gridSpan w:val="11"/>
            <w:vAlign w:val="center"/>
          </w:tcPr>
          <w:p w14:paraId="3D6B1890">
            <w:pPr>
              <w:spacing w:line="260" w:lineRule="exact"/>
              <w:jc w:val="center"/>
              <w:rPr>
                <w:rFonts w:ascii="宋体" w:hAnsi="宋体" w:cs="宋体"/>
                <w:color w:val="000000"/>
                <w:kern w:val="0"/>
                <w:sz w:val="18"/>
                <w:szCs w:val="18"/>
              </w:rPr>
            </w:pPr>
            <w:r>
              <w:rPr>
                <w:rFonts w:hint="eastAsia" w:ascii="宋体" w:hAnsi="宋体" w:cs="宋体"/>
                <w:color w:val="000000"/>
                <w:kern w:val="0"/>
                <w:sz w:val="18"/>
                <w:szCs w:val="18"/>
              </w:rPr>
              <w:t>100-90（含）分为优、90-80（含）分为良、80-60（含）分为中、60分以下为差</w:t>
            </w:r>
          </w:p>
        </w:tc>
      </w:tr>
      <w:tr w14:paraId="6D6A5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413" w:type="dxa"/>
            <w:vAlign w:val="center"/>
          </w:tcPr>
          <w:p w14:paraId="7F1912DA">
            <w:pPr>
              <w:spacing w:line="300" w:lineRule="exact"/>
              <w:jc w:val="center"/>
              <w:rPr>
                <w:rFonts w:ascii="宋体" w:hAnsi="宋体"/>
                <w:sz w:val="18"/>
                <w:szCs w:val="18"/>
              </w:rPr>
            </w:pPr>
            <w:r>
              <w:rPr>
                <w:rFonts w:hint="eastAsia" w:ascii="宋体" w:hAnsi="宋体"/>
                <w:sz w:val="18"/>
                <w:szCs w:val="18"/>
              </w:rPr>
              <w:t>问题和建议</w:t>
            </w:r>
          </w:p>
        </w:tc>
        <w:tc>
          <w:tcPr>
            <w:tcW w:w="7602" w:type="dxa"/>
            <w:gridSpan w:val="11"/>
          </w:tcPr>
          <w:p w14:paraId="25CA3F51">
            <w:pPr>
              <w:pStyle w:val="8"/>
              <w:ind w:firstLine="0" w:firstLineChars="0"/>
              <w:rPr>
                <w:rFonts w:ascii="宋体" w:hAnsi="宋体" w:cs="宋体"/>
                <w:color w:val="000000"/>
                <w:kern w:val="0"/>
                <w:sz w:val="18"/>
                <w:szCs w:val="18"/>
              </w:rPr>
            </w:pPr>
          </w:p>
          <w:p w14:paraId="0F9B3690">
            <w:pPr>
              <w:pStyle w:val="8"/>
              <w:ind w:firstLine="180"/>
              <w:rPr>
                <w:rFonts w:ascii="宋体" w:hAnsi="宋体" w:cs="宋体"/>
                <w:color w:val="000000"/>
                <w:kern w:val="0"/>
                <w:sz w:val="18"/>
                <w:szCs w:val="18"/>
              </w:rPr>
            </w:pPr>
            <w:r>
              <w:rPr>
                <w:rFonts w:hint="eastAsia" w:ascii="宋体" w:hAnsi="宋体" w:cs="宋体"/>
                <w:color w:val="000000"/>
                <w:kern w:val="0"/>
                <w:sz w:val="18"/>
                <w:szCs w:val="18"/>
              </w:rPr>
              <w:t>无</w:t>
            </w:r>
          </w:p>
        </w:tc>
      </w:tr>
      <w:tr w14:paraId="3AC76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015" w:type="dxa"/>
            <w:gridSpan w:val="12"/>
            <w:vAlign w:val="center"/>
          </w:tcPr>
          <w:p w14:paraId="6958B900">
            <w:pPr>
              <w:spacing w:line="260" w:lineRule="exact"/>
              <w:jc w:val="center"/>
              <w:rPr>
                <w:rFonts w:ascii="宋体" w:hAnsi="宋体" w:cs="宋体"/>
                <w:color w:val="000000"/>
                <w:kern w:val="0"/>
                <w:sz w:val="18"/>
                <w:szCs w:val="18"/>
              </w:rPr>
            </w:pPr>
            <w:r>
              <w:rPr>
                <w:rFonts w:hint="eastAsia" w:ascii="宋体" w:hAnsi="宋体" w:cs="宋体"/>
                <w:color w:val="000000"/>
                <w:kern w:val="0"/>
                <w:sz w:val="18"/>
                <w:szCs w:val="18"/>
              </w:rPr>
              <w:t>评价人员</w:t>
            </w:r>
          </w:p>
        </w:tc>
      </w:tr>
      <w:tr w14:paraId="79C3D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00" w:type="dxa"/>
            <w:gridSpan w:val="2"/>
            <w:vAlign w:val="center"/>
          </w:tcPr>
          <w:p w14:paraId="3FCF16F3">
            <w:pPr>
              <w:spacing w:line="260" w:lineRule="exact"/>
              <w:jc w:val="center"/>
              <w:rPr>
                <w:rFonts w:ascii="宋体" w:hAnsi="宋体" w:cs="宋体"/>
                <w:color w:val="000000"/>
                <w:kern w:val="0"/>
                <w:sz w:val="18"/>
                <w:szCs w:val="18"/>
              </w:rPr>
            </w:pPr>
            <w:r>
              <w:rPr>
                <w:rFonts w:hint="eastAsia" w:ascii="宋体" w:hAnsi="宋体" w:cs="宋体"/>
                <w:color w:val="000000"/>
                <w:kern w:val="0"/>
                <w:sz w:val="18"/>
                <w:szCs w:val="18"/>
              </w:rPr>
              <w:t>姓名</w:t>
            </w:r>
          </w:p>
        </w:tc>
        <w:tc>
          <w:tcPr>
            <w:tcW w:w="2159" w:type="dxa"/>
            <w:gridSpan w:val="3"/>
            <w:vAlign w:val="center"/>
          </w:tcPr>
          <w:p w14:paraId="334243B1">
            <w:pPr>
              <w:spacing w:line="260" w:lineRule="exact"/>
              <w:jc w:val="center"/>
              <w:rPr>
                <w:rFonts w:ascii="宋体" w:hAnsi="宋体" w:cs="宋体"/>
                <w:color w:val="000000"/>
                <w:kern w:val="0"/>
                <w:sz w:val="18"/>
                <w:szCs w:val="18"/>
              </w:rPr>
            </w:pPr>
            <w:r>
              <w:rPr>
                <w:rFonts w:hint="eastAsia" w:ascii="宋体" w:hAnsi="宋体" w:cs="宋体"/>
                <w:color w:val="000000"/>
                <w:kern w:val="0"/>
                <w:sz w:val="18"/>
                <w:szCs w:val="18"/>
              </w:rPr>
              <w:t>职务/职称</w:t>
            </w:r>
          </w:p>
        </w:tc>
        <w:tc>
          <w:tcPr>
            <w:tcW w:w="2832" w:type="dxa"/>
            <w:gridSpan w:val="4"/>
            <w:vAlign w:val="center"/>
          </w:tcPr>
          <w:p w14:paraId="5E954DA5">
            <w:pPr>
              <w:spacing w:line="260" w:lineRule="exact"/>
              <w:jc w:val="center"/>
              <w:rPr>
                <w:rFonts w:ascii="宋体" w:hAnsi="宋体" w:cs="宋体"/>
                <w:color w:val="000000"/>
                <w:kern w:val="0"/>
                <w:sz w:val="18"/>
                <w:szCs w:val="18"/>
              </w:rPr>
            </w:pPr>
            <w:r>
              <w:rPr>
                <w:rFonts w:hint="eastAsia" w:ascii="宋体" w:hAnsi="宋体" w:cs="宋体"/>
                <w:color w:val="000000"/>
                <w:kern w:val="0"/>
                <w:sz w:val="18"/>
                <w:szCs w:val="18"/>
              </w:rPr>
              <w:t>单位</w:t>
            </w:r>
          </w:p>
        </w:tc>
        <w:tc>
          <w:tcPr>
            <w:tcW w:w="2424" w:type="dxa"/>
            <w:gridSpan w:val="3"/>
            <w:vAlign w:val="center"/>
          </w:tcPr>
          <w:p w14:paraId="043C7F07">
            <w:pPr>
              <w:spacing w:line="260" w:lineRule="exact"/>
              <w:jc w:val="center"/>
              <w:rPr>
                <w:rFonts w:ascii="宋体" w:hAnsi="宋体" w:cs="宋体"/>
                <w:color w:val="000000"/>
                <w:kern w:val="0"/>
                <w:sz w:val="18"/>
                <w:szCs w:val="18"/>
              </w:rPr>
            </w:pPr>
            <w:r>
              <w:rPr>
                <w:rFonts w:hint="eastAsia" w:ascii="宋体" w:hAnsi="宋体" w:cs="宋体"/>
                <w:color w:val="000000"/>
                <w:kern w:val="0"/>
                <w:sz w:val="18"/>
                <w:szCs w:val="18"/>
              </w:rPr>
              <w:t>签字</w:t>
            </w:r>
          </w:p>
        </w:tc>
      </w:tr>
      <w:tr w14:paraId="1F882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00" w:type="dxa"/>
            <w:gridSpan w:val="2"/>
            <w:vAlign w:val="center"/>
          </w:tcPr>
          <w:p w14:paraId="74538D83">
            <w:pPr>
              <w:spacing w:line="260" w:lineRule="exact"/>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牛勇</w:t>
            </w:r>
          </w:p>
        </w:tc>
        <w:tc>
          <w:tcPr>
            <w:tcW w:w="2159" w:type="dxa"/>
            <w:gridSpan w:val="3"/>
          </w:tcPr>
          <w:p w14:paraId="719A2C33">
            <w:pPr>
              <w:spacing w:line="260" w:lineRule="exac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秘书长、办公室主任</w:t>
            </w:r>
          </w:p>
        </w:tc>
        <w:tc>
          <w:tcPr>
            <w:tcW w:w="2832" w:type="dxa"/>
            <w:gridSpan w:val="4"/>
          </w:tcPr>
          <w:p w14:paraId="3C5279CA">
            <w:pPr>
              <w:spacing w:line="260" w:lineRule="exac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五华区政协</w:t>
            </w:r>
          </w:p>
        </w:tc>
        <w:tc>
          <w:tcPr>
            <w:tcW w:w="2424" w:type="dxa"/>
            <w:gridSpan w:val="3"/>
          </w:tcPr>
          <w:p w14:paraId="7E49CD58">
            <w:pPr>
              <w:spacing w:line="260" w:lineRule="exact"/>
              <w:rPr>
                <w:rFonts w:ascii="宋体" w:hAnsi="宋体" w:cs="宋体"/>
                <w:color w:val="000000"/>
                <w:kern w:val="0"/>
                <w:sz w:val="18"/>
                <w:szCs w:val="18"/>
              </w:rPr>
            </w:pPr>
          </w:p>
        </w:tc>
      </w:tr>
      <w:tr w14:paraId="2029D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00" w:type="dxa"/>
            <w:gridSpan w:val="2"/>
            <w:vAlign w:val="center"/>
          </w:tcPr>
          <w:p w14:paraId="543E68D7">
            <w:pPr>
              <w:spacing w:line="260" w:lineRule="exac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严俊</w:t>
            </w:r>
          </w:p>
        </w:tc>
        <w:tc>
          <w:tcPr>
            <w:tcW w:w="2159" w:type="dxa"/>
            <w:gridSpan w:val="3"/>
          </w:tcPr>
          <w:p w14:paraId="6D3C522D">
            <w:pPr>
              <w:spacing w:line="260" w:lineRule="exac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办公室副主任</w:t>
            </w:r>
          </w:p>
        </w:tc>
        <w:tc>
          <w:tcPr>
            <w:tcW w:w="2832" w:type="dxa"/>
            <w:gridSpan w:val="4"/>
          </w:tcPr>
          <w:p w14:paraId="5BFB1324">
            <w:pPr>
              <w:spacing w:line="260" w:lineRule="exac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五华区政协</w:t>
            </w:r>
          </w:p>
        </w:tc>
        <w:tc>
          <w:tcPr>
            <w:tcW w:w="2424" w:type="dxa"/>
            <w:gridSpan w:val="3"/>
          </w:tcPr>
          <w:p w14:paraId="1C4B75F3">
            <w:pPr>
              <w:spacing w:line="260" w:lineRule="exact"/>
              <w:rPr>
                <w:rFonts w:ascii="宋体" w:hAnsi="宋体" w:cs="宋体"/>
                <w:color w:val="000000"/>
                <w:kern w:val="0"/>
                <w:sz w:val="18"/>
                <w:szCs w:val="18"/>
              </w:rPr>
            </w:pPr>
          </w:p>
        </w:tc>
      </w:tr>
      <w:tr w14:paraId="04022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00" w:type="dxa"/>
            <w:gridSpan w:val="2"/>
            <w:vAlign w:val="center"/>
          </w:tcPr>
          <w:p w14:paraId="324D5384">
            <w:pPr>
              <w:spacing w:line="260" w:lineRule="exac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eastAsia="zh-CN"/>
              </w:rPr>
              <w:t>陈展俊</w:t>
            </w:r>
          </w:p>
        </w:tc>
        <w:tc>
          <w:tcPr>
            <w:tcW w:w="2159" w:type="dxa"/>
            <w:gridSpan w:val="3"/>
          </w:tcPr>
          <w:p w14:paraId="545699BA">
            <w:pPr>
              <w:spacing w:line="260" w:lineRule="exact"/>
              <w:rPr>
                <w:rFonts w:ascii="宋体" w:hAnsi="宋体" w:cs="宋体"/>
                <w:color w:val="000000"/>
                <w:kern w:val="0"/>
                <w:sz w:val="18"/>
                <w:szCs w:val="18"/>
              </w:rPr>
            </w:pPr>
          </w:p>
        </w:tc>
        <w:tc>
          <w:tcPr>
            <w:tcW w:w="2832" w:type="dxa"/>
            <w:gridSpan w:val="4"/>
          </w:tcPr>
          <w:p w14:paraId="4FE620D7">
            <w:pPr>
              <w:spacing w:line="260" w:lineRule="exac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五华区政协</w:t>
            </w:r>
          </w:p>
        </w:tc>
        <w:tc>
          <w:tcPr>
            <w:tcW w:w="2424" w:type="dxa"/>
            <w:gridSpan w:val="3"/>
          </w:tcPr>
          <w:p w14:paraId="7485ECB8">
            <w:pPr>
              <w:spacing w:line="260" w:lineRule="exact"/>
              <w:rPr>
                <w:rFonts w:ascii="宋体" w:hAnsi="宋体" w:cs="宋体"/>
                <w:color w:val="000000"/>
                <w:kern w:val="0"/>
                <w:sz w:val="18"/>
                <w:szCs w:val="18"/>
              </w:rPr>
            </w:pPr>
          </w:p>
        </w:tc>
      </w:tr>
      <w:tr w14:paraId="77376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00" w:type="dxa"/>
            <w:gridSpan w:val="2"/>
            <w:vAlign w:val="center"/>
          </w:tcPr>
          <w:p w14:paraId="189A60C5">
            <w:pPr>
              <w:spacing w:line="260" w:lineRule="exact"/>
              <w:rPr>
                <w:rFonts w:ascii="宋体" w:hAnsi="宋体" w:cs="宋体"/>
                <w:color w:val="000000"/>
                <w:kern w:val="0"/>
                <w:sz w:val="18"/>
                <w:szCs w:val="18"/>
              </w:rPr>
            </w:pPr>
          </w:p>
        </w:tc>
        <w:tc>
          <w:tcPr>
            <w:tcW w:w="2159" w:type="dxa"/>
            <w:gridSpan w:val="3"/>
          </w:tcPr>
          <w:p w14:paraId="72B232CE">
            <w:pPr>
              <w:spacing w:line="260" w:lineRule="exact"/>
              <w:rPr>
                <w:rFonts w:ascii="宋体" w:hAnsi="宋体" w:cs="宋体"/>
                <w:color w:val="000000"/>
                <w:kern w:val="0"/>
                <w:sz w:val="18"/>
                <w:szCs w:val="18"/>
              </w:rPr>
            </w:pPr>
          </w:p>
        </w:tc>
        <w:tc>
          <w:tcPr>
            <w:tcW w:w="2832" w:type="dxa"/>
            <w:gridSpan w:val="4"/>
          </w:tcPr>
          <w:p w14:paraId="59C87A3A">
            <w:pPr>
              <w:spacing w:line="260" w:lineRule="exact"/>
              <w:rPr>
                <w:rFonts w:ascii="宋体" w:hAnsi="宋体" w:cs="宋体"/>
                <w:color w:val="000000"/>
                <w:kern w:val="0"/>
                <w:sz w:val="18"/>
                <w:szCs w:val="18"/>
              </w:rPr>
            </w:pPr>
          </w:p>
        </w:tc>
        <w:tc>
          <w:tcPr>
            <w:tcW w:w="2424" w:type="dxa"/>
            <w:gridSpan w:val="3"/>
          </w:tcPr>
          <w:p w14:paraId="4F9D2C21">
            <w:pPr>
              <w:spacing w:line="260" w:lineRule="exact"/>
              <w:rPr>
                <w:rFonts w:ascii="宋体" w:hAnsi="宋体" w:cs="宋体"/>
                <w:color w:val="000000"/>
                <w:kern w:val="0"/>
                <w:sz w:val="18"/>
                <w:szCs w:val="18"/>
              </w:rPr>
            </w:pPr>
          </w:p>
        </w:tc>
      </w:tr>
      <w:tr w14:paraId="328A3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00" w:type="dxa"/>
            <w:gridSpan w:val="2"/>
            <w:vAlign w:val="center"/>
          </w:tcPr>
          <w:p w14:paraId="52324128">
            <w:pPr>
              <w:spacing w:line="260" w:lineRule="exact"/>
              <w:rPr>
                <w:rFonts w:ascii="宋体" w:hAnsi="宋体" w:cs="宋体"/>
                <w:color w:val="000000"/>
                <w:kern w:val="0"/>
                <w:sz w:val="18"/>
                <w:szCs w:val="18"/>
              </w:rPr>
            </w:pPr>
          </w:p>
        </w:tc>
        <w:tc>
          <w:tcPr>
            <w:tcW w:w="2159" w:type="dxa"/>
            <w:gridSpan w:val="3"/>
          </w:tcPr>
          <w:p w14:paraId="452C911B">
            <w:pPr>
              <w:spacing w:line="260" w:lineRule="exact"/>
              <w:rPr>
                <w:rFonts w:ascii="宋体" w:hAnsi="宋体" w:cs="宋体"/>
                <w:color w:val="000000"/>
                <w:kern w:val="0"/>
                <w:sz w:val="18"/>
                <w:szCs w:val="18"/>
              </w:rPr>
            </w:pPr>
          </w:p>
        </w:tc>
        <w:tc>
          <w:tcPr>
            <w:tcW w:w="2832" w:type="dxa"/>
            <w:gridSpan w:val="4"/>
          </w:tcPr>
          <w:p w14:paraId="5D2F453A">
            <w:pPr>
              <w:spacing w:line="260" w:lineRule="exact"/>
              <w:rPr>
                <w:rFonts w:ascii="宋体" w:hAnsi="宋体" w:cs="宋体"/>
                <w:color w:val="000000"/>
                <w:kern w:val="0"/>
                <w:sz w:val="18"/>
                <w:szCs w:val="18"/>
              </w:rPr>
            </w:pPr>
          </w:p>
        </w:tc>
        <w:tc>
          <w:tcPr>
            <w:tcW w:w="2424" w:type="dxa"/>
            <w:gridSpan w:val="3"/>
          </w:tcPr>
          <w:p w14:paraId="644C9168">
            <w:pPr>
              <w:spacing w:line="260" w:lineRule="exact"/>
              <w:rPr>
                <w:rFonts w:ascii="宋体" w:hAnsi="宋体" w:cs="宋体"/>
                <w:color w:val="000000"/>
                <w:kern w:val="0"/>
                <w:sz w:val="18"/>
                <w:szCs w:val="18"/>
              </w:rPr>
            </w:pPr>
          </w:p>
        </w:tc>
      </w:tr>
      <w:tr w14:paraId="74D37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015" w:type="dxa"/>
            <w:gridSpan w:val="12"/>
            <w:vAlign w:val="center"/>
          </w:tcPr>
          <w:p w14:paraId="542F36FD">
            <w:pPr>
              <w:spacing w:line="400" w:lineRule="exact"/>
            </w:pPr>
            <w:r>
              <w:rPr>
                <w:rFonts w:hint="eastAsia"/>
              </w:rPr>
              <w:t xml:space="preserve">填报人（签字）：                                      年   </w:t>
            </w:r>
            <w:r>
              <w:rPr>
                <w:rFonts w:hint="eastAsia"/>
                <w:lang w:val="en-US" w:eastAsia="zh-CN"/>
              </w:rPr>
              <w:t xml:space="preserve">  </w:t>
            </w:r>
            <w:r>
              <w:rPr>
                <w:rFonts w:hint="eastAsia"/>
              </w:rPr>
              <w:t xml:space="preserve">月  </w:t>
            </w:r>
            <w:r>
              <w:rPr>
                <w:rFonts w:hint="eastAsia"/>
                <w:lang w:val="en-US" w:eastAsia="zh-CN"/>
              </w:rPr>
              <w:t xml:space="preserve">  </w:t>
            </w:r>
            <w:r>
              <w:rPr>
                <w:rFonts w:hint="eastAsia"/>
              </w:rPr>
              <w:t xml:space="preserve"> 日                                        </w:t>
            </w:r>
          </w:p>
          <w:p w14:paraId="6F6B5401">
            <w:pPr>
              <w:spacing w:line="400" w:lineRule="exact"/>
            </w:pPr>
            <w:r>
              <w:rPr>
                <w:rFonts w:hint="eastAsia"/>
              </w:rPr>
              <w:t xml:space="preserve">评价组组长（签字）：                                  年  </w:t>
            </w:r>
            <w:r>
              <w:rPr>
                <w:rFonts w:hint="eastAsia"/>
                <w:lang w:val="en-US" w:eastAsia="zh-CN"/>
              </w:rPr>
              <w:t xml:space="preserve">  </w:t>
            </w:r>
            <w:r>
              <w:rPr>
                <w:rFonts w:hint="eastAsia"/>
              </w:rPr>
              <w:t xml:space="preserve"> 月 </w:t>
            </w:r>
            <w:r>
              <w:rPr>
                <w:rFonts w:hint="eastAsia"/>
                <w:lang w:val="en-US" w:eastAsia="zh-CN"/>
              </w:rPr>
              <w:t xml:space="preserve">  </w:t>
            </w:r>
            <w:r>
              <w:rPr>
                <w:rFonts w:hint="eastAsia"/>
              </w:rPr>
              <w:t xml:space="preserve">  日</w:t>
            </w:r>
          </w:p>
          <w:p w14:paraId="1E53C436">
            <w:pPr>
              <w:spacing w:line="400" w:lineRule="exact"/>
            </w:pPr>
            <w:r>
              <w:rPr>
                <w:rFonts w:hint="eastAsia"/>
              </w:rPr>
              <w:t xml:space="preserve">评价部门负责人（签字并盖章）：                        年   </w:t>
            </w:r>
            <w:r>
              <w:rPr>
                <w:rFonts w:hint="eastAsia"/>
                <w:lang w:val="en-US" w:eastAsia="zh-CN"/>
              </w:rPr>
              <w:t xml:space="preserve">  </w:t>
            </w:r>
            <w:r>
              <w:rPr>
                <w:rFonts w:hint="eastAsia"/>
              </w:rPr>
              <w:t xml:space="preserve">月  </w:t>
            </w:r>
            <w:r>
              <w:rPr>
                <w:rFonts w:hint="eastAsia"/>
                <w:lang w:val="en-US" w:eastAsia="zh-CN"/>
              </w:rPr>
              <w:t xml:space="preserve">  </w:t>
            </w:r>
            <w:r>
              <w:rPr>
                <w:rFonts w:hint="eastAsia"/>
              </w:rPr>
              <w:t xml:space="preserve"> 日</w:t>
            </w:r>
          </w:p>
        </w:tc>
      </w:tr>
    </w:tbl>
    <w:p w14:paraId="21AC2688">
      <w:pPr>
        <w:rPr>
          <w:rFonts w:ascii="仿宋_GB2312" w:hAnsi="仿宋_GB2312" w:eastAsia="仿宋_GB2312" w:cs="仿宋_GB2312"/>
          <w:b/>
          <w:bCs/>
        </w:rPr>
      </w:pPr>
      <w:r>
        <w:rPr>
          <w:rFonts w:hint="eastAsia" w:ascii="仿宋_GB2312" w:hAnsi="仿宋_GB2312" w:eastAsia="仿宋_GB2312" w:cs="仿宋_GB2312"/>
          <w:b/>
          <w:bCs/>
        </w:rPr>
        <w:t>注：绩效评价指标可参考《云南省项目支出绩效评价管理办法》中附件2：《项目支出绩效评价指标体系框架》设置。</w:t>
      </w:r>
    </w:p>
    <w:p w14:paraId="146FFB42">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eastAsia="zh-CN"/>
        </w:rPr>
      </w:pPr>
    </w:p>
    <w:p w14:paraId="16AC6A08">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8：</w:t>
      </w:r>
    </w:p>
    <w:p w14:paraId="2EA9C442">
      <w:pPr>
        <w:keepNext w:val="0"/>
        <w:keepLines w:val="0"/>
        <w:pageBreakBefore w:val="0"/>
        <w:widowControl w:val="0"/>
        <w:kinsoku/>
        <w:wordWrap/>
        <w:overflowPunct/>
        <w:topLinePunct w:val="0"/>
        <w:autoSpaceDE/>
        <w:autoSpaceDN/>
        <w:bidi w:val="0"/>
        <w:adjustRightInd/>
        <w:snapToGrid/>
        <w:spacing w:after="0" w:line="560" w:lineRule="exact"/>
        <w:ind w:left="0" w:right="0" w:firstLine="880" w:firstLineChars="200"/>
        <w:jc w:val="both"/>
        <w:textAlignment w:val="auto"/>
        <w:rPr>
          <w:rFonts w:hint="eastAsia" w:ascii="方正小标宋简体" w:hAnsi="方正小标宋简体" w:eastAsia="方正小标宋简体" w:cs="方正小标宋简体"/>
          <w:color w:val="auto"/>
          <w:sz w:val="44"/>
          <w:szCs w:val="44"/>
        </w:rPr>
      </w:pPr>
    </w:p>
    <w:p w14:paraId="23B85FAE">
      <w:pPr>
        <w:keepNext w:val="0"/>
        <w:keepLines w:val="0"/>
        <w:pageBreakBefore w:val="0"/>
        <w:widowControl w:val="0"/>
        <w:kinsoku/>
        <w:wordWrap/>
        <w:overflowPunct/>
        <w:topLinePunct w:val="0"/>
        <w:autoSpaceDE/>
        <w:autoSpaceDN/>
        <w:bidi w:val="0"/>
        <w:adjustRightInd/>
        <w:snapToGrid/>
        <w:spacing w:after="0" w:line="560" w:lineRule="exact"/>
        <w:ind w:right="0"/>
        <w:jc w:val="center"/>
        <w:textAlignment w:val="auto"/>
        <w:rPr>
          <w:color w:val="auto"/>
          <w:sz w:val="30"/>
          <w:szCs w:val="30"/>
        </w:rPr>
      </w:pPr>
      <w:r>
        <w:rPr>
          <w:rFonts w:hint="eastAsia" w:ascii="方正小标宋简体" w:hAnsi="方正小标宋简体" w:eastAsia="方正小标宋简体" w:cs="方正小标宋简体"/>
          <w:color w:val="auto"/>
          <w:sz w:val="44"/>
          <w:szCs w:val="44"/>
        </w:rPr>
        <w:t>项目支出绩效评价报告</w:t>
      </w:r>
    </w:p>
    <w:p w14:paraId="76611960">
      <w:pPr>
        <w:keepNext w:val="0"/>
        <w:keepLines w:val="0"/>
        <w:pageBreakBefore w:val="0"/>
        <w:widowControl w:val="0"/>
        <w:kinsoku/>
        <w:wordWrap/>
        <w:overflowPunct/>
        <w:topLinePunct w:val="0"/>
        <w:autoSpaceDE/>
        <w:autoSpaceDN/>
        <w:bidi w:val="0"/>
        <w:adjustRightInd/>
        <w:snapToGrid/>
        <w:spacing w:after="0" w:line="560" w:lineRule="exact"/>
        <w:ind w:right="0" w:firstLine="600" w:firstLineChars="200"/>
        <w:jc w:val="both"/>
        <w:textAlignment w:val="auto"/>
        <w:rPr>
          <w:rFonts w:hint="eastAsia" w:ascii="仿宋_GB2312" w:hAnsi="仿宋_GB2312" w:eastAsia="仿宋_GB2312" w:cs="仿宋_GB2312"/>
          <w:color w:val="auto"/>
          <w:sz w:val="30"/>
          <w:szCs w:val="30"/>
          <w:lang w:val="en-US" w:eastAsia="zh-CN"/>
        </w:rPr>
      </w:pPr>
    </w:p>
    <w:p w14:paraId="28908938">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一、基本情况</w:t>
      </w:r>
    </w:p>
    <w:p w14:paraId="4BEAE06E">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（一）项目概况。</w:t>
      </w:r>
    </w:p>
    <w:p w14:paraId="45100F81">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32"/>
          <w:sz w:val="32"/>
          <w:szCs w:val="32"/>
          <w:lang w:eastAsia="zh-CN"/>
        </w:rPr>
      </w:pPr>
      <w:r>
        <w:rPr>
          <w:rFonts w:hint="default" w:ascii="Times New Roman" w:hAnsi="Times New Roman" w:eastAsia="仿宋_GB2312" w:cs="Times New Roman"/>
          <w:snapToGrid w:val="0"/>
          <w:color w:val="auto"/>
          <w:kern w:val="32"/>
          <w:sz w:val="32"/>
          <w:szCs w:val="32"/>
        </w:rPr>
        <w:t>2025年，</w:t>
      </w:r>
      <w:r>
        <w:rPr>
          <w:rFonts w:hint="eastAsia" w:ascii="Times New Roman" w:hAnsi="Times New Roman" w:eastAsia="仿宋_GB2312" w:cs="Times New Roman"/>
          <w:snapToGrid w:val="0"/>
          <w:color w:val="auto"/>
          <w:kern w:val="32"/>
          <w:sz w:val="32"/>
          <w:szCs w:val="32"/>
          <w:lang w:eastAsia="zh-CN"/>
        </w:rPr>
        <w:t>区政协办</w:t>
      </w:r>
      <w:r>
        <w:rPr>
          <w:rFonts w:hint="default" w:ascii="Times New Roman" w:hAnsi="Times New Roman" w:eastAsia="仿宋_GB2312" w:cs="Times New Roman"/>
          <w:snapToGrid w:val="0"/>
          <w:color w:val="auto"/>
          <w:kern w:val="32"/>
          <w:sz w:val="32"/>
          <w:szCs w:val="32"/>
        </w:rPr>
        <w:t>以习近平新时代中国特色社会主义思想为指导，全面贯彻中共二十大和二十届</w:t>
      </w:r>
      <w:r>
        <w:rPr>
          <w:rFonts w:hint="default" w:ascii="Times New Roman" w:hAnsi="Times New Roman" w:eastAsia="仿宋_GB2312" w:cs="Times New Roman"/>
          <w:snapToGrid w:val="0"/>
          <w:color w:val="auto"/>
          <w:kern w:val="32"/>
          <w:sz w:val="32"/>
          <w:szCs w:val="32"/>
          <w:lang w:val="en-US" w:eastAsia="zh-CN"/>
        </w:rPr>
        <w:t>历次</w:t>
      </w:r>
      <w:r>
        <w:rPr>
          <w:rFonts w:hint="default" w:ascii="Times New Roman" w:hAnsi="Times New Roman" w:eastAsia="仿宋_GB2312" w:cs="Times New Roman"/>
          <w:snapToGrid w:val="0"/>
          <w:color w:val="auto"/>
          <w:kern w:val="32"/>
          <w:sz w:val="32"/>
          <w:szCs w:val="32"/>
        </w:rPr>
        <w:t>全会精神，深入落实习近平总书记考察云南重要讲话精神，</w:t>
      </w:r>
      <w:r>
        <w:rPr>
          <w:rFonts w:hint="eastAsia" w:ascii="Times New Roman" w:hAnsi="Times New Roman" w:eastAsia="仿宋_GB2312" w:cs="Times New Roman"/>
          <w:snapToGrid w:val="0"/>
          <w:color w:val="auto"/>
          <w:kern w:val="32"/>
          <w:sz w:val="32"/>
          <w:szCs w:val="32"/>
          <w:lang w:eastAsia="zh-CN"/>
        </w:rPr>
        <w:t>围绕区政协十届四次全会确定的目标任务，坚持把加强思想政治引领，广泛凝聚共识作为工作重点，较好完成了全年工作任务，为五华经济社会发展作出了积极贡献</w:t>
      </w:r>
      <w:r>
        <w:rPr>
          <w:rFonts w:hint="default" w:ascii="Times New Roman" w:hAnsi="Times New Roman" w:eastAsia="仿宋_GB2312" w:cs="Times New Roman"/>
          <w:snapToGrid w:val="0"/>
          <w:color w:val="auto"/>
          <w:kern w:val="32"/>
          <w:sz w:val="32"/>
          <w:szCs w:val="32"/>
        </w:rPr>
        <w:t>。</w:t>
      </w:r>
    </w:p>
    <w:p w14:paraId="316F17EB">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val="en-US" w:eastAsia="zh-CN"/>
        </w:rPr>
      </w:pPr>
      <w:r>
        <w:rPr>
          <w:rFonts w:hint="eastAsia" w:ascii="Times New Roman" w:hAnsi="Times New Roman" w:eastAsia="仿宋_GB2312" w:cs="Times New Roman"/>
          <w:snapToGrid w:val="0"/>
          <w:color w:val="000000"/>
          <w:kern w:val="32"/>
          <w:sz w:val="32"/>
          <w:szCs w:val="32"/>
          <w:lang w:val="en-US" w:eastAsia="zh-CN"/>
        </w:rPr>
        <w:t>1</w:t>
      </w:r>
      <w:r>
        <w:rPr>
          <w:rFonts w:hint="default" w:ascii="Times New Roman" w:hAnsi="Times New Roman" w:eastAsia="仿宋_GB2312" w:cs="Times New Roman"/>
          <w:snapToGrid w:val="0"/>
          <w:color w:val="000000"/>
          <w:kern w:val="32"/>
          <w:sz w:val="32"/>
          <w:szCs w:val="32"/>
          <w:lang w:val="en-US" w:eastAsia="zh-CN"/>
        </w:rPr>
        <w:t>、强化政治引领，筑牢</w:t>
      </w:r>
      <w:r>
        <w:rPr>
          <w:rFonts w:hint="eastAsia"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snapToGrid w:val="0"/>
          <w:color w:val="000000"/>
          <w:kern w:val="32"/>
          <w:sz w:val="32"/>
          <w:szCs w:val="32"/>
          <w:lang w:val="en-US" w:eastAsia="zh-CN"/>
        </w:rPr>
        <w:t>同心向党</w:t>
      </w:r>
      <w:r>
        <w:rPr>
          <w:rFonts w:hint="eastAsia"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snapToGrid w:val="0"/>
          <w:color w:val="000000"/>
          <w:kern w:val="32"/>
          <w:sz w:val="32"/>
          <w:szCs w:val="32"/>
          <w:lang w:val="en-US" w:eastAsia="zh-CN"/>
        </w:rPr>
        <w:t>政协品格</w:t>
      </w:r>
    </w:p>
    <w:p w14:paraId="5943754B">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val="en-US" w:eastAsia="zh-CN"/>
        </w:rPr>
      </w:pPr>
      <w:r>
        <w:rPr>
          <w:rFonts w:hint="eastAsia" w:ascii="Times New Roman" w:hAnsi="Times New Roman" w:eastAsia="仿宋_GB2312" w:cs="Times New Roman"/>
          <w:snapToGrid w:val="0"/>
          <w:color w:val="000000"/>
          <w:kern w:val="32"/>
          <w:sz w:val="32"/>
          <w:szCs w:val="32"/>
          <w:lang w:eastAsia="zh-CN"/>
        </w:rPr>
        <w:t>一年来，我们始终将党的全面领导贯穿于政协履职全过程、各方面，</w:t>
      </w:r>
      <w:r>
        <w:rPr>
          <w:rFonts w:hint="eastAsia" w:ascii="Times New Roman" w:hAnsi="Times New Roman" w:eastAsia="仿宋_GB2312" w:cs="Times New Roman"/>
          <w:snapToGrid w:val="0"/>
          <w:color w:val="auto"/>
          <w:kern w:val="32"/>
          <w:sz w:val="32"/>
          <w:szCs w:val="32"/>
          <w:lang w:eastAsia="zh-CN"/>
        </w:rPr>
        <w:t>认真学习贯彻</w:t>
      </w:r>
      <w:r>
        <w:rPr>
          <w:rFonts w:hint="default" w:ascii="Times New Roman" w:hAnsi="Times New Roman" w:eastAsia="仿宋_GB2312" w:cs="Times New Roman"/>
          <w:snapToGrid w:val="0"/>
          <w:color w:val="auto"/>
          <w:kern w:val="32"/>
          <w:sz w:val="32"/>
          <w:szCs w:val="32"/>
        </w:rPr>
        <w:t>中共二十大和二十届</w:t>
      </w:r>
      <w:r>
        <w:rPr>
          <w:rFonts w:hint="default" w:ascii="Times New Roman" w:hAnsi="Times New Roman" w:eastAsia="仿宋_GB2312" w:cs="Times New Roman"/>
          <w:snapToGrid w:val="0"/>
          <w:color w:val="auto"/>
          <w:kern w:val="32"/>
          <w:sz w:val="32"/>
          <w:szCs w:val="32"/>
          <w:lang w:val="en-US" w:eastAsia="zh-CN"/>
        </w:rPr>
        <w:t>历次</w:t>
      </w:r>
      <w:r>
        <w:rPr>
          <w:rFonts w:hint="default" w:ascii="Times New Roman" w:hAnsi="Times New Roman" w:eastAsia="仿宋_GB2312" w:cs="Times New Roman"/>
          <w:snapToGrid w:val="0"/>
          <w:color w:val="auto"/>
          <w:kern w:val="32"/>
          <w:sz w:val="32"/>
          <w:szCs w:val="32"/>
        </w:rPr>
        <w:t>全会精神</w:t>
      </w:r>
      <w:r>
        <w:rPr>
          <w:rFonts w:hint="eastAsia" w:ascii="Times New Roman" w:hAnsi="Times New Roman" w:eastAsia="仿宋_GB2312" w:cs="Times New Roman"/>
          <w:snapToGrid w:val="0"/>
          <w:color w:val="000000"/>
          <w:kern w:val="32"/>
          <w:sz w:val="32"/>
          <w:szCs w:val="32"/>
          <w:lang w:eastAsia="zh-CN"/>
        </w:rPr>
        <w:t>以及中央、省、市、区委决策部署，全面落实机关党建、意识形态、党风廉政建设工作，引导全体机关干部深刻领悟“两个确立”的决定性意义，不断增强“四个意识”、坚定“四个自信”、做到“两个维护”。</w:t>
      </w:r>
      <w:r>
        <w:rPr>
          <w:rFonts w:hint="eastAsia" w:ascii="Times New Roman" w:hAnsi="Times New Roman" w:eastAsia="仿宋_GB2312" w:cs="Times New Roman"/>
          <w:snapToGrid w:val="0"/>
          <w:color w:val="000000"/>
          <w:kern w:val="32"/>
          <w:sz w:val="32"/>
          <w:szCs w:val="32"/>
          <w:lang w:val="en-US" w:eastAsia="zh-CN"/>
        </w:rPr>
        <w:t>严格落实“第一议题”制度，及时跟进学习习近平总书记最新重要讲话和指示批示精神。完善以党组理论学习中心组学习为引领的多层次学习体系，促进学习成果转化。全年组织各类集中学习、专题研讨、读书分享活动超过30场次，引导全体委员把思想和行动统一到全会精神上来，将学习成果转化为干事创业、履职尽责，助推高质量发展的实际成效。</w:t>
      </w:r>
    </w:p>
    <w:p w14:paraId="22133158">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val="en-US" w:eastAsia="zh-CN"/>
        </w:rPr>
      </w:pPr>
      <w:r>
        <w:rPr>
          <w:rFonts w:hint="eastAsia" w:ascii="Times New Roman" w:hAnsi="Times New Roman" w:eastAsia="仿宋_GB2312" w:cs="Times New Roman"/>
          <w:snapToGrid w:val="0"/>
          <w:color w:val="000000"/>
          <w:kern w:val="32"/>
          <w:sz w:val="32"/>
          <w:szCs w:val="32"/>
          <w:lang w:val="en-US" w:eastAsia="zh-CN"/>
        </w:rPr>
        <w:t>2</w:t>
      </w:r>
      <w:r>
        <w:rPr>
          <w:rFonts w:hint="default" w:ascii="Times New Roman" w:hAnsi="Times New Roman" w:eastAsia="仿宋_GB2312" w:cs="Times New Roman"/>
          <w:snapToGrid w:val="0"/>
          <w:color w:val="000000"/>
          <w:kern w:val="32"/>
          <w:sz w:val="32"/>
          <w:szCs w:val="32"/>
          <w:lang w:val="en-US" w:eastAsia="zh-CN"/>
        </w:rPr>
        <w:t>、围绕中心大局，彰显</w:t>
      </w:r>
      <w:r>
        <w:rPr>
          <w:rFonts w:hint="eastAsia" w:ascii="Times New Roman" w:hAnsi="Times New Roman" w:eastAsia="仿宋_GB2312" w:cs="Times New Roman"/>
          <w:snapToGrid w:val="0"/>
          <w:color w:val="000000"/>
          <w:kern w:val="32"/>
          <w:sz w:val="32"/>
          <w:szCs w:val="32"/>
          <w:lang w:val="en-US" w:eastAsia="zh-CN"/>
        </w:rPr>
        <w:t>“服务发展”</w:t>
      </w:r>
      <w:r>
        <w:rPr>
          <w:rFonts w:hint="default" w:ascii="Times New Roman" w:hAnsi="Times New Roman" w:eastAsia="仿宋_GB2312" w:cs="Times New Roman"/>
          <w:snapToGrid w:val="0"/>
          <w:color w:val="000000"/>
          <w:kern w:val="32"/>
          <w:sz w:val="32"/>
          <w:szCs w:val="32"/>
          <w:lang w:val="en-US" w:eastAsia="zh-CN"/>
        </w:rPr>
        <w:t>政协担当</w:t>
      </w:r>
    </w:p>
    <w:p w14:paraId="3D3D50EB">
      <w:pPr>
        <w:keepNext w:val="0"/>
        <w:keepLines w:val="0"/>
        <w:pageBreakBefore w:val="0"/>
        <w:widowControl w:val="0"/>
        <w:kinsoku/>
        <w:wordWrap/>
        <w:bidi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eastAsia="zh-CN"/>
        </w:rPr>
      </w:pPr>
      <w:r>
        <w:rPr>
          <w:rFonts w:hint="eastAsia" w:ascii="Times New Roman" w:hAnsi="Times New Roman" w:eastAsia="仿宋_GB2312" w:cs="Times New Roman"/>
          <w:kern w:val="0"/>
          <w:sz w:val="32"/>
          <w:szCs w:val="32"/>
          <w:lang w:eastAsia="zh-CN"/>
        </w:rPr>
        <w:t>围绕区委“六个区”建设目标，构建了以全体会议为核心引领，以专题议政性常委会会议、专题协商会为关键平台，以提案办理协商、对口协商、界别协商为常态化机制的协商议政新格局，有效提升了议政建言的针对性与协商成果的转化率。</w:t>
      </w:r>
      <w:r>
        <w:rPr>
          <w:rFonts w:hint="default" w:ascii="Times New Roman" w:hAnsi="Times New Roman" w:eastAsia="仿宋_GB2312" w:cs="Times New Roman"/>
          <w:snapToGrid w:val="0"/>
          <w:color w:val="000000"/>
          <w:kern w:val="32"/>
          <w:sz w:val="32"/>
          <w:szCs w:val="32"/>
          <w:lang w:eastAsia="zh-CN"/>
        </w:rPr>
        <w:t>成功组织召开了区政协十届四次会议，引导全体委员围绕区政府工作报告等重要文件，深入开展小组讨论和联组协商，提出意见建议</w:t>
      </w:r>
      <w:r>
        <w:rPr>
          <w:rFonts w:hint="default" w:ascii="Times New Roman" w:hAnsi="Times New Roman" w:eastAsia="仿宋_GB2312" w:cs="Times New Roman"/>
          <w:snapToGrid w:val="0"/>
          <w:color w:val="000000"/>
          <w:kern w:val="32"/>
          <w:sz w:val="32"/>
          <w:szCs w:val="32"/>
          <w:lang w:val="en-US" w:eastAsia="zh-CN"/>
        </w:rPr>
        <w:t>1</w:t>
      </w:r>
      <w:r>
        <w:rPr>
          <w:rFonts w:hint="default" w:ascii="Times New Roman" w:hAnsi="Times New Roman" w:eastAsia="仿宋_GB2312" w:cs="Times New Roman"/>
          <w:snapToGrid w:val="0"/>
          <w:color w:val="000000"/>
          <w:kern w:val="32"/>
          <w:sz w:val="32"/>
          <w:szCs w:val="32"/>
          <w:lang w:eastAsia="zh-CN"/>
        </w:rPr>
        <w:t>00余条，为完善全区发展思路贡献了智慧。精心组织2次专题议政性常委会议，形成了2份具有前瞻性、操作性的高质量建议案，为区委、区政府破解基础设施瓶颈、推动教育优质均衡发展提供了重要决策参考。</w:t>
      </w:r>
      <w:r>
        <w:rPr>
          <w:rFonts w:hint="eastAsia" w:ascii="Times New Roman" w:hAnsi="Times New Roman" w:eastAsia="仿宋_GB2312" w:cs="Times New Roman"/>
          <w:snapToGrid w:val="0"/>
          <w:color w:val="000000"/>
          <w:kern w:val="32"/>
          <w:sz w:val="32"/>
          <w:szCs w:val="32"/>
          <w:lang w:eastAsia="zh-CN"/>
        </w:rPr>
        <w:t>以“</w:t>
      </w:r>
      <w:r>
        <w:rPr>
          <w:rFonts w:hint="default" w:ascii="Times New Roman" w:hAnsi="Times New Roman" w:eastAsia="仿宋_GB2312" w:cs="Times New Roman"/>
          <w:snapToGrid w:val="0"/>
          <w:color w:val="000000"/>
          <w:kern w:val="32"/>
          <w:sz w:val="32"/>
          <w:szCs w:val="32"/>
          <w:lang w:eastAsia="zh-CN"/>
        </w:rPr>
        <w:t>多措并举创新激发消费潜力</w:t>
      </w:r>
      <w:r>
        <w:rPr>
          <w:rFonts w:hint="eastAsia" w:ascii="Times New Roman" w:hAnsi="Times New Roman" w:eastAsia="仿宋_GB2312" w:cs="Times New Roman"/>
          <w:snapToGrid w:val="0"/>
          <w:color w:val="000000"/>
          <w:kern w:val="32"/>
          <w:sz w:val="32"/>
          <w:szCs w:val="32"/>
          <w:lang w:eastAsia="zh-CN"/>
        </w:rPr>
        <w:t>”等主题</w:t>
      </w:r>
      <w:r>
        <w:rPr>
          <w:rFonts w:hint="default" w:ascii="Times New Roman" w:hAnsi="Times New Roman" w:eastAsia="仿宋_GB2312" w:cs="Times New Roman"/>
          <w:snapToGrid w:val="0"/>
          <w:color w:val="000000"/>
          <w:kern w:val="32"/>
          <w:sz w:val="32"/>
          <w:szCs w:val="32"/>
          <w:lang w:val="en-US" w:eastAsia="zh-CN"/>
        </w:rPr>
        <w:t>开展了4项专题协商</w:t>
      </w:r>
      <w:r>
        <w:rPr>
          <w:rFonts w:hint="default" w:ascii="Times New Roman" w:hAnsi="Times New Roman" w:eastAsia="仿宋_GB2312" w:cs="Times New Roman"/>
          <w:snapToGrid w:val="0"/>
          <w:color w:val="000000"/>
          <w:kern w:val="32"/>
          <w:sz w:val="32"/>
          <w:szCs w:val="32"/>
          <w:lang w:eastAsia="zh-CN"/>
        </w:rPr>
        <w:t>，组织委员深度调研辖区重点商贸企业，从优化消费环境、创新消费业态、打造消费品牌、丰富消费场景四个维度提出12条具体建议。坚持</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调</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以务实、</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研</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以致用，全年组织开展6项重点调研和5项重点视察</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形成了一批数据翔实、分析透彻的调研报告，为党政部门科学决策提供了有力参考，有效推动相关问题解决和工作改进。</w:t>
      </w:r>
    </w:p>
    <w:p w14:paraId="7ED63566">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val="en-US" w:eastAsia="zh-CN"/>
        </w:rPr>
      </w:pPr>
      <w:r>
        <w:rPr>
          <w:rFonts w:hint="eastAsia" w:ascii="Times New Roman" w:hAnsi="Times New Roman" w:eastAsia="仿宋_GB2312" w:cs="Times New Roman"/>
          <w:snapToGrid w:val="0"/>
          <w:color w:val="000000"/>
          <w:kern w:val="32"/>
          <w:sz w:val="32"/>
          <w:szCs w:val="32"/>
          <w:lang w:val="en-US" w:eastAsia="zh-CN"/>
        </w:rPr>
        <w:t>3</w:t>
      </w:r>
      <w:r>
        <w:rPr>
          <w:rFonts w:hint="default" w:ascii="Times New Roman" w:hAnsi="Times New Roman" w:eastAsia="仿宋_GB2312" w:cs="Times New Roman"/>
          <w:snapToGrid w:val="0"/>
          <w:color w:val="000000"/>
          <w:kern w:val="32"/>
          <w:sz w:val="32"/>
          <w:szCs w:val="32"/>
          <w:lang w:val="en-US" w:eastAsia="zh-CN"/>
        </w:rPr>
        <w:t>、坚守为民理念，展现</w:t>
      </w:r>
      <w:r>
        <w:rPr>
          <w:rFonts w:hint="eastAsia" w:ascii="Times New Roman" w:hAnsi="Times New Roman" w:eastAsia="仿宋_GB2312" w:cs="Times New Roman"/>
          <w:snapToGrid w:val="0"/>
          <w:color w:val="000000"/>
          <w:kern w:val="32"/>
          <w:sz w:val="32"/>
          <w:szCs w:val="32"/>
          <w:lang w:val="en-US" w:eastAsia="zh-CN"/>
        </w:rPr>
        <w:t>“人民至上”政协</w:t>
      </w:r>
      <w:r>
        <w:rPr>
          <w:rFonts w:hint="default" w:ascii="Times New Roman" w:hAnsi="Times New Roman" w:eastAsia="仿宋_GB2312" w:cs="Times New Roman"/>
          <w:snapToGrid w:val="0"/>
          <w:color w:val="000000"/>
          <w:kern w:val="32"/>
          <w:sz w:val="32"/>
          <w:szCs w:val="32"/>
          <w:lang w:val="en-US" w:eastAsia="zh-CN"/>
        </w:rPr>
        <w:t>情怀</w:t>
      </w:r>
    </w:p>
    <w:p w14:paraId="32915DC5">
      <w:pPr>
        <w:keepNext w:val="0"/>
        <w:keepLines w:val="0"/>
        <w:pageBreakBefore w:val="0"/>
        <w:widowControl w:val="0"/>
        <w:numPr>
          <w:ilvl w:val="0"/>
          <w:numId w:val="0"/>
        </w:numPr>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eastAsia="zh-CN"/>
        </w:rPr>
      </w:pPr>
      <w:r>
        <w:rPr>
          <w:rFonts w:hint="eastAsia" w:ascii="Times New Roman" w:hAnsi="Times New Roman" w:eastAsia="仿宋_GB2312" w:cs="Times New Roman"/>
          <w:snapToGrid w:val="0"/>
          <w:color w:val="000000"/>
          <w:kern w:val="32"/>
          <w:sz w:val="32"/>
          <w:szCs w:val="32"/>
          <w:lang w:eastAsia="zh-CN"/>
        </w:rPr>
        <w:t>始终坚持以人民为中心的发展理念，通过提案督办、院坝协商、民主监督等多种渠道，积极推动解决群众急难愁盼问题，促进政协工作深入基层、为民服务。</w:t>
      </w:r>
      <w:r>
        <w:rPr>
          <w:rFonts w:hint="default" w:ascii="Times New Roman" w:hAnsi="Times New Roman" w:eastAsia="仿宋_GB2312" w:cs="Times New Roman"/>
          <w:snapToGrid w:val="0"/>
          <w:color w:val="000000"/>
          <w:kern w:val="32"/>
          <w:sz w:val="32"/>
          <w:szCs w:val="32"/>
          <w:lang w:eastAsia="zh-CN"/>
        </w:rPr>
        <w:t>坚持以质量为导向，全年立案提案120件，立案率90.9%，一批关于优化营商环境、提升文旅服务、改善生态环境、关爱</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一老一小</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等群众关切的问题得到有效推动和解决。修订</w:t>
      </w:r>
      <w:r>
        <w:rPr>
          <w:rFonts w:hint="default" w:ascii="Times New Roman" w:hAnsi="Times New Roman" w:eastAsia="仿宋_GB2312" w:cs="Times New Roman"/>
          <w:color w:val="000000"/>
          <w:kern w:val="32"/>
          <w:sz w:val="32"/>
          <w:szCs w:val="32"/>
          <w:lang w:bidi="ar-SA"/>
        </w:rPr>
        <w:t>并</w:t>
      </w:r>
      <w:r>
        <w:rPr>
          <w:rFonts w:hint="default" w:ascii="Times New Roman" w:hAnsi="Times New Roman" w:eastAsia="仿宋_GB2312" w:cs="Times New Roman"/>
          <w:snapToGrid w:val="0"/>
          <w:color w:val="000000"/>
          <w:kern w:val="32"/>
          <w:sz w:val="32"/>
          <w:szCs w:val="32"/>
          <w:lang w:eastAsia="zh-CN"/>
        </w:rPr>
        <w:t>实施了《提案工作条例》，进一步规范提案办理协商流程，提</w:t>
      </w:r>
      <w:r>
        <w:rPr>
          <w:rFonts w:hint="default" w:ascii="Times New Roman" w:hAnsi="Times New Roman" w:eastAsia="仿宋_GB2312" w:cs="Times New Roman"/>
          <w:snapToGrid w:val="0"/>
          <w:color w:val="000000"/>
          <w:kern w:val="32"/>
          <w:sz w:val="32"/>
          <w:szCs w:val="32"/>
          <w:lang w:val="en-US" w:eastAsia="zh-CN"/>
        </w:rPr>
        <w:t>升</w:t>
      </w:r>
      <w:r>
        <w:rPr>
          <w:rFonts w:hint="default" w:ascii="Times New Roman" w:hAnsi="Times New Roman" w:eastAsia="仿宋_GB2312" w:cs="Times New Roman"/>
          <w:snapToGrid w:val="0"/>
          <w:color w:val="000000"/>
          <w:kern w:val="32"/>
          <w:sz w:val="32"/>
          <w:szCs w:val="32"/>
          <w:lang w:eastAsia="zh-CN"/>
        </w:rPr>
        <w:t>提案办理的透明度和效率。</w:t>
      </w:r>
    </w:p>
    <w:p w14:paraId="7ACE9AFD">
      <w:pPr>
        <w:keepNext w:val="0"/>
        <w:keepLines w:val="0"/>
        <w:pageBreakBefore w:val="0"/>
        <w:widowControl w:val="0"/>
        <w:kinsoku/>
        <w:wordWrap/>
        <w:overflowPunct w:val="0"/>
        <w:topLinePunct/>
        <w:bidi w:val="0"/>
        <w:adjustRightInd w:val="0"/>
        <w:snapToGrid w:val="0"/>
        <w:spacing w:line="560" w:lineRule="exact"/>
        <w:textAlignment w:val="auto"/>
        <w:rPr>
          <w:rFonts w:hint="default" w:ascii="Times New Roman" w:hAnsi="Times New Roman" w:eastAsia="仿宋_GB2312" w:cs="Times New Roman"/>
          <w:snapToGrid w:val="0"/>
          <w:color w:val="000000"/>
          <w:kern w:val="32"/>
          <w:sz w:val="32"/>
          <w:szCs w:val="32"/>
        </w:rPr>
      </w:pPr>
      <w:r>
        <w:rPr>
          <w:rFonts w:hint="default" w:ascii="Times New Roman" w:hAnsi="Times New Roman" w:eastAsia="仿宋_GB2312" w:cs="Times New Roman"/>
          <w:snapToGrid w:val="0"/>
          <w:color w:val="000000"/>
          <w:kern w:val="32"/>
          <w:sz w:val="32"/>
          <w:szCs w:val="32"/>
          <w:lang w:eastAsia="zh-CN"/>
        </w:rPr>
        <w:t>将院坝协商作为政协参与基层社会治理的特色品牌。全年围绕</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物业联建激活小区自治</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助力中小企业降本增效</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助推老旧小区改造</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等10个贴近群众的议题，在街道社区、企业园区开展灵活多样的协商议事活动。充分发挥协商式监督优势，</w:t>
      </w:r>
      <w:r>
        <w:rPr>
          <w:rFonts w:hint="eastAsia" w:ascii="Times New Roman" w:hAnsi="Times New Roman" w:eastAsia="仿宋_GB2312" w:cs="Times New Roman"/>
          <w:snapToGrid w:val="0"/>
          <w:color w:val="000000"/>
          <w:kern w:val="32"/>
          <w:sz w:val="32"/>
          <w:szCs w:val="32"/>
          <w:lang w:eastAsia="zh-CN"/>
        </w:rPr>
        <w:t>围绕</w:t>
      </w:r>
      <w:r>
        <w:rPr>
          <w:rFonts w:hint="default" w:ascii="Times New Roman" w:hAnsi="Times New Roman" w:eastAsia="仿宋_GB2312" w:cs="Times New Roman"/>
          <w:snapToGrid w:val="0"/>
          <w:color w:val="000000"/>
          <w:kern w:val="32"/>
          <w:sz w:val="32"/>
          <w:szCs w:val="32"/>
          <w:lang w:eastAsia="zh-CN"/>
        </w:rPr>
        <w:t>文物保护现状及活化利用</w:t>
      </w:r>
      <w:r>
        <w:rPr>
          <w:rFonts w:hint="eastAsia" w:ascii="Times New Roman" w:hAnsi="Times New Roman" w:eastAsia="仿宋_GB2312" w:cs="Times New Roman"/>
          <w:snapToGrid w:val="0"/>
          <w:color w:val="000000"/>
          <w:kern w:val="32"/>
          <w:sz w:val="32"/>
          <w:szCs w:val="32"/>
          <w:lang w:eastAsia="zh-CN"/>
        </w:rPr>
        <w:t>等</w:t>
      </w:r>
      <w:r>
        <w:rPr>
          <w:rFonts w:hint="default" w:ascii="Times New Roman" w:hAnsi="Times New Roman" w:eastAsia="仿宋_GB2312" w:cs="Times New Roman"/>
          <w:snapToGrid w:val="0"/>
          <w:color w:val="000000"/>
          <w:kern w:val="32"/>
          <w:sz w:val="32"/>
          <w:szCs w:val="32"/>
          <w:lang w:eastAsia="zh-CN"/>
        </w:rPr>
        <w:t>开展了4项专项民主监督。此外，</w:t>
      </w:r>
      <w:r>
        <w:rPr>
          <w:rFonts w:hint="default" w:ascii="Times New Roman" w:hAnsi="Times New Roman" w:eastAsia="仿宋_GB2312" w:cs="Times New Roman"/>
          <w:snapToGrid w:val="0"/>
          <w:color w:val="000000"/>
          <w:kern w:val="32"/>
          <w:sz w:val="32"/>
          <w:szCs w:val="32"/>
          <w:lang w:val="en-US" w:eastAsia="zh-CN"/>
        </w:rPr>
        <w:t>积极推荐</w:t>
      </w:r>
      <w:r>
        <w:rPr>
          <w:rFonts w:hint="default" w:ascii="Times New Roman" w:hAnsi="Times New Roman" w:eastAsia="仿宋_GB2312" w:cs="Times New Roman"/>
          <w:snapToGrid w:val="0"/>
          <w:color w:val="000000"/>
          <w:kern w:val="32"/>
          <w:sz w:val="32"/>
          <w:szCs w:val="32"/>
          <w:lang w:eastAsia="zh-CN"/>
        </w:rPr>
        <w:t>委员担任特邀监督员，参与行风评议、案件庭审旁听等活动，使民主监督融入日常、成为常态。</w:t>
      </w:r>
    </w:p>
    <w:p w14:paraId="1C7BCEAA">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val="en-US" w:eastAsia="zh-CN"/>
        </w:rPr>
      </w:pPr>
      <w:r>
        <w:rPr>
          <w:rFonts w:hint="eastAsia" w:ascii="Times New Roman" w:hAnsi="Times New Roman" w:eastAsia="仿宋_GB2312" w:cs="Times New Roman"/>
          <w:snapToGrid w:val="0"/>
          <w:color w:val="000000"/>
          <w:kern w:val="32"/>
          <w:sz w:val="32"/>
          <w:szCs w:val="32"/>
          <w:lang w:val="en-US" w:eastAsia="zh-CN"/>
        </w:rPr>
        <w:t>4</w:t>
      </w:r>
      <w:r>
        <w:rPr>
          <w:rFonts w:hint="default" w:ascii="Times New Roman" w:hAnsi="Times New Roman" w:eastAsia="仿宋_GB2312" w:cs="Times New Roman"/>
          <w:snapToGrid w:val="0"/>
          <w:color w:val="000000"/>
          <w:kern w:val="32"/>
          <w:sz w:val="32"/>
          <w:szCs w:val="32"/>
          <w:lang w:val="en-US" w:eastAsia="zh-CN"/>
        </w:rPr>
        <w:t>、发扬团结民主，书写</w:t>
      </w:r>
      <w:r>
        <w:rPr>
          <w:rFonts w:hint="eastAsia" w:ascii="Times New Roman" w:hAnsi="Times New Roman" w:eastAsia="仿宋_GB2312" w:cs="Times New Roman"/>
          <w:snapToGrid w:val="0"/>
          <w:color w:val="000000"/>
          <w:kern w:val="32"/>
          <w:sz w:val="32"/>
          <w:szCs w:val="32"/>
          <w:lang w:val="en-US" w:eastAsia="zh-CN"/>
        </w:rPr>
        <w:t>“凝聚共识”</w:t>
      </w:r>
      <w:r>
        <w:rPr>
          <w:rFonts w:hint="default" w:ascii="Times New Roman" w:hAnsi="Times New Roman" w:eastAsia="仿宋_GB2312" w:cs="Times New Roman"/>
          <w:snapToGrid w:val="0"/>
          <w:color w:val="000000"/>
          <w:kern w:val="32"/>
          <w:sz w:val="32"/>
          <w:szCs w:val="32"/>
          <w:lang w:val="en-US" w:eastAsia="zh-CN"/>
        </w:rPr>
        <w:t>政协篇章</w:t>
      </w:r>
    </w:p>
    <w:p w14:paraId="74FF5A4E">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eastAsia="zh-CN"/>
        </w:rPr>
      </w:pPr>
      <w:r>
        <w:rPr>
          <w:rFonts w:hint="eastAsia" w:ascii="Times New Roman" w:hAnsi="Times New Roman" w:eastAsia="仿宋_GB2312" w:cs="Times New Roman"/>
          <w:sz w:val="32"/>
          <w:szCs w:val="32"/>
          <w:lang w:eastAsia="zh-CN"/>
        </w:rPr>
        <w:t>坚持将强化思想政治引领、广泛凝聚共识作为履职工作的核心环节，协助区委、区政府最大限度凝聚改革发展共识。</w:t>
      </w:r>
      <w:r>
        <w:rPr>
          <w:rFonts w:hint="default" w:ascii="Times New Roman" w:hAnsi="Times New Roman" w:eastAsia="仿宋_GB2312" w:cs="Times New Roman"/>
          <w:snapToGrid w:val="0"/>
          <w:color w:val="000000"/>
          <w:kern w:val="32"/>
          <w:sz w:val="32"/>
          <w:szCs w:val="32"/>
          <w:lang w:eastAsia="zh-CN"/>
        </w:rPr>
        <w:t>密切与各民主党派、工商联、无党派人士和各人民团体的联系，完善联动履职机制，在重点协商、联合调研、视察监督中优先安排党派团体发言、联合开展活动。扎实开展文史资料基础工作，健全编撰制度，规范征编流程，</w:t>
      </w:r>
      <w:r>
        <w:rPr>
          <w:rFonts w:hint="default" w:ascii="Times New Roman" w:hAnsi="Times New Roman" w:eastAsia="仿宋_GB2312" w:cs="Times New Roman"/>
          <w:snapToGrid w:val="0"/>
          <w:color w:val="000000"/>
          <w:kern w:val="32"/>
          <w:sz w:val="32"/>
          <w:szCs w:val="32"/>
          <w:lang w:val="en-US" w:eastAsia="zh-CN"/>
        </w:rPr>
        <w:t>完成</w:t>
      </w:r>
      <w:r>
        <w:rPr>
          <w:rFonts w:hint="default" w:ascii="Times New Roman" w:hAnsi="Times New Roman" w:eastAsia="仿宋_GB2312" w:cs="Times New Roman"/>
          <w:snapToGrid w:val="0"/>
          <w:color w:val="000000"/>
          <w:kern w:val="32"/>
          <w:sz w:val="32"/>
          <w:szCs w:val="32"/>
          <w:lang w:eastAsia="zh-CN"/>
        </w:rPr>
        <w:t>《大美大观》的征编、</w:t>
      </w:r>
      <w:r>
        <w:rPr>
          <w:rFonts w:hint="default" w:ascii="Times New Roman" w:hAnsi="Times New Roman" w:eastAsia="仿宋_GB2312" w:cs="Times New Roman"/>
          <w:snapToGrid w:val="0"/>
          <w:color w:val="000000"/>
          <w:kern w:val="32"/>
          <w:sz w:val="32"/>
          <w:szCs w:val="32"/>
          <w:lang w:val="en-US" w:eastAsia="zh-CN"/>
        </w:rPr>
        <w:t>出版</w:t>
      </w:r>
      <w:r>
        <w:rPr>
          <w:rFonts w:hint="default" w:ascii="Times New Roman" w:hAnsi="Times New Roman" w:eastAsia="仿宋_GB2312" w:cs="Times New Roman"/>
          <w:snapToGrid w:val="0"/>
          <w:color w:val="000000"/>
          <w:kern w:val="32"/>
          <w:sz w:val="32"/>
          <w:szCs w:val="32"/>
          <w:lang w:eastAsia="zh-CN"/>
        </w:rPr>
        <w:t>，系统挖掘整理区域历史文化资源。注重强化宣传引导，</w:t>
      </w:r>
      <w:r>
        <w:rPr>
          <w:rFonts w:hint="default" w:ascii="Times New Roman" w:hAnsi="Times New Roman" w:eastAsia="仿宋_GB2312" w:cs="Times New Roman"/>
          <w:snapToGrid w:val="0"/>
          <w:color w:val="000000"/>
          <w:kern w:val="32"/>
          <w:sz w:val="32"/>
          <w:szCs w:val="32"/>
          <w:lang w:val="en-US" w:eastAsia="zh-CN"/>
        </w:rPr>
        <w:t>密切</w:t>
      </w:r>
      <w:r>
        <w:rPr>
          <w:rFonts w:hint="default" w:ascii="Times New Roman" w:hAnsi="Times New Roman" w:eastAsia="仿宋_GB2312" w:cs="Times New Roman"/>
          <w:snapToGrid w:val="0"/>
          <w:color w:val="000000"/>
          <w:kern w:val="32"/>
          <w:sz w:val="32"/>
          <w:szCs w:val="32"/>
          <w:lang w:eastAsia="zh-CN"/>
        </w:rPr>
        <w:t>与新闻媒体的沟通协作，全年在省市主流媒体及政协系统内刊发宣传报道</w:t>
      </w:r>
      <w:r>
        <w:rPr>
          <w:rFonts w:hint="default" w:ascii="Times New Roman" w:hAnsi="Times New Roman" w:eastAsia="仿宋_GB2312" w:cs="Times New Roman"/>
          <w:snapToGrid w:val="0"/>
          <w:color w:val="000000"/>
          <w:kern w:val="32"/>
          <w:sz w:val="32"/>
          <w:szCs w:val="32"/>
          <w:lang w:val="en-US" w:eastAsia="zh-CN"/>
        </w:rPr>
        <w:t>35篇，</w:t>
      </w:r>
      <w:r>
        <w:rPr>
          <w:rFonts w:hint="default" w:ascii="Times New Roman" w:hAnsi="Times New Roman" w:eastAsia="仿宋_GB2312" w:cs="Times New Roman"/>
          <w:snapToGrid w:val="0"/>
          <w:color w:val="000000"/>
          <w:kern w:val="32"/>
          <w:sz w:val="32"/>
          <w:szCs w:val="32"/>
          <w:lang w:eastAsia="zh-CN"/>
        </w:rPr>
        <w:t>有效传播了政协声音，讲好了履职故事。强化社情民意信息的编报与转化，全年编报社情民意信息</w:t>
      </w:r>
      <w:r>
        <w:rPr>
          <w:rFonts w:hint="default" w:ascii="Times New Roman" w:hAnsi="Times New Roman" w:eastAsia="仿宋_GB2312" w:cs="Times New Roman"/>
          <w:snapToGrid w:val="0"/>
          <w:color w:val="000000"/>
          <w:kern w:val="32"/>
          <w:sz w:val="32"/>
          <w:szCs w:val="32"/>
          <w:lang w:val="en-US" w:eastAsia="zh-CN"/>
        </w:rPr>
        <w:t>3</w:t>
      </w:r>
      <w:r>
        <w:rPr>
          <w:rFonts w:hint="eastAsia" w:ascii="Times New Roman" w:hAnsi="Times New Roman" w:eastAsia="仿宋_GB2312" w:cs="Times New Roman"/>
          <w:snapToGrid w:val="0"/>
          <w:color w:val="000000"/>
          <w:kern w:val="32"/>
          <w:sz w:val="32"/>
          <w:szCs w:val="32"/>
          <w:lang w:val="en-US" w:eastAsia="zh-CN"/>
        </w:rPr>
        <w:t>3</w:t>
      </w:r>
      <w:r>
        <w:rPr>
          <w:rFonts w:hint="default" w:ascii="Times New Roman" w:hAnsi="Times New Roman" w:eastAsia="仿宋_GB2312" w:cs="Times New Roman"/>
          <w:snapToGrid w:val="0"/>
          <w:color w:val="000000"/>
          <w:kern w:val="32"/>
          <w:sz w:val="32"/>
          <w:szCs w:val="32"/>
          <w:lang w:val="en-US" w:eastAsia="zh-CN"/>
        </w:rPr>
        <w:t>期、情况反映</w:t>
      </w:r>
      <w:r>
        <w:rPr>
          <w:rFonts w:hint="eastAsia" w:ascii="Times New Roman" w:hAnsi="Times New Roman" w:eastAsia="仿宋_GB2312" w:cs="Times New Roman"/>
          <w:snapToGrid w:val="0"/>
          <w:color w:val="000000"/>
          <w:kern w:val="32"/>
          <w:sz w:val="32"/>
          <w:szCs w:val="32"/>
          <w:lang w:val="en-US" w:eastAsia="zh-CN"/>
        </w:rPr>
        <w:t>7</w:t>
      </w:r>
      <w:r>
        <w:rPr>
          <w:rFonts w:hint="default" w:ascii="Times New Roman" w:hAnsi="Times New Roman" w:eastAsia="仿宋_GB2312" w:cs="Times New Roman"/>
          <w:snapToGrid w:val="0"/>
          <w:color w:val="000000"/>
          <w:kern w:val="32"/>
          <w:sz w:val="32"/>
          <w:szCs w:val="32"/>
          <w:lang w:val="en-US" w:eastAsia="zh-CN"/>
        </w:rPr>
        <w:t>期。</w:t>
      </w:r>
    </w:p>
    <w:p w14:paraId="0F65FC11">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eastAsia="zh-CN"/>
        </w:rPr>
      </w:pPr>
      <w:r>
        <w:rPr>
          <w:rFonts w:hint="eastAsia" w:ascii="Times New Roman" w:hAnsi="Times New Roman" w:eastAsia="仿宋_GB2312" w:cs="Times New Roman"/>
          <w:snapToGrid w:val="0"/>
          <w:color w:val="000000"/>
          <w:kern w:val="32"/>
          <w:sz w:val="32"/>
          <w:szCs w:val="32"/>
          <w:lang w:val="en-US" w:eastAsia="zh-CN"/>
        </w:rPr>
        <w:t>5、</w:t>
      </w:r>
      <w:r>
        <w:rPr>
          <w:rFonts w:hint="default" w:ascii="Times New Roman" w:hAnsi="Times New Roman" w:eastAsia="仿宋_GB2312" w:cs="Times New Roman"/>
          <w:snapToGrid w:val="0"/>
          <w:color w:val="000000"/>
          <w:kern w:val="32"/>
          <w:sz w:val="32"/>
          <w:szCs w:val="32"/>
          <w:lang w:eastAsia="zh-CN"/>
        </w:rPr>
        <w:t>坚持强基固本，树</w:t>
      </w:r>
      <w:r>
        <w:rPr>
          <w:rFonts w:hint="eastAsia" w:ascii="Times New Roman" w:hAnsi="Times New Roman" w:eastAsia="仿宋_GB2312" w:cs="Times New Roman"/>
          <w:snapToGrid w:val="0"/>
          <w:color w:val="000000"/>
          <w:kern w:val="32"/>
          <w:sz w:val="32"/>
          <w:szCs w:val="32"/>
          <w:lang w:eastAsia="zh-CN"/>
        </w:rPr>
        <w:t>立“勤廉有为”政</w:t>
      </w:r>
      <w:r>
        <w:rPr>
          <w:rFonts w:hint="default" w:ascii="Times New Roman" w:hAnsi="Times New Roman" w:eastAsia="仿宋_GB2312" w:cs="Times New Roman"/>
          <w:snapToGrid w:val="0"/>
          <w:color w:val="000000"/>
          <w:kern w:val="32"/>
          <w:sz w:val="32"/>
          <w:szCs w:val="32"/>
          <w:lang w:eastAsia="zh-CN"/>
        </w:rPr>
        <w:t>协形象</w:t>
      </w:r>
    </w:p>
    <w:p w14:paraId="5AE6834F">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eastAsia="zh-CN"/>
        </w:rPr>
      </w:pPr>
      <w:r>
        <w:rPr>
          <w:rFonts w:hint="eastAsia" w:ascii="仿宋_GB2312" w:hAnsi="仿宋_GB2312" w:eastAsia="仿宋_GB2312" w:cs="仿宋_GB2312"/>
          <w:snapToGrid w:val="0"/>
          <w:color w:val="000000"/>
          <w:kern w:val="32"/>
          <w:sz w:val="32"/>
          <w:szCs w:val="32"/>
        </w:rPr>
        <w:t>健全制度机制，提升规范化水平。</w:t>
      </w:r>
      <w:r>
        <w:rPr>
          <w:rFonts w:hint="default" w:ascii="Times New Roman" w:hAnsi="Times New Roman" w:eastAsia="仿宋_GB2312" w:cs="Times New Roman"/>
          <w:snapToGrid w:val="0"/>
          <w:color w:val="000000"/>
          <w:kern w:val="32"/>
          <w:sz w:val="32"/>
          <w:szCs w:val="32"/>
          <w:lang w:eastAsia="zh-CN"/>
        </w:rPr>
        <w:t>着眼长效常治，修订完善了《关于加强和改进民主监督工作的实施办法》《关于加强和改进反映社情民意信息工作的实施</w:t>
      </w:r>
      <w:r>
        <w:rPr>
          <w:rFonts w:hint="eastAsia" w:ascii="Times New Roman" w:hAnsi="Times New Roman" w:eastAsia="仿宋_GB2312" w:cs="Times New Roman"/>
          <w:snapToGrid w:val="0"/>
          <w:color w:val="000000"/>
          <w:kern w:val="32"/>
          <w:sz w:val="32"/>
          <w:szCs w:val="32"/>
          <w:lang w:eastAsia="zh-CN"/>
        </w:rPr>
        <w:t>办法</w:t>
      </w:r>
      <w:r>
        <w:rPr>
          <w:rFonts w:hint="default" w:ascii="Times New Roman" w:hAnsi="Times New Roman" w:eastAsia="仿宋_GB2312" w:cs="Times New Roman"/>
          <w:snapToGrid w:val="0"/>
          <w:color w:val="000000"/>
          <w:kern w:val="32"/>
          <w:sz w:val="32"/>
          <w:szCs w:val="32"/>
          <w:lang w:eastAsia="zh-CN"/>
        </w:rPr>
        <w:t>》等制度。健全了委员联系界别群众、专委会联系指导界别活动小组和委员工作室、协商成果采纳反馈等工作机制。通过制度建设和执行，进一步提升了政协工作的制度化、规范化、程序化水平。</w:t>
      </w:r>
      <w:r>
        <w:rPr>
          <w:rFonts w:hint="default" w:ascii="Times New Roman" w:hAnsi="Times New Roman" w:eastAsia="仿宋_GB2312" w:cs="Times New Roman"/>
          <w:snapToGrid w:val="0"/>
          <w:color w:val="000000"/>
          <w:kern w:val="32"/>
          <w:sz w:val="32"/>
          <w:szCs w:val="32"/>
          <w:lang w:val="en-US" w:eastAsia="zh-CN"/>
        </w:rPr>
        <w:t>以党建为统领推动</w:t>
      </w:r>
      <w:r>
        <w:rPr>
          <w:rFonts w:hint="eastAsia"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snapToGrid w:val="0"/>
          <w:color w:val="000000"/>
          <w:kern w:val="32"/>
          <w:sz w:val="32"/>
          <w:szCs w:val="32"/>
          <w:lang w:val="en-US" w:eastAsia="zh-CN"/>
        </w:rPr>
        <w:t>党组+机关党组+机关党支部</w:t>
      </w:r>
      <w:r>
        <w:rPr>
          <w:rFonts w:hint="eastAsia"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snapToGrid w:val="0"/>
          <w:color w:val="000000"/>
          <w:kern w:val="32"/>
          <w:sz w:val="32"/>
          <w:szCs w:val="32"/>
          <w:lang w:val="en-US" w:eastAsia="zh-CN"/>
        </w:rPr>
        <w:t>组织体系的建设，</w:t>
      </w:r>
      <w:r>
        <w:rPr>
          <w:rFonts w:hint="default" w:ascii="Times New Roman" w:hAnsi="Times New Roman" w:eastAsia="仿宋_GB2312" w:cs="Times New Roman"/>
          <w:color w:val="000000"/>
          <w:kern w:val="32"/>
          <w:sz w:val="32"/>
          <w:szCs w:val="32"/>
          <w:lang w:bidi="ar-SA"/>
        </w:rPr>
        <w:t>深入开展</w:t>
      </w:r>
      <w:r>
        <w:rPr>
          <w:rFonts w:hint="eastAsia"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snapToGrid w:val="0"/>
          <w:color w:val="000000"/>
          <w:kern w:val="32"/>
          <w:sz w:val="32"/>
          <w:szCs w:val="32"/>
          <w:lang w:val="en-US" w:eastAsia="zh-CN"/>
        </w:rPr>
        <w:t>四强</w:t>
      </w:r>
      <w:r>
        <w:rPr>
          <w:rFonts w:hint="eastAsia"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snapToGrid w:val="0"/>
          <w:color w:val="000000"/>
          <w:kern w:val="32"/>
          <w:sz w:val="32"/>
          <w:szCs w:val="32"/>
          <w:lang w:val="en-US" w:eastAsia="zh-CN"/>
        </w:rPr>
        <w:t>党支部建设</w:t>
      </w:r>
      <w:r>
        <w:rPr>
          <w:rFonts w:hint="default" w:ascii="Times New Roman" w:hAnsi="Times New Roman" w:eastAsia="仿宋_GB2312" w:cs="Times New Roman"/>
          <w:color w:val="000000"/>
          <w:kern w:val="32"/>
          <w:sz w:val="32"/>
          <w:szCs w:val="32"/>
          <w:lang w:bidi="ar-SA"/>
        </w:rPr>
        <w:t>工作</w:t>
      </w:r>
      <w:r>
        <w:rPr>
          <w:rFonts w:hint="default"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color w:val="000000"/>
          <w:kern w:val="32"/>
          <w:sz w:val="32"/>
          <w:szCs w:val="32"/>
          <w:lang w:bidi="ar-SA"/>
        </w:rPr>
        <w:t>使</w:t>
      </w:r>
      <w:r>
        <w:rPr>
          <w:rFonts w:hint="default" w:ascii="Times New Roman" w:hAnsi="Times New Roman" w:eastAsia="仿宋_GB2312" w:cs="Times New Roman"/>
          <w:snapToGrid w:val="0"/>
          <w:color w:val="000000"/>
          <w:kern w:val="32"/>
          <w:sz w:val="32"/>
          <w:szCs w:val="32"/>
          <w:lang w:val="en-US" w:eastAsia="zh-CN"/>
        </w:rPr>
        <w:t>机关党支部的政治功能和组织功能</w:t>
      </w:r>
      <w:r>
        <w:rPr>
          <w:rFonts w:hint="default" w:ascii="Times New Roman" w:hAnsi="Times New Roman" w:eastAsia="仿宋_GB2312" w:cs="Times New Roman"/>
          <w:color w:val="000000"/>
          <w:kern w:val="32"/>
          <w:sz w:val="32"/>
          <w:szCs w:val="32"/>
          <w:lang w:bidi="ar-SA"/>
        </w:rPr>
        <w:t>得以持续强化</w:t>
      </w:r>
      <w:r>
        <w:rPr>
          <w:rFonts w:hint="default"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snapToGrid w:val="0"/>
          <w:color w:val="000000"/>
          <w:kern w:val="32"/>
          <w:sz w:val="32"/>
          <w:szCs w:val="32"/>
          <w:lang w:eastAsia="zh-CN"/>
        </w:rPr>
        <w:t>扎实开展</w:t>
      </w:r>
      <w:r>
        <w:rPr>
          <w:rFonts w:hint="default" w:ascii="Times New Roman" w:hAnsi="Times New Roman" w:eastAsia="仿宋_GB2312" w:cs="Times New Roman"/>
          <w:snapToGrid w:val="0"/>
          <w:color w:val="000000"/>
          <w:kern w:val="32"/>
          <w:sz w:val="32"/>
          <w:szCs w:val="32"/>
          <w:lang w:val="en-US" w:eastAsia="zh-CN"/>
        </w:rPr>
        <w:t>深入贯彻中央八项规定精神学习教育，</w:t>
      </w:r>
      <w:r>
        <w:rPr>
          <w:rFonts w:hint="default" w:ascii="Times New Roman" w:hAnsi="Times New Roman" w:eastAsia="仿宋_GB2312" w:cs="Times New Roman"/>
          <w:snapToGrid w:val="0"/>
          <w:color w:val="000000"/>
          <w:kern w:val="32"/>
          <w:sz w:val="32"/>
          <w:szCs w:val="32"/>
          <w:lang w:eastAsia="zh-CN"/>
        </w:rPr>
        <w:t>持续</w:t>
      </w:r>
      <w:r>
        <w:rPr>
          <w:rFonts w:hint="default" w:ascii="Times New Roman" w:hAnsi="Times New Roman" w:eastAsia="仿宋_GB2312" w:cs="Times New Roman"/>
          <w:snapToGrid w:val="0"/>
          <w:color w:val="000000"/>
          <w:kern w:val="32"/>
          <w:sz w:val="32"/>
          <w:szCs w:val="32"/>
          <w:lang w:val="en-US" w:eastAsia="zh-CN"/>
        </w:rPr>
        <w:t>推进作风革命、效能革命</w:t>
      </w:r>
      <w:r>
        <w:rPr>
          <w:rFonts w:hint="default"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color w:val="auto"/>
          <w:sz w:val="32"/>
          <w:szCs w:val="32"/>
        </w:rPr>
        <w:t>全年运用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四种形态</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中第一种形态开展谈</w:t>
      </w:r>
      <w:r>
        <w:rPr>
          <w:rFonts w:hint="default" w:ascii="Times New Roman" w:hAnsi="Times New Roman" w:eastAsia="仿宋_GB2312" w:cs="Times New Roman"/>
          <w:color w:val="auto"/>
          <w:sz w:val="32"/>
          <w:szCs w:val="32"/>
          <w:u w:val="none"/>
        </w:rPr>
        <w:t>话</w:t>
      </w:r>
      <w:r>
        <w:rPr>
          <w:rFonts w:hint="default" w:ascii="Times New Roman" w:hAnsi="Times New Roman" w:eastAsia="仿宋_GB2312" w:cs="Times New Roman"/>
          <w:color w:val="auto"/>
          <w:sz w:val="32"/>
          <w:szCs w:val="32"/>
          <w:u w:val="none"/>
          <w:lang w:val="en-US" w:eastAsia="zh-CN"/>
        </w:rPr>
        <w:t>8</w:t>
      </w:r>
      <w:r>
        <w:rPr>
          <w:rFonts w:hint="default" w:ascii="Times New Roman" w:hAnsi="Times New Roman" w:eastAsia="仿宋_GB2312" w:cs="Times New Roman"/>
          <w:color w:val="auto"/>
          <w:sz w:val="32"/>
          <w:szCs w:val="32"/>
          <w:u w:val="none"/>
        </w:rPr>
        <w:t>次。严格</w:t>
      </w:r>
      <w:r>
        <w:rPr>
          <w:rFonts w:hint="eastAsia" w:ascii="Times New Roman" w:hAnsi="Times New Roman" w:eastAsia="仿宋_GB2312" w:cs="Times New Roman"/>
          <w:color w:val="auto"/>
          <w:sz w:val="32"/>
          <w:szCs w:val="32"/>
          <w:u w:val="none"/>
          <w:lang w:eastAsia="zh-CN"/>
        </w:rPr>
        <w:t>落实</w:t>
      </w:r>
      <w:r>
        <w:rPr>
          <w:rFonts w:hint="default" w:ascii="Times New Roman" w:hAnsi="Times New Roman" w:eastAsia="仿宋_GB2312" w:cs="Times New Roman"/>
          <w:color w:val="auto"/>
          <w:sz w:val="32"/>
          <w:szCs w:val="32"/>
          <w:u w:val="none"/>
        </w:rPr>
        <w:t>中央八项规定精神，</w:t>
      </w:r>
      <w:r>
        <w:rPr>
          <w:rFonts w:hint="default" w:ascii="Times New Roman" w:hAnsi="Times New Roman" w:eastAsia="仿宋_GB2312" w:cs="Times New Roman"/>
          <w:snapToGrid w:val="0"/>
          <w:color w:val="auto"/>
          <w:kern w:val="32"/>
          <w:sz w:val="32"/>
          <w:szCs w:val="32"/>
          <w:lang w:val="en-US" w:eastAsia="zh-CN"/>
        </w:rPr>
        <w:t>落实整治形式主义为基层减负要求，</w:t>
      </w:r>
      <w:r>
        <w:rPr>
          <w:rFonts w:hint="default" w:ascii="Times New Roman" w:hAnsi="Times New Roman" w:eastAsia="仿宋_GB2312" w:cs="Times New Roman"/>
          <w:snapToGrid w:val="0"/>
          <w:color w:val="000000"/>
          <w:kern w:val="32"/>
          <w:sz w:val="32"/>
          <w:szCs w:val="32"/>
          <w:lang w:val="en-US" w:eastAsia="zh-CN"/>
        </w:rPr>
        <w:t>从严精简文件，严控会议数量和规模，</w:t>
      </w:r>
      <w:r>
        <w:rPr>
          <w:rFonts w:hint="default" w:ascii="Times New Roman" w:hAnsi="Times New Roman" w:eastAsia="仿宋_GB2312" w:cs="Times New Roman"/>
          <w:color w:val="000000"/>
          <w:sz w:val="32"/>
          <w:szCs w:val="32"/>
        </w:rPr>
        <w:t>始终保持政协机关风清气正的政治生态和务实高效的机关效能。</w:t>
      </w:r>
    </w:p>
    <w:p w14:paraId="363E0EBD">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（二）项目绩效目标。</w:t>
      </w:r>
    </w:p>
    <w:p w14:paraId="00CB9C2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中国人民政治协商会议昆明市五华区委员会</w:t>
      </w:r>
      <w:r>
        <w:rPr>
          <w:rFonts w:hint="eastAsia" w:ascii="仿宋_GB2312" w:hAnsi="仿宋_GB2312" w:eastAsia="仿宋_GB2312" w:cs="仿宋_GB2312"/>
          <w:sz w:val="32"/>
          <w:szCs w:val="32"/>
        </w:rPr>
        <w:t>在202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年度中，开展政协委员之家活动，开展街道政协工作联络委活动，政协常委及</w:t>
      </w:r>
      <w:r>
        <w:rPr>
          <w:rFonts w:hint="eastAsia" w:ascii="仿宋_GB2312" w:hAnsi="仿宋_GB2312" w:eastAsia="仿宋_GB2312" w:cs="仿宋_GB2312"/>
          <w:sz w:val="32"/>
          <w:szCs w:val="32"/>
          <w:lang w:eastAsia="zh-CN"/>
        </w:rPr>
        <w:t>政协委员参政议政</w:t>
      </w:r>
      <w:bookmarkStart w:id="0" w:name="_GoBack"/>
      <w:bookmarkEnd w:id="0"/>
      <w:r>
        <w:rPr>
          <w:rFonts w:hint="eastAsia" w:ascii="仿宋_GB2312" w:hAnsi="仿宋_GB2312" w:eastAsia="仿宋_GB2312" w:cs="仿宋_GB2312"/>
          <w:sz w:val="32"/>
          <w:szCs w:val="32"/>
        </w:rPr>
        <w:t>，政协委员开展调研、视察等参政议政活动，对委员进行培训提高履职能力和水平，对全区重点工作开展课题调研。按区政协年度工作计划完成协调、保障专题调研计划和开展相关活动的组织服务工作，处理政协委员和人民群众的来信来访，联系区级各民主党派、工商联等政协参加单位，及政协机关的日常运作。完成《五华史话》丛书的编辑印刷。人民政协是中国人民爱国统一战线的组织，是中国共产党领导的多党合作和政治协商的重要机构，是我国政治生活中发扬社会主义民主的重要形式，是国家治理体系的重要组成部分，是具有中国特色的制度安排。政协委员作为各党派团体、各族各界代表人士，具有一定的社会影响和参政议政能力。信息化可以有效破解闭会期间政协委员履职难题，调动政协委员履职积极性。第一，信息化传播空间上的“全网化”和时间上的“全天候”加强了政协组织与政协委员，以及不同地区政协之间的联系，运用信息化开展工作。第二，通过信息化渠道，深化服务政协委员，开展提案、视察调研、反映社情民意信息等工作，提升政协履职成效和水平。</w:t>
      </w:r>
    </w:p>
    <w:p w14:paraId="2CD375DB">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（三）项目组织管理情况。</w:t>
      </w:r>
    </w:p>
    <w:p w14:paraId="0504530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1.项目组织情况</w:t>
      </w:r>
    </w:p>
    <w:p w14:paraId="18172AB9">
      <w:pPr>
        <w:spacing w:line="560" w:lineRule="exact"/>
        <w:ind w:firstLine="600" w:firstLineChars="200"/>
        <w:rPr>
          <w:rFonts w:ascii="仿宋_GB2312" w:hAnsi="仿宋_GB2312" w:eastAsia="仿宋_GB2312" w:cs="仿宋_GB2312"/>
          <w:sz w:val="32"/>
          <w:szCs w:val="32"/>
        </w:rPr>
      </w:pPr>
      <w:r>
        <w:rPr>
          <w:rFonts w:hint="eastAsia" w:ascii="仿宋_GB2312" w:hAnsi="楷体" w:eastAsia="仿宋_GB2312"/>
          <w:sz w:val="30"/>
          <w:szCs w:val="30"/>
        </w:rPr>
        <w:t>中国人民政治协商会议昆明市五华区委员会由委员联络委员会、提案委员会、经济和农业农村委员会、人口资源环境和城乡建设委员会、教科卫体委员会、社会法制和民族宗教委员会、文化文史和学习委员会、办公室组成（其中办公室下设秘书科）。机构编制管理部门核定编制人数2</w:t>
      </w:r>
      <w:r>
        <w:rPr>
          <w:rFonts w:hint="eastAsia" w:ascii="仿宋_GB2312" w:hAnsi="楷体" w:eastAsia="仿宋_GB2312"/>
          <w:sz w:val="30"/>
          <w:szCs w:val="30"/>
          <w:lang w:val="en-US" w:eastAsia="zh-CN"/>
        </w:rPr>
        <w:t>7</w:t>
      </w:r>
      <w:r>
        <w:rPr>
          <w:rFonts w:hint="eastAsia" w:ascii="仿宋_GB2312" w:hAnsi="楷体" w:eastAsia="仿宋_GB2312"/>
          <w:sz w:val="30"/>
          <w:szCs w:val="30"/>
        </w:rPr>
        <w:t>人，其中：核定下达区政协行政编制2</w:t>
      </w:r>
      <w:r>
        <w:rPr>
          <w:rFonts w:hint="eastAsia" w:ascii="仿宋_GB2312" w:hAnsi="楷体" w:eastAsia="仿宋_GB2312"/>
          <w:sz w:val="30"/>
          <w:szCs w:val="30"/>
          <w:lang w:val="en-US" w:eastAsia="zh-CN"/>
        </w:rPr>
        <w:t>4</w:t>
      </w:r>
      <w:r>
        <w:rPr>
          <w:rFonts w:hint="eastAsia" w:ascii="仿宋_GB2312" w:hAnsi="楷体" w:eastAsia="仿宋_GB2312"/>
          <w:sz w:val="30"/>
          <w:szCs w:val="30"/>
        </w:rPr>
        <w:t>名，工勤编制</w:t>
      </w:r>
      <w:r>
        <w:rPr>
          <w:rFonts w:hint="eastAsia" w:ascii="仿宋_GB2312" w:hAnsi="楷体" w:eastAsia="仿宋_GB2312"/>
          <w:sz w:val="30"/>
          <w:szCs w:val="30"/>
          <w:lang w:val="en-US" w:eastAsia="zh-CN"/>
        </w:rPr>
        <w:t>3</w:t>
      </w:r>
      <w:r>
        <w:rPr>
          <w:rFonts w:hint="eastAsia" w:ascii="仿宋_GB2312" w:hAnsi="楷体" w:eastAsia="仿宋_GB2312"/>
          <w:sz w:val="30"/>
          <w:szCs w:val="30"/>
        </w:rPr>
        <w:t>名。</w:t>
      </w:r>
    </w:p>
    <w:p w14:paraId="51B2BEB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2.项目管理情况</w:t>
      </w:r>
    </w:p>
    <w:p w14:paraId="18ED9F8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项目实施前：按照财务制度、预算管理办法、内控制度、“三重一大”相关制度申请、审批项目经费，每项活动开展前制定切实可行的活动计划、方案；</w:t>
      </w:r>
    </w:p>
    <w:p w14:paraId="16E891E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项目实施中：严格按照项目预算开展工作，避免超预算开支；</w:t>
      </w:r>
    </w:p>
    <w:p w14:paraId="749FF28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项目结束后：充分评估项目实施中的问题，为下一次项目实施积累经验。</w:t>
      </w:r>
    </w:p>
    <w:p w14:paraId="6B73E63B">
      <w:pPr>
        <w:numPr>
          <w:ilvl w:val="0"/>
          <w:numId w:val="1"/>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制度建设情况</w:t>
      </w:r>
    </w:p>
    <w:p w14:paraId="57F8C24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认真贯彻落实中央和省市区有关规定和财务规章，以制度规范管理，以规范提升工作水平，严格落实《五华区预算绩效目标管理暂行办法》等相关财务制度，进一步加强对机关项目资金管理、经费审批,及支票使用等方面管理、监督和检查，做到机关项目经费严格按照单位的财务制度和预算支出范围的使用，按照项目计划安排和实际工作情况开支，进一步提升了财务管理规范化水平。</w:t>
      </w:r>
    </w:p>
    <w:p w14:paraId="63B6F386">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二、绩效评价工作开展情况</w:t>
      </w:r>
    </w:p>
    <w:p w14:paraId="7954AC10">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（一）绩效评价目的、对象和范围。</w:t>
      </w:r>
    </w:p>
    <w:p w14:paraId="1CF432AE">
      <w:pPr>
        <w:tabs>
          <w:tab w:val="left" w:pos="5128"/>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目的：通过项目支出资金收支情况、绩效目标设置情况、资金使用情况、资金管理情况、取得成效情况进行自评，了解资金是否达到了预期目标、资金管理是否规范、资金使用是否有效，检验资金支出效率和效果，分析存在的问题及原因，及时总结经验，改进管理措施，不断增强和落实管理责任，完善工作机制，有效提高资金管理水平和使用效益，实现政府财政资金的合理配置，规范预算分配，优化财政支出结构，降低政府运行成本。</w:t>
      </w:r>
    </w:p>
    <w:p w14:paraId="260B8F5C">
      <w:pPr>
        <w:tabs>
          <w:tab w:val="left" w:pos="5128"/>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绩效评价对象：中国人民政治协商会议昆明市五华区委员会政协参政议政经费支出绩效评价。</w:t>
      </w:r>
    </w:p>
    <w:p w14:paraId="19E28C0C">
      <w:pPr>
        <w:tabs>
          <w:tab w:val="left" w:pos="5128"/>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绩效评价范围：对2</w:t>
      </w:r>
      <w:r>
        <w:rPr>
          <w:rFonts w:ascii="仿宋_GB2312" w:hAnsi="仿宋_GB2312" w:eastAsia="仿宋_GB2312" w:cs="仿宋_GB2312"/>
          <w:sz w:val="32"/>
          <w:szCs w:val="32"/>
        </w:rPr>
        <w:t>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年中国人民政治协商会议昆明市五华区委员会政协参政议政经费项目实施的情况，产生的效益进行评价。</w:t>
      </w:r>
    </w:p>
    <w:p w14:paraId="767BD8FC">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（二）绩效评价原则、依据、评价指标体系、评价方法、评价标准、评价抽样等。</w:t>
      </w:r>
    </w:p>
    <w:p w14:paraId="273D8DA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评价原则：通过绩效评价，及时掌握经费项目开展情况、资金使用、组织情况、制度建设、执行情况、监督考核以及取得的成效，同时总结经验、提出改进的意见和建议，不断提高财政资金使用效益。</w:t>
      </w:r>
    </w:p>
    <w:p w14:paraId="5195762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评价依据：根据《中华人民共和国预算法》、《五华区预算绩效管理暂行办法》（五政办通〔2017〕10号）、《五华区财政局关于开展202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年度区级预算支出部门绩效评价工作的通知》（五财〔202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号）、《五华区财政局关于公开预算绩效管理信息的通知》（五财〔2019〕48号）、五华区财政局关于印发《五华区预算绩效自评管理暂行办法》的通知（五财〔2019〕51号）、《中国人民政治协商会议昆明市五华区第十届委员会常务委员会工作报告》，申请预算时填报的绩效目标申报表，预算批复，年度预算执行情况，年度决算报告等相关资料，对中国人民政治协商会议昆明市五华区委员会政协参政议政经费支出绩效进行评价。</w:t>
      </w:r>
    </w:p>
    <w:p w14:paraId="1401688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评价方法：本单位按照成本效益分析法，将投入与产出、效益进行关联性的分析。</w:t>
      </w:r>
    </w:p>
    <w:p w14:paraId="1F9C73E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评价标准：按照预先定制的项目实施目标、计划、预算等作为评价标准。</w:t>
      </w:r>
    </w:p>
    <w:p w14:paraId="570EA74B">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（三）绩效评价工作过程。</w:t>
      </w:r>
    </w:p>
    <w:p w14:paraId="654D168B">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确认当年度中国人民政治协商会议昆明市五华区委员会项目支出的绩效目标→梳理中国人民政治协商会议昆明市五华区委员会内部管理制度及存量资源→分析确定当年度中国人民政治协商会议昆明市五华区委员会政协项目支出的评价重点→构建绩效评价指标体系</w:t>
      </w:r>
    </w:p>
    <w:p w14:paraId="376FBEBB">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三、综合评价情况及评价结论（附相关评分表）</w:t>
      </w:r>
    </w:p>
    <w:p w14:paraId="5CE7B110">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（一）绩效评价综合结论。</w:t>
      </w:r>
    </w:p>
    <w:p w14:paraId="318C954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中国人民政治协商会议昆明市五华区委员会项目支出绩效目标明确，符合法律法规及经济社会发展规划的要求，经对绩效目标设定、资金管理、资产管理、财务管理、各项目产出、社会效益等方面进行了绩效评价。</w:t>
      </w:r>
    </w:p>
    <w:p w14:paraId="2C0A8B0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评价综合得分为9</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分，评分等级为优，能准确反映出项目绩效支出。</w:t>
      </w:r>
    </w:p>
    <w:p w14:paraId="406436B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绩效评价结果采取量化评分，量化分值为百分制，评价结果分为四个等级。评分等级优（得分≧90），良（90﹥得分≧80），中（80﹥得分≧60），差（得分﹤60）。</w:t>
      </w:r>
    </w:p>
    <w:p w14:paraId="0175FB49">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（二）绩效目标实现情况等。</w:t>
      </w:r>
    </w:p>
    <w:p w14:paraId="56D1939B">
      <w:pPr>
        <w:numPr>
          <w:ilvl w:val="0"/>
          <w:numId w:val="2"/>
        </w:num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推动辖区经济社会又好又快发展</w:t>
      </w:r>
      <w:r>
        <w:rPr>
          <w:rFonts w:hint="eastAsia" w:ascii="仿宋_GB2312" w:hAnsi="仿宋_GB2312" w:eastAsia="仿宋_GB2312" w:cs="仿宋_GB2312"/>
          <w:sz w:val="32"/>
          <w:szCs w:val="32"/>
        </w:rPr>
        <w:t>；</w:t>
      </w:r>
    </w:p>
    <w:p w14:paraId="1B078015">
      <w:pPr>
        <w:numPr>
          <w:ilvl w:val="0"/>
          <w:numId w:val="2"/>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保证政协机关正常运作，为参加政协单位和政协委员做好服务保障。</w:t>
      </w:r>
    </w:p>
    <w:p w14:paraId="26363C35">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四、绩效评价指标分析</w:t>
      </w:r>
    </w:p>
    <w:p w14:paraId="386707CF">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（一）项目决策情况分析</w:t>
      </w:r>
      <w:r>
        <w:rPr>
          <w:rFonts w:hint="eastAsia" w:ascii="楷体_GB2312" w:hAnsi="楷体_GB2312" w:eastAsia="楷体_GB2312" w:cs="楷体_GB2312"/>
          <w:color w:val="auto"/>
          <w:sz w:val="32"/>
          <w:szCs w:val="32"/>
          <w:lang w:eastAsia="zh-CN"/>
        </w:rPr>
        <w:t>。</w:t>
      </w:r>
    </w:p>
    <w:p w14:paraId="40151005">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1．项目的立项依据充分:符合国家法律法规、国民经济发展规划，与部门职责范围相符，属于部门职责所需，属于公共财政支持的范围；</w:t>
      </w:r>
    </w:p>
    <w:p w14:paraId="36E64FF2">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 项目的立项程序规范:按照规定的程序申请设立，审批文件、材料符合相关要求；</w:t>
      </w:r>
    </w:p>
    <w:p w14:paraId="1EA800F0">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3.项目绩效目标合理：设定的绩效目标依据合理、充分，与实际工作内容具有相关性，预期产出的效益和效果符合正常的水平；</w:t>
      </w:r>
    </w:p>
    <w:p w14:paraId="1F00342C">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 项目绩效指标明确：项目设定的绩效指标明确，是清晰、细化的；</w:t>
      </w:r>
    </w:p>
    <w:p w14:paraId="46CC1FED">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5.预算编制科学：预算编制有明确的标准，资金额度与年度目标相适应；</w:t>
      </w:r>
    </w:p>
    <w:p w14:paraId="5DC70A42">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6.资金分配合理：项目预算资金分配有测算依据，分配合理与项目单位相适应。</w:t>
      </w:r>
    </w:p>
    <w:p w14:paraId="4BCC799F">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（二）项目过程情况分析。</w:t>
      </w:r>
    </w:p>
    <w:p w14:paraId="42E1EDCD">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资金到位率：资金到位率=（实际到位资金/预算资金）*</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619028.6/1060920=58.35</w:t>
      </w:r>
      <w:r>
        <w:rPr>
          <w:rFonts w:hint="eastAsia" w:ascii="仿宋_GB2312" w:hAnsi="仿宋_GB2312" w:eastAsia="仿宋_GB2312" w:cs="仿宋_GB2312"/>
          <w:sz w:val="32"/>
          <w:szCs w:val="32"/>
        </w:rPr>
        <w:t>%；</w:t>
      </w:r>
    </w:p>
    <w:p w14:paraId="411F837E">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预算执行率：预算执行率=（实际支出资金/实际到位资金）*</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124220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619028.6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20.06</w:t>
      </w:r>
      <w:r>
        <w:rPr>
          <w:rFonts w:hint="eastAsia" w:ascii="仿宋_GB2312" w:hAnsi="仿宋_GB2312" w:eastAsia="仿宋_GB2312" w:cs="仿宋_GB2312"/>
          <w:sz w:val="32"/>
          <w:szCs w:val="32"/>
        </w:rPr>
        <w:t>%；</w:t>
      </w:r>
    </w:p>
    <w:p w14:paraId="5951C0EC">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资金使用合规性：资金使用合规，符合国家财经法规，按照本单位财务管理制度进行开支，支付的资金有完整的审批程序和手续，符合项目预算批复或合同规定的用途，不存在截留、挤占、挪用、虚列支出等情况；</w:t>
      </w:r>
    </w:p>
    <w:p w14:paraId="1C93521F">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管理制度健全性：管理制度健全、合法、合规、完整，能保障项目顺利实施；</w:t>
      </w:r>
    </w:p>
    <w:p w14:paraId="2F5F3118">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制度执行有效性：遵守相关法律法规和相关管理规定，项目支出手续完整，项目支出的项目附件资料齐全并及时归档；</w:t>
      </w:r>
    </w:p>
    <w:p w14:paraId="70914AB4">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（三）项目产出情况分析。</w:t>
      </w:r>
    </w:p>
    <w:p w14:paraId="0A5F6DAD">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该项目属于延续性项目，每年按工作计划开展，项目产出良好；</w:t>
      </w:r>
    </w:p>
    <w:p w14:paraId="1FFD3323">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．产出数量：实际完成率=（实际产出数/计划产出数），委员</w:t>
      </w:r>
      <w:r>
        <w:rPr>
          <w:rFonts w:hint="eastAsia" w:ascii="仿宋_GB2312" w:hAnsi="仿宋_GB2312" w:eastAsia="仿宋_GB2312" w:cs="仿宋_GB2312"/>
          <w:sz w:val="32"/>
          <w:szCs w:val="32"/>
          <w:lang w:eastAsia="zh-CN"/>
        </w:rPr>
        <w:t>工作室</w:t>
      </w:r>
      <w:r>
        <w:rPr>
          <w:rFonts w:hint="eastAsia" w:ascii="仿宋_GB2312" w:hAnsi="仿宋_GB2312" w:eastAsia="仿宋_GB2312" w:cs="仿宋_GB2312"/>
          <w:sz w:val="32"/>
          <w:szCs w:val="32"/>
        </w:rPr>
        <w:t>个数=10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10=10</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%、组织政协委员调查、视察、调研、提案督办等次数=</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%、组织政协委员培训次数=4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4=</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%、组织政协委员调查、视察、调研、提案督办等人数=320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320=</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%、《五华史话》丛书辑的编辑印刷数量=</w:t>
      </w:r>
      <w:r>
        <w:rPr>
          <w:rFonts w:hint="eastAsia" w:ascii="仿宋_GB2312" w:hAnsi="仿宋_GB2312" w:eastAsia="仿宋_GB2312" w:cs="仿宋_GB2312"/>
          <w:sz w:val="32"/>
          <w:szCs w:val="32"/>
          <w:lang w:val="en-US" w:eastAsia="zh-CN"/>
        </w:rPr>
        <w:t>1000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1000=</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14:paraId="45A5F5F0">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2．产出质量：完成政协日常业务工作达100%；</w:t>
      </w:r>
    </w:p>
    <w:p w14:paraId="1E7BD372">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3．产出时效：该项目在2</w:t>
      </w:r>
      <w:r>
        <w:rPr>
          <w:rFonts w:ascii="仿宋_GB2312" w:hAnsi="仿宋_GB2312" w:eastAsia="仿宋_GB2312" w:cs="仿宋_GB2312"/>
          <w:sz w:val="32"/>
          <w:szCs w:val="32"/>
        </w:rPr>
        <w:t>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年当年度已完成；</w:t>
      </w:r>
    </w:p>
    <w:p w14:paraId="436AED72">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4．产出成本：</w:t>
      </w:r>
      <w:r>
        <w:rPr>
          <w:rFonts w:ascii="仿宋_GB2312" w:hAnsi="仿宋_GB2312" w:eastAsia="仿宋_GB2312" w:cs="仿宋_GB2312"/>
          <w:sz w:val="32"/>
          <w:szCs w:val="32"/>
        </w:rPr>
        <w:t>成本节约率=[（计划成本-实际成本）/ 计划成本]×100%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96.09</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8.36</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96.09</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91.64</w:t>
      </w:r>
      <w:r>
        <w:rPr>
          <w:rFonts w:hint="eastAsia" w:ascii="仿宋_GB2312" w:hAnsi="仿宋_GB2312" w:eastAsia="仿宋_GB2312" w:cs="仿宋_GB2312"/>
          <w:sz w:val="32"/>
          <w:szCs w:val="32"/>
        </w:rPr>
        <w:t>%</w:t>
      </w:r>
    </w:p>
    <w:p w14:paraId="4165CBC9">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（四）项目效益情况分析。</w:t>
      </w:r>
    </w:p>
    <w:p w14:paraId="7D458A71">
      <w:pPr>
        <w:spacing w:line="560" w:lineRule="exact"/>
        <w:ind w:left="420" w:leftChars="200"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1．实施效益：</w:t>
      </w:r>
      <w:r>
        <w:rPr>
          <w:rFonts w:ascii="仿宋_GB2312" w:hAnsi="仿宋_GB2312" w:eastAsia="仿宋_GB2312" w:cs="仿宋_GB2312"/>
          <w:sz w:val="32"/>
          <w:szCs w:val="32"/>
        </w:rPr>
        <w:t>推动辖区经济社会又好又快发展</w:t>
      </w:r>
      <w:r>
        <w:rPr>
          <w:rFonts w:hint="eastAsia" w:ascii="仿宋_GB2312" w:hAnsi="仿宋_GB2312" w:eastAsia="仿宋_GB2312" w:cs="仿宋_GB2312"/>
          <w:sz w:val="32"/>
          <w:szCs w:val="32"/>
        </w:rPr>
        <w:t>；保证政协机关正常运作，为参加政协单位和政协委员做好服务保障。</w:t>
      </w:r>
    </w:p>
    <w:p w14:paraId="6F3072A6">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．满意度：服务对象对部门工作满意度达到90%。</w:t>
      </w:r>
    </w:p>
    <w:p w14:paraId="04D961A6">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五、主要经验及做法</w:t>
      </w:r>
    </w:p>
    <w:p w14:paraId="49BDFEC8">
      <w:pPr>
        <w:spacing w:line="58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sz w:val="32"/>
          <w:szCs w:val="32"/>
        </w:rPr>
        <w:t>过加强预算绩效管理工作，牢固树立“讲绩效、重绩效、用绩效”的观念，进一步完善绩效评价结果运用机制，将评价结果作为申报以后年度预算的重要依据，发挥绩效评价工作的应有作用。下一步，将继续按照上级部门及财政局相关要求，认真做好项目经费预算、管理和使用等工作，切实提高项目经费使用效率，最大限度的满足各项工作要求，为本单位工作提供更好支撑和支持。</w:t>
      </w:r>
    </w:p>
    <w:p w14:paraId="33A94396">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六、存在的问题及原因分析</w:t>
      </w:r>
    </w:p>
    <w:p w14:paraId="0975551A">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无</w:t>
      </w:r>
    </w:p>
    <w:p w14:paraId="73ECC8BA">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七、有关建议</w:t>
      </w:r>
    </w:p>
    <w:p w14:paraId="78E34E6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通过对202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年财政绩效支出工作的梳理总结，针对存在的问题将做好以下改进措施：</w:t>
      </w:r>
    </w:p>
    <w:p w14:paraId="24AA374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1.进一步完善预算资金使用的制度建设，确保以制度做好监督，使财政预算绩效工作能够合法合理，科学有效开展；</w:t>
      </w:r>
    </w:p>
    <w:p w14:paraId="0257995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2.加强过程监督，提高资金使用效益，完善绩效指标体系，尽可能合理的细化、量化指标体系，使各项指标能充分反映在预算管理工作中。</w:t>
      </w:r>
    </w:p>
    <w:p w14:paraId="134F13A4">
      <w:pPr>
        <w:spacing w:line="560" w:lineRule="exact"/>
        <w:ind w:firstLine="640" w:firstLineChars="200"/>
        <w:rPr>
          <w:rFonts w:hint="eastAsia" w:ascii="黑体" w:hAnsi="黑体" w:eastAsia="黑体" w:cs="黑体"/>
          <w:color w:val="auto"/>
          <w:sz w:val="32"/>
          <w:szCs w:val="32"/>
        </w:rPr>
      </w:pPr>
      <w:r>
        <w:rPr>
          <w:rFonts w:hint="eastAsia" w:ascii="仿宋_GB2312" w:hAnsi="仿宋_GB2312" w:eastAsia="仿宋_GB2312" w:cs="仿宋_GB2312"/>
          <w:sz w:val="32"/>
          <w:szCs w:val="32"/>
        </w:rPr>
        <w:t>3.根据《预算法》及实施条例，结合自身预算执行的实际情况，努力做好收支平衡，严谨、科学的编制年度预算，制定合理的绩效目标，做好预算执行中的监督，不断完善预算管理工作。</w:t>
      </w:r>
    </w:p>
    <w:p w14:paraId="7309067C">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八、其他需要说明的问题</w:t>
      </w:r>
    </w:p>
    <w:p w14:paraId="65E9EB0C">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无</w:t>
      </w:r>
    </w:p>
    <w:p w14:paraId="549A933B">
      <w:pPr>
        <w:keepNext w:val="0"/>
        <w:keepLines w:val="0"/>
        <w:pageBreakBefore w:val="0"/>
        <w:widowControl w:val="0"/>
        <w:kinsoku/>
        <w:wordWrap/>
        <w:overflowPunct/>
        <w:topLinePunct w:val="0"/>
        <w:autoSpaceDE/>
        <w:autoSpaceDN/>
        <w:bidi w:val="0"/>
        <w:adjustRightInd/>
        <w:snapToGrid/>
        <w:spacing w:line="560" w:lineRule="exact"/>
        <w:ind w:left="0" w:right="0" w:firstLine="600" w:firstLineChars="200"/>
        <w:jc w:val="both"/>
        <w:textAlignment w:val="auto"/>
        <w:rPr>
          <w:rFonts w:hint="eastAsia" w:ascii="仿宋_GB2312" w:hAnsi="仿宋_GB2312" w:eastAsia="仿宋_GB2312" w:cs="仿宋_GB2312"/>
          <w:sz w:val="30"/>
          <w:szCs w:val="30"/>
        </w:rPr>
      </w:pPr>
    </w:p>
    <w:p w14:paraId="4990E267">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277EDC09">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20C6ECBC">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2937C47D">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39F92AF5">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3BA7595E">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600C35D8">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72F7B49F">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08959C31">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7A8A253A">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4F553EBB">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60849741">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711751C9">
      <w:pPr>
        <w:keepNext w:val="0"/>
        <w:keepLines w:val="0"/>
        <w:pageBreakBefore w:val="0"/>
        <w:widowControl w:val="0"/>
        <w:kinsoku/>
        <w:wordWrap/>
        <w:overflowPunct/>
        <w:topLinePunct w:val="0"/>
        <w:autoSpaceDE/>
        <w:autoSpaceDN/>
        <w:bidi w:val="0"/>
        <w:adjustRightInd/>
        <w:snapToGrid/>
        <w:spacing w:after="0" w:line="560" w:lineRule="exact"/>
        <w:ind w:right="0"/>
        <w:jc w:val="both"/>
        <w:textAlignment w:val="auto"/>
        <w:rPr>
          <w:rFonts w:hint="eastAsia" w:ascii="仿宋_GB2312" w:hAnsi="仿宋_GB2312" w:eastAsia="仿宋_GB2312" w:cs="仿宋_GB2312"/>
          <w:color w:val="auto"/>
          <w:sz w:val="32"/>
          <w:szCs w:val="32"/>
          <w:lang w:eastAsia="zh-CN"/>
        </w:rPr>
      </w:pPr>
    </w:p>
    <w:p w14:paraId="4E98D490">
      <w:pPr>
        <w:keepNext w:val="0"/>
        <w:keepLines w:val="0"/>
        <w:pageBreakBefore w:val="0"/>
        <w:widowControl/>
        <w:kinsoku/>
        <w:wordWrap/>
        <w:overflowPunct/>
        <w:topLinePunct w:val="0"/>
        <w:autoSpaceDE/>
        <w:autoSpaceDN/>
        <w:bidi w:val="0"/>
        <w:adjustRightInd/>
        <w:snapToGrid/>
        <w:spacing w:after="0" w:line="560" w:lineRule="exact"/>
        <w:ind w:right="0"/>
        <w:jc w:val="both"/>
        <w:textAlignment w:val="auto"/>
        <w:rPr>
          <w:rFonts w:hint="eastAsia" w:ascii="仿宋_GB2312" w:hAnsi="仿宋_GB2312" w:eastAsia="仿宋_GB2312" w:cs="仿宋_GB2312"/>
          <w:color w:val="auto"/>
          <w:sz w:val="32"/>
          <w:szCs w:val="32"/>
          <w:lang w:eastAsia="zh-CN"/>
        </w:rPr>
      </w:pPr>
    </w:p>
    <w:p w14:paraId="6EBCB1A3">
      <w:pPr>
        <w:keepNext w:val="0"/>
        <w:keepLines w:val="0"/>
        <w:pageBreakBefore w:val="0"/>
        <w:widowControl/>
        <w:kinsoku/>
        <w:wordWrap/>
        <w:overflowPunct/>
        <w:topLinePunct w:val="0"/>
        <w:autoSpaceDE/>
        <w:autoSpaceDN/>
        <w:bidi w:val="0"/>
        <w:adjustRightInd/>
        <w:snapToGrid/>
        <w:spacing w:after="0" w:line="560" w:lineRule="exact"/>
        <w:ind w:right="0"/>
        <w:jc w:val="both"/>
        <w:textAlignment w:val="auto"/>
        <w:rPr>
          <w:rFonts w:hint="eastAsia" w:ascii="仿宋_GB2312" w:hAnsi="仿宋_GB2312" w:eastAsia="仿宋_GB2312" w:cs="仿宋_GB2312"/>
          <w:color w:val="auto"/>
          <w:sz w:val="32"/>
          <w:szCs w:val="32"/>
          <w:lang w:eastAsia="zh-CN"/>
        </w:rPr>
      </w:pPr>
    </w:p>
    <w:p w14:paraId="0842D93C"/>
    <w:sectPr>
      <w:headerReference r:id="rId3" w:type="default"/>
      <w:footerReference r:id="rId4" w:type="default"/>
      <w:footerReference r:id="rId5" w:type="even"/>
      <w:pgSz w:w="11906" w:h="16838"/>
      <w:pgMar w:top="2098" w:right="1474" w:bottom="1984" w:left="1588"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Wingdings 2">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BE25B2F9">
    <w:panose1 w:val="0201060103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9154A">
    <w:pPr>
      <w:pStyle w:val="5"/>
      <w:wordWrap w:val="0"/>
      <w:jc w:val="right"/>
      <w:rPr>
        <w:rFonts w:hint="default" w:ascii="仿宋_GB2312" w:eastAsia="仿宋_GB2312"/>
        <w:sz w:val="28"/>
        <w:szCs w:val="28"/>
        <w:lang w:val="en-US" w:eastAsia="zh-CN"/>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1</w:t>
    </w:r>
    <w:r>
      <w:rPr>
        <w:rFonts w:hint="eastAsia" w:ascii="仿宋_GB2312" w:eastAsia="仿宋_GB2312"/>
        <w:sz w:val="28"/>
        <w:szCs w:val="28"/>
      </w:rPr>
      <w:fldChar w:fldCharType="end"/>
    </w:r>
    <w:r>
      <w:rPr>
        <w:rFonts w:hint="eastAsia" w:ascii="仿宋_GB2312" w:eastAsia="仿宋_GB2312"/>
        <w:sz w:val="28"/>
        <w:szCs w:val="28"/>
      </w:rPr>
      <w:t>—</w:t>
    </w:r>
    <w:r>
      <w:rPr>
        <w:rFonts w:hint="eastAsia" w:ascii="仿宋_GB2312" w:eastAsia="仿宋_GB2312"/>
        <w:sz w:val="28"/>
        <w:szCs w:val="28"/>
        <w:lang w:val="en-US" w:eastAsia="zh-CN"/>
      </w:rPr>
      <w:t xml:space="preserve">  </w:t>
    </w:r>
  </w:p>
  <w:p w14:paraId="33B46838">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8EEF0">
    <w:pPr>
      <w:pStyle w:val="5"/>
      <w:ind w:firstLine="280" w:firstLineChars="1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2</w:t>
    </w:r>
    <w:r>
      <w:rPr>
        <w:rFonts w:hint="eastAsia" w:ascii="仿宋_GB2312" w:eastAsia="仿宋_GB2312"/>
        <w:sz w:val="28"/>
        <w:szCs w:val="28"/>
      </w:rPr>
      <w:fldChar w:fldCharType="end"/>
    </w:r>
    <w:r>
      <w:rPr>
        <w:rFonts w:hint="eastAsia" w:ascii="仿宋_GB2312" w:eastAsia="仿宋_GB2312"/>
        <w:sz w:val="28"/>
        <w:szCs w:val="28"/>
      </w:rPr>
      <w:t>—</w:t>
    </w:r>
  </w:p>
  <w:p w14:paraId="098051D2">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BB5E5">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EA6FFF"/>
    <w:multiLevelType w:val="singleLevel"/>
    <w:tmpl w:val="F3EA6FFF"/>
    <w:lvl w:ilvl="0" w:tentative="0">
      <w:start w:val="3"/>
      <w:numFmt w:val="decimal"/>
      <w:lvlText w:val="%1."/>
      <w:lvlJc w:val="left"/>
      <w:pPr>
        <w:tabs>
          <w:tab w:val="left" w:pos="312"/>
        </w:tabs>
      </w:pPr>
    </w:lvl>
  </w:abstractNum>
  <w:abstractNum w:abstractNumId="1">
    <w:nsid w:val="FAE307F7"/>
    <w:multiLevelType w:val="singleLevel"/>
    <w:tmpl w:val="FAE307F7"/>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73AF1"/>
    <w:rsid w:val="30CB1766"/>
    <w:rsid w:val="36B22973"/>
    <w:rsid w:val="3D758A6D"/>
    <w:rsid w:val="55F7B05B"/>
    <w:rsid w:val="5BFFF21E"/>
    <w:rsid w:val="67B73AF1"/>
    <w:rsid w:val="703A544E"/>
    <w:rsid w:val="7D2F522B"/>
    <w:rsid w:val="7EFF21A2"/>
    <w:rsid w:val="AAF73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line="560" w:lineRule="exact"/>
      <w:ind w:firstLine="640"/>
      <w:outlineLvl w:val="1"/>
    </w:pPr>
    <w:rPr>
      <w:rFonts w:eastAsia="黑体"/>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rPr>
      <w:rFonts w:ascii="Calibri" w:hAnsi="Calibri" w:eastAsia="宋体" w:cs="Times New Roman"/>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semiHidden/>
    <w:unhideWhenUsed/>
    <w:qFormat/>
    <w:uiPriority w:val="0"/>
    <w:pPr>
      <w:spacing w:before="100" w:beforeAutospacing="1" w:after="100" w:afterAutospacing="1"/>
    </w:pPr>
    <w:rPr>
      <w:rFonts w:ascii="宋体" w:hAnsi="宋体" w:eastAsia="宋体" w:cs="宋体"/>
      <w:kern w:val="0"/>
      <w:sz w:val="24"/>
      <w:szCs w:val="24"/>
      <w:lang w:val="en-US" w:eastAsia="zh-CN" w:bidi="ar-SA"/>
    </w:rPr>
  </w:style>
  <w:style w:type="paragraph" w:styleId="8">
    <w:name w:val="Body Text First Indent"/>
    <w:basedOn w:val="4"/>
    <w:qFormat/>
    <w:uiPriority w:val="0"/>
    <w:pPr>
      <w:snapToGrid/>
      <w:spacing w:line="520" w:lineRule="exact"/>
      <w:ind w:firstLine="0" w:firstLineChars="0"/>
      <w:jc w:val="center"/>
    </w:pPr>
    <w:rPr>
      <w:rFonts w:ascii="Times New Roman" w:hAnsi="Times New Roman"/>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昆明市五华区党政机关单位</Company>
  <Pages>14</Pages>
  <Words>1629</Words>
  <Characters>1739</Characters>
  <Lines>0</Lines>
  <Paragraphs>0</Paragraphs>
  <TotalTime>0</TotalTime>
  <ScaleCrop>false</ScaleCrop>
  <LinksUpToDate>false</LinksUpToDate>
  <CharactersWithSpaces>2056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2026-02-07T01:00:00Z</dcterms:created>
  <dc:creator>尤粉华</dc:creator>
  <cp:lastModifiedBy>符号</cp:lastModifiedBy>
  <dcterms:modified xsi:type="dcterms:W3CDTF">2026-08-10T09:08:39Z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705C7A341A5D4D9EBB7F3819162942B1_13</vt:lpwstr>
  </property>
  <property fmtid="{D5CDD505-2E9C-101B-9397-08002B2CF9AE}" pid="4" name="KSOTemplateDocerSaveRecord">
    <vt:lpwstr>eyJoZGlkIjoiOGQyZDRkZmFlNWM0MDliNWRhYTQ0Nzc4MzE5NmI0MjQiLCJ1c2VySWQiOiIzNjE2NjA5NTcifQ==</vt:lpwstr>
  </property>
</Properties>
</file>