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EB171">
      <w:pPr>
        <w:pageBreakBefore w:val="0"/>
        <w:wordWrap w:val="0"/>
        <w:spacing w:before="0" w:after="0" w:line="1160" w:lineRule="exact"/>
        <w:ind w:left="0" w:right="0"/>
        <w:jc w:val="center"/>
        <w:textAlignment w:val="baseline"/>
        <w:rPr>
          <w:sz w:val="72"/>
        </w:rPr>
      </w:pPr>
      <w:r>
        <w:rPr>
          <w:rFonts w:ascii="宋体" w:hAnsi="宋体" w:eastAsia="宋体" w:cs="宋体"/>
          <w:b/>
          <w:i w:val="0"/>
          <w:color w:val="ED0000"/>
          <w:spacing w:val="0"/>
          <w:sz w:val="72"/>
        </w:rPr>
        <w:t>云南省物价局文件</w:t>
      </w:r>
    </w:p>
    <w:p w14:paraId="39FE459D">
      <w:pPr>
        <w:pageBreakBefore w:val="0"/>
        <w:pBdr>
          <w:bottom w:val="single" w:color="auto" w:sz="4" w:space="1"/>
        </w:pBdr>
        <w:wordWrap w:val="0"/>
        <w:spacing w:before="0" w:after="0" w:line="500" w:lineRule="exact"/>
        <w:ind w:left="0" w:right="0"/>
        <w:jc w:val="center"/>
        <w:textAlignment w:val="baseline"/>
        <w:rPr>
          <w:sz w:val="36"/>
        </w:rPr>
      </w:pPr>
      <w:r>
        <w:rPr>
          <w:rFonts w:ascii="仿宋" w:hAnsi="仿宋" w:eastAsia="仿宋" w:cs="仿宋"/>
          <w:b w:val="0"/>
          <w:i w:val="0"/>
          <w:color w:val="000000"/>
          <w:spacing w:val="0"/>
          <w:sz w:val="36"/>
        </w:rPr>
        <w:t>云价检查〔2018〕92号</w:t>
      </w:r>
    </w:p>
    <w:p w14:paraId="5683C526">
      <w:pPr>
        <w:pageBreakBefore w:val="0"/>
        <w:wordWrap w:val="0"/>
        <w:spacing w:before="40" w:after="0" w:line="640" w:lineRule="exact"/>
        <w:ind w:left="0" w:right="0"/>
        <w:jc w:val="center"/>
        <w:textAlignment w:val="baseline"/>
        <w:rPr>
          <w:sz w:val="42"/>
        </w:rPr>
      </w:pPr>
      <w:r>
        <w:rPr>
          <w:rFonts w:ascii="宋体" w:hAnsi="宋体" w:eastAsia="宋体" w:cs="宋体"/>
          <w:b/>
          <w:i w:val="0"/>
          <w:color w:val="000000"/>
          <w:spacing w:val="0"/>
          <w:sz w:val="42"/>
        </w:rPr>
        <w:t>云南省物价局关于印发《商业银行转嫁房地产抵押评估费行为执法指南》的通知</w:t>
      </w:r>
    </w:p>
    <w:p w14:paraId="2D74EE39">
      <w:pPr>
        <w:pageBreakBefore w:val="0"/>
        <w:wordWrap w:val="0"/>
        <w:spacing w:before="40" w:after="0" w:line="640" w:lineRule="exact"/>
        <w:ind w:left="0" w:right="0"/>
        <w:jc w:val="both"/>
        <w:textAlignment w:val="baseline"/>
        <w:rPr>
          <w:sz w:val="32"/>
        </w:rPr>
      </w:pPr>
      <w:r>
        <w:rPr>
          <w:rFonts w:ascii="仿宋" w:hAnsi="仿宋" w:eastAsia="仿宋" w:cs="仿宋"/>
          <w:b w:val="0"/>
          <w:i w:val="0"/>
          <w:color w:val="000000"/>
          <w:spacing w:val="0"/>
          <w:sz w:val="32"/>
        </w:rPr>
        <w:t>各州、市发展和改革委员会(物价局)：</w:t>
      </w:r>
    </w:p>
    <w:p w14:paraId="67FBC675">
      <w:pPr>
        <w:pageBreakBefore w:val="0"/>
        <w:wordWrap w:val="0"/>
        <w:spacing w:before="0" w:after="0" w:line="640" w:lineRule="atLeast"/>
        <w:ind w:left="0" w:right="0" w:firstLine="640"/>
        <w:jc w:val="both"/>
        <w:textAlignment w:val="baseline"/>
        <w:rPr>
          <w:sz w:val="32"/>
        </w:rPr>
      </w:pPr>
      <w:r>
        <w:rPr>
          <w:rFonts w:ascii="仿宋" w:hAnsi="仿宋" w:eastAsia="仿宋" w:cs="仿宋"/>
          <w:b w:val="0"/>
          <w:i w:val="0"/>
          <w:color w:val="000000"/>
          <w:spacing w:val="0"/>
          <w:sz w:val="32"/>
        </w:rPr>
        <w:t>为落实《国家发展和改革委员会办公厅关于印发&lt;商业银行收费行为执法指南&gt;的通知》(发改办价监〔2016〕1408号)要求，规范商业银行在办理房地产抵押贷款过程中相关评估费用的承担行为，经研究，制定《商业银行转嫁房地产抵押评估费行为执法指南》，现印发你们，请遵照执行。</w:t>
      </w:r>
      <w:r>
        <w:drawing>
          <wp:anchor distT="0" distB="0" distL="0" distR="0" simplePos="0" relativeHeight="251659264" behindDoc="1" locked="0" layoutInCell="1" allowOverlap="1">
            <wp:simplePos x="0" y="0"/>
            <wp:positionH relativeFrom="page">
              <wp:posOffset>4051300</wp:posOffset>
            </wp:positionH>
            <wp:positionV relativeFrom="paragraph">
              <wp:posOffset>2057400</wp:posOffset>
            </wp:positionV>
            <wp:extent cx="1727200" cy="1676400"/>
            <wp:effectExtent l="0" t="0" r="6350" b="0"/>
            <wp:wrapNone/>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10"/>
                    <a:stretch>
                      <a:fillRect/>
                    </a:stretch>
                  </pic:blipFill>
                  <pic:spPr>
                    <a:xfrm>
                      <a:off x="0" y="0"/>
                      <a:ext cx="1727200" cy="1676400"/>
                    </a:xfrm>
                    <a:prstGeom prst="rect">
                      <a:avLst/>
                    </a:prstGeom>
                  </pic:spPr>
                </pic:pic>
              </a:graphicData>
            </a:graphic>
          </wp:anchor>
        </w:drawing>
      </w:r>
    </w:p>
    <w:p w14:paraId="43793FF5">
      <w:pPr>
        <w:pageBreakBefore w:val="0"/>
        <w:wordWrap w:val="0"/>
        <w:spacing w:before="60" w:after="0" w:line="640" w:lineRule="exact"/>
        <w:ind w:left="0" w:right="1600"/>
        <w:jc w:val="right"/>
        <w:textAlignment w:val="baseline"/>
        <w:rPr>
          <w:sz w:val="32"/>
        </w:rPr>
      </w:pPr>
      <w:r>
        <w:rPr>
          <w:rFonts w:ascii="仿宋" w:hAnsi="仿宋" w:eastAsia="仿宋" w:cs="仿宋"/>
          <w:b w:val="0"/>
          <w:i w:val="0"/>
          <w:color w:val="000000"/>
          <w:spacing w:val="0"/>
          <w:sz w:val="32"/>
        </w:rPr>
        <w:t>云南省物价局</w:t>
      </w:r>
    </w:p>
    <w:p w14:paraId="586721FD">
      <w:pPr>
        <w:pageBreakBefore w:val="0"/>
        <w:wordWrap w:val="0"/>
        <w:spacing w:before="0" w:after="0" w:line="640" w:lineRule="exact"/>
        <w:ind w:left="0" w:right="1600"/>
        <w:jc w:val="right"/>
        <w:textAlignment w:val="baseline"/>
        <w:rPr>
          <w:sz w:val="32"/>
        </w:rPr>
      </w:pPr>
      <w:r>
        <w:rPr>
          <w:rFonts w:ascii="Times New Roman" w:hAnsi="Times New Roman" w:eastAsia="Times New Roman" w:cs="Times New Roman"/>
          <w:b w:val="0"/>
          <w:i w:val="0"/>
          <w:color w:val="000000"/>
          <w:spacing w:val="0"/>
          <w:sz w:val="32"/>
        </w:rPr>
        <w:t>2018</w:t>
      </w:r>
      <w:r>
        <w:rPr>
          <w:rFonts w:ascii="仿宋" w:hAnsi="仿宋" w:eastAsia="仿宋" w:cs="仿宋"/>
          <w:b w:val="0"/>
          <w:i w:val="0"/>
          <w:color w:val="000000"/>
          <w:spacing w:val="0"/>
          <w:sz w:val="32"/>
        </w:rPr>
        <w:t>年</w:t>
      </w:r>
      <w:r>
        <w:rPr>
          <w:rFonts w:ascii="Times New Roman" w:hAnsi="Times New Roman" w:eastAsia="Times New Roman" w:cs="Times New Roman"/>
          <w:b w:val="0"/>
          <w:i w:val="0"/>
          <w:color w:val="000000"/>
          <w:spacing w:val="0"/>
          <w:sz w:val="32"/>
        </w:rPr>
        <w:t>8</w:t>
      </w:r>
      <w:r>
        <w:rPr>
          <w:rFonts w:ascii="仿宋" w:hAnsi="仿宋" w:eastAsia="仿宋" w:cs="仿宋"/>
          <w:b w:val="0"/>
          <w:i w:val="0"/>
          <w:color w:val="000000"/>
          <w:spacing w:val="0"/>
          <w:sz w:val="32"/>
        </w:rPr>
        <w:t>月</w:t>
      </w:r>
      <w:r>
        <w:rPr>
          <w:rFonts w:ascii="Times New Roman" w:hAnsi="Times New Roman" w:eastAsia="Times New Roman" w:cs="Times New Roman"/>
          <w:b w:val="0"/>
          <w:i w:val="0"/>
          <w:color w:val="000000"/>
          <w:spacing w:val="0"/>
          <w:sz w:val="32"/>
        </w:rPr>
        <w:t>1</w:t>
      </w:r>
      <w:r>
        <w:rPr>
          <w:rFonts w:ascii="仿宋" w:hAnsi="仿宋" w:eastAsia="仿宋" w:cs="仿宋"/>
          <w:b w:val="0"/>
          <w:i w:val="0"/>
          <w:color w:val="000000"/>
          <w:spacing w:val="0"/>
          <w:sz w:val="32"/>
        </w:rPr>
        <w:t>日</w:t>
      </w:r>
    </w:p>
    <w:p w14:paraId="592DABD7"/>
    <w:p w14:paraId="734F4027">
      <w:pPr>
        <w:sectPr>
          <w:headerReference r:id="rId3" w:type="default"/>
          <w:footerReference r:id="rId4" w:type="default"/>
          <w:pgSz w:w="11900" w:h="16820"/>
          <w:pgMar w:top="1800" w:right="1440" w:bottom="1440" w:left="1800" w:header="720" w:footer="1040" w:gutter="0"/>
          <w:cols w:space="720" w:num="1"/>
        </w:sectPr>
      </w:pPr>
    </w:p>
    <w:p w14:paraId="39D4CE2D">
      <w:pPr>
        <w:pageBreakBefore w:val="0"/>
        <w:wordWrap w:val="0"/>
        <w:spacing w:before="0" w:after="0" w:line="600" w:lineRule="exact"/>
        <w:ind w:left="0" w:right="0"/>
        <w:jc w:val="center"/>
        <w:textAlignment w:val="baseline"/>
        <w:rPr>
          <w:sz w:val="42"/>
        </w:rPr>
      </w:pPr>
      <w:r>
        <w:rPr>
          <w:rFonts w:ascii="宋体" w:hAnsi="宋体" w:eastAsia="宋体" w:cs="宋体"/>
          <w:b/>
          <w:i w:val="0"/>
          <w:color w:val="243F8E"/>
          <w:spacing w:val="0"/>
          <w:sz w:val="42"/>
        </w:rPr>
        <w:t>商业银行转嫁房地产抵押评估费</w:t>
      </w:r>
    </w:p>
    <w:p w14:paraId="15550A9F">
      <w:pPr>
        <w:pageBreakBefore w:val="0"/>
        <w:wordWrap w:val="0"/>
        <w:spacing w:before="0" w:after="0" w:line="600" w:lineRule="exact"/>
        <w:ind w:left="0" w:right="0"/>
        <w:jc w:val="center"/>
        <w:textAlignment w:val="baseline"/>
        <w:rPr>
          <w:sz w:val="42"/>
        </w:rPr>
      </w:pPr>
      <w:r>
        <w:rPr>
          <w:rFonts w:ascii="宋体" w:hAnsi="宋体" w:eastAsia="宋体" w:cs="宋体"/>
          <w:b/>
          <w:i w:val="0"/>
          <w:color w:val="243F8E"/>
          <w:spacing w:val="0"/>
          <w:sz w:val="42"/>
        </w:rPr>
        <w:t>行为执法指南</w:t>
      </w:r>
    </w:p>
    <w:p w14:paraId="2F8EFFC5">
      <w:pPr>
        <w:pageBreakBefore w:val="0"/>
        <w:wordWrap w:val="0"/>
        <w:spacing w:before="40" w:after="0" w:line="600" w:lineRule="exact"/>
        <w:ind w:left="0" w:right="0" w:firstLine="600"/>
        <w:jc w:val="both"/>
        <w:textAlignment w:val="baseline"/>
        <w:rPr>
          <w:sz w:val="30"/>
        </w:rPr>
      </w:pPr>
      <w:r>
        <w:rPr>
          <w:rFonts w:ascii="仿宋" w:hAnsi="仿宋" w:eastAsia="仿宋" w:cs="仿宋"/>
          <w:b w:val="0"/>
          <w:i w:val="0"/>
          <w:color w:val="243F8E"/>
          <w:spacing w:val="0"/>
          <w:sz w:val="30"/>
        </w:rPr>
        <w:t>为进一步规范商业银行贷款环节相关收费行为，明确信贷业务相关的房地产抵押评估费用承担问题，增强价格执法的可操作性，根据《中华人民共和国价格法》《中华人民共和国商业银行法》以及《中共中央国务院关于推进价格机制改革的若干意见》(中发〔2015〕28号)、《国家</w:t>
      </w:r>
      <w:r>
        <w:rPr>
          <w:rFonts w:hint="eastAsia" w:ascii="仿宋" w:hAnsi="仿宋" w:eastAsia="仿宋" w:cs="仿宋"/>
          <w:b w:val="0"/>
          <w:i w:val="0"/>
          <w:color w:val="243F8E"/>
          <w:spacing w:val="0"/>
          <w:sz w:val="30"/>
          <w:lang w:eastAsia="zh-CN"/>
        </w:rPr>
        <w:t>发展和改革委员会</w:t>
      </w:r>
      <w:bookmarkStart w:id="0" w:name="_GoBack"/>
      <w:bookmarkEnd w:id="0"/>
      <w:r>
        <w:rPr>
          <w:rFonts w:ascii="仿宋" w:hAnsi="仿宋" w:eastAsia="仿宋" w:cs="仿宋"/>
          <w:b w:val="0"/>
          <w:i w:val="0"/>
          <w:color w:val="243F8E"/>
          <w:spacing w:val="0"/>
          <w:sz w:val="30"/>
        </w:rPr>
        <w:t>办公厅关于印发&lt;商业银行收费行为执法指南&gt;的通知》(发改办价监〔2016〕</w:t>
      </w:r>
      <w:r>
        <w:rPr>
          <w:rFonts w:ascii="Times New Roman" w:hAnsi="Times New Roman" w:eastAsia="Times New Roman" w:cs="Times New Roman"/>
          <w:b w:val="0"/>
          <w:i w:val="0"/>
          <w:color w:val="243F8E"/>
          <w:spacing w:val="0"/>
          <w:sz w:val="30"/>
        </w:rPr>
        <w:t>1408</w:t>
      </w:r>
      <w:r>
        <w:rPr>
          <w:rFonts w:ascii="仿宋" w:hAnsi="仿宋" w:eastAsia="仿宋" w:cs="仿宋"/>
          <w:b w:val="0"/>
          <w:i w:val="0"/>
          <w:color w:val="243F8E"/>
          <w:spacing w:val="0"/>
          <w:sz w:val="30"/>
        </w:rPr>
        <w:t>号)、《建设部 中国人民银行银监会关于规范与银行信贷业务相关的房地产抵押估价管理有关问题的通知》(建住房〔2006〕8号)等规定，特制订本指南。</w:t>
      </w:r>
    </w:p>
    <w:p w14:paraId="17B9298B">
      <w:pPr>
        <w:pageBreakBefore w:val="0"/>
        <w:wordWrap w:val="0"/>
        <w:spacing w:before="0" w:after="0" w:line="600" w:lineRule="exact"/>
        <w:ind w:left="600" w:right="0"/>
        <w:jc w:val="both"/>
        <w:textAlignment w:val="baseline"/>
        <w:rPr>
          <w:sz w:val="30"/>
        </w:rPr>
      </w:pPr>
      <w:r>
        <w:rPr>
          <w:rFonts w:ascii="黑体" w:hAnsi="黑体" w:eastAsia="黑体" w:cs="黑体"/>
          <w:b/>
          <w:i w:val="0"/>
          <w:color w:val="243F8E"/>
          <w:spacing w:val="0"/>
          <w:sz w:val="30"/>
        </w:rPr>
        <w:t>一、房地产抵押评估应当由商业银行委托</w:t>
      </w:r>
    </w:p>
    <w:p w14:paraId="619DECB9">
      <w:pPr>
        <w:pageBreakBefore w:val="0"/>
        <w:wordWrap w:val="0"/>
        <w:spacing w:before="0" w:after="0" w:line="600" w:lineRule="exact"/>
        <w:ind w:left="0" w:right="0" w:firstLine="600"/>
        <w:jc w:val="both"/>
        <w:textAlignment w:val="baseline"/>
        <w:rPr>
          <w:sz w:val="30"/>
        </w:rPr>
      </w:pPr>
      <w:r>
        <w:rPr>
          <w:rFonts w:ascii="仿宋" w:hAnsi="仿宋" w:eastAsia="仿宋" w:cs="仿宋"/>
          <w:b w:val="0"/>
          <w:i w:val="0"/>
          <w:color w:val="243F8E"/>
          <w:spacing w:val="0"/>
          <w:sz w:val="30"/>
        </w:rPr>
        <w:t>审查抵押物价值是银行自身法定工作职责，属于贷款前的尽职调查范畴。因此，个人贷款及企业贷款的房地产抵押物价值评估费用应当由银行委托并承担，银行不得将履行自身工作职责所产生的费用转嫁给借款人。</w:t>
      </w:r>
    </w:p>
    <w:p w14:paraId="5B9F85E4">
      <w:pPr>
        <w:pageBreakBefore w:val="0"/>
        <w:wordWrap w:val="0"/>
        <w:spacing w:before="0" w:after="0" w:line="600" w:lineRule="exact"/>
        <w:ind w:left="600" w:right="0"/>
        <w:jc w:val="both"/>
        <w:textAlignment w:val="baseline"/>
        <w:rPr>
          <w:sz w:val="30"/>
        </w:rPr>
      </w:pPr>
      <w:r>
        <w:rPr>
          <w:rFonts w:ascii="黑体" w:hAnsi="黑体" w:eastAsia="黑体" w:cs="黑体"/>
          <w:b/>
          <w:i w:val="0"/>
          <w:color w:val="243F8E"/>
          <w:spacing w:val="0"/>
          <w:sz w:val="30"/>
        </w:rPr>
        <w:t>二、房地产抵押评估由借款人委托的例外情形</w:t>
      </w:r>
    </w:p>
    <w:p w14:paraId="3777F4A7">
      <w:pPr>
        <w:pageBreakBefore w:val="0"/>
        <w:wordWrap w:val="0"/>
        <w:spacing w:before="0" w:after="0" w:line="600" w:lineRule="exact"/>
        <w:ind w:left="0" w:right="0" w:firstLine="760"/>
        <w:jc w:val="both"/>
        <w:textAlignment w:val="baseline"/>
        <w:rPr>
          <w:sz w:val="30"/>
        </w:rPr>
      </w:pPr>
      <w:r>
        <w:rPr>
          <w:rFonts w:ascii="仿宋" w:hAnsi="仿宋" w:eastAsia="仿宋" w:cs="仿宋"/>
          <w:b w:val="0"/>
          <w:i w:val="0"/>
          <w:color w:val="243F8E"/>
          <w:spacing w:val="0"/>
          <w:sz w:val="30"/>
        </w:rPr>
        <w:t>(一)房地产抵押评估由借款人委托至少要同时满足两个条件：一是银行和借款人就谁委托评估有书面协议，协议中明确约定由借款人委托评估机构；二是借款人在向银行提交借款申请之前已经自主委托进行房地产抵押评估的，评估费用由借</w:t>
      </w:r>
    </w:p>
    <w:p w14:paraId="7C2FD23F"/>
    <w:p w14:paraId="36CCA6D2">
      <w:pPr>
        <w:sectPr>
          <w:headerReference r:id="rId5" w:type="default"/>
          <w:footerReference r:id="rId6" w:type="default"/>
          <w:pgSz w:w="11900" w:h="16820"/>
          <w:pgMar w:top="1800" w:right="1440" w:bottom="1440" w:left="1800" w:header="720" w:footer="1100" w:gutter="0"/>
          <w:cols w:space="720" w:num="1"/>
        </w:sectPr>
      </w:pPr>
    </w:p>
    <w:p w14:paraId="41A59A08">
      <w:pPr>
        <w:pageBreakBefore w:val="0"/>
        <w:wordWrap w:val="0"/>
        <w:spacing w:before="0" w:after="0" w:line="700" w:lineRule="exact"/>
        <w:ind w:left="0" w:right="0"/>
        <w:jc w:val="both"/>
        <w:textAlignment w:val="baseline"/>
        <w:rPr>
          <w:sz w:val="31"/>
        </w:rPr>
      </w:pPr>
      <w:r>
        <w:rPr>
          <w:rFonts w:ascii="仿宋" w:hAnsi="仿宋" w:eastAsia="仿宋" w:cs="仿宋"/>
          <w:b w:val="0"/>
          <w:i w:val="0"/>
          <w:color w:val="243F8E"/>
          <w:spacing w:val="0"/>
          <w:sz w:val="31"/>
        </w:rPr>
        <w:t>款人承担。</w:t>
      </w:r>
    </w:p>
    <w:p w14:paraId="3237E97E">
      <w:pPr>
        <w:pageBreakBefore w:val="0"/>
        <w:wordWrap w:val="0"/>
        <w:spacing w:before="0" w:after="0" w:line="700" w:lineRule="exact"/>
        <w:ind w:left="0" w:right="0" w:firstLine="780"/>
        <w:jc w:val="both"/>
        <w:textAlignment w:val="baseline"/>
        <w:rPr>
          <w:sz w:val="31"/>
        </w:rPr>
      </w:pPr>
      <w:r>
        <w:rPr>
          <w:rFonts w:ascii="仿宋" w:hAnsi="仿宋" w:eastAsia="仿宋" w:cs="仿宋"/>
          <w:b w:val="0"/>
          <w:i w:val="0"/>
          <w:color w:val="243F8E"/>
          <w:spacing w:val="0"/>
          <w:sz w:val="31"/>
        </w:rPr>
        <w:t>(二)房地产抵押评估报告有效期内，借款人要求重新评估价值的，可由借款人委托评估机构进行评估并支付评估费用；若借款人为提高贷款额度要求重新评估价值的，可由借款人委托评估公司并支付评估费用。</w:t>
      </w:r>
    </w:p>
    <w:p w14:paraId="47DDCBA8">
      <w:pPr>
        <w:pageBreakBefore w:val="0"/>
        <w:wordWrap w:val="0"/>
        <w:spacing w:before="0" w:after="0" w:line="700" w:lineRule="exact"/>
        <w:ind w:left="620" w:right="0"/>
        <w:jc w:val="both"/>
        <w:textAlignment w:val="baseline"/>
        <w:rPr>
          <w:sz w:val="31"/>
        </w:rPr>
      </w:pPr>
      <w:r>
        <w:rPr>
          <w:rFonts w:ascii="黑体" w:hAnsi="黑体" w:eastAsia="黑体" w:cs="黑体"/>
          <w:b/>
          <w:i w:val="0"/>
          <w:color w:val="243F8E"/>
          <w:spacing w:val="0"/>
          <w:sz w:val="31"/>
        </w:rPr>
        <w:t>三、其他规定</w:t>
      </w:r>
    </w:p>
    <w:p w14:paraId="3752CF54">
      <w:pPr>
        <w:pageBreakBefore w:val="0"/>
        <w:wordWrap w:val="0"/>
        <w:spacing w:before="0" w:after="0" w:line="700" w:lineRule="exact"/>
        <w:ind w:left="0" w:right="0" w:firstLine="780"/>
        <w:jc w:val="both"/>
        <w:textAlignment w:val="baseline"/>
        <w:rPr>
          <w:sz w:val="31"/>
        </w:rPr>
      </w:pPr>
      <w:r>
        <w:rPr>
          <w:rFonts w:ascii="仿宋" w:hAnsi="仿宋" w:eastAsia="仿宋" w:cs="仿宋"/>
          <w:b w:val="0"/>
          <w:i w:val="0"/>
          <w:color w:val="243F8E"/>
          <w:spacing w:val="0"/>
          <w:sz w:val="31"/>
        </w:rPr>
        <w:t>(一)银行不得以任何形式变相要求借款人主动提供房地产评估报告。</w:t>
      </w:r>
    </w:p>
    <w:p w14:paraId="0A41BEFE">
      <w:pPr>
        <w:pageBreakBefore w:val="0"/>
        <w:wordWrap w:val="0"/>
        <w:spacing w:before="0" w:after="0" w:line="700" w:lineRule="exact"/>
        <w:ind w:left="0" w:right="0" w:firstLine="780"/>
        <w:jc w:val="both"/>
        <w:textAlignment w:val="baseline"/>
        <w:rPr>
          <w:sz w:val="31"/>
        </w:rPr>
      </w:pPr>
      <w:r>
        <w:rPr>
          <w:rFonts w:ascii="仿宋" w:hAnsi="仿宋" w:eastAsia="仿宋" w:cs="仿宋"/>
          <w:b w:val="0"/>
          <w:i w:val="0"/>
          <w:color w:val="243F8E"/>
          <w:spacing w:val="0"/>
          <w:sz w:val="31"/>
        </w:rPr>
        <w:t>(二)房地产抵押评估报告有效期届满后，若银行基于合规要求需要重评的，由银行委托评估公司并支付评估费用。</w:t>
      </w:r>
    </w:p>
    <w:p w14:paraId="55F856CC">
      <w:pPr>
        <w:pageBreakBefore w:val="0"/>
        <w:wordWrap w:val="0"/>
        <w:spacing w:before="0" w:after="0" w:line="700" w:lineRule="exact"/>
        <w:ind w:left="0" w:right="0" w:firstLine="780"/>
        <w:jc w:val="both"/>
        <w:textAlignment w:val="baseline"/>
        <w:rPr>
          <w:sz w:val="31"/>
        </w:rPr>
      </w:pPr>
      <w:r>
        <w:rPr>
          <w:rFonts w:ascii="仿宋" w:hAnsi="仿宋" w:eastAsia="仿宋" w:cs="仿宋"/>
          <w:b w:val="0"/>
          <w:i w:val="0"/>
          <w:color w:val="243F8E"/>
          <w:spacing w:val="0"/>
          <w:sz w:val="31"/>
        </w:rPr>
        <w:t>(三)非信贷业务中发生的房地产抵押评估不适用本指南，参照其他相关规定执行。</w:t>
      </w:r>
    </w:p>
    <w:p w14:paraId="7391E0D5">
      <w:pPr>
        <w:pageBreakBefore w:val="0"/>
        <w:wordWrap w:val="0"/>
        <w:spacing w:before="0" w:after="0" w:line="700" w:lineRule="exact"/>
        <w:ind w:left="780" w:right="0"/>
        <w:jc w:val="both"/>
        <w:textAlignment w:val="baseline"/>
        <w:rPr>
          <w:sz w:val="31"/>
        </w:rPr>
      </w:pPr>
      <w:r>
        <w:rPr>
          <w:rFonts w:ascii="仿宋" w:hAnsi="仿宋" w:eastAsia="仿宋" w:cs="仿宋"/>
          <w:b w:val="0"/>
          <w:i w:val="0"/>
          <w:color w:val="243F8E"/>
          <w:spacing w:val="0"/>
          <w:sz w:val="31"/>
        </w:rPr>
        <w:t>(四)银行对作为抵押物的房地产进行内部评估不得收费。</w:t>
      </w:r>
    </w:p>
    <w:p w14:paraId="7ED8D100">
      <w:pPr>
        <w:pageBreakBefore w:val="0"/>
        <w:wordWrap w:val="0"/>
        <w:spacing w:before="0" w:after="0" w:line="700" w:lineRule="exact"/>
        <w:ind w:left="780" w:right="0"/>
        <w:jc w:val="both"/>
        <w:textAlignment w:val="baseline"/>
        <w:rPr>
          <w:sz w:val="31"/>
        </w:rPr>
      </w:pPr>
      <w:r>
        <w:rPr>
          <w:rFonts w:ascii="黑体" w:hAnsi="黑体" w:eastAsia="黑体" w:cs="黑体"/>
          <w:b/>
          <w:i w:val="0"/>
          <w:color w:val="243F8E"/>
          <w:spacing w:val="0"/>
          <w:sz w:val="31"/>
        </w:rPr>
        <w:t>四、本指南自印发之日起施行。</w:t>
      </w:r>
    </w:p>
    <w:sectPr>
      <w:headerReference r:id="rId7" w:type="default"/>
      <w:footerReference r:id="rId8" w:type="default"/>
      <w:pgSz w:w="11900" w:h="16820"/>
      <w:pgMar w:top="1800" w:right="1440" w:bottom="1440" w:left="1800" w:header="720" w:footer="114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342F0">
    <w:pPr>
      <w:pageBreakBefore w:val="0"/>
      <w:wordWrap w:val="0"/>
      <w:spacing w:before="0" w:after="0" w:line="400" w:lineRule="exact"/>
      <w:ind w:left="0" w:right="0"/>
      <w:jc w:val="right"/>
      <w:textAlignment w:val="baseline"/>
      <w:rPr>
        <w:sz w:val="32"/>
      </w:rPr>
    </w:pPr>
    <w:r>
      <w:rPr>
        <w:rFonts w:ascii="仿宋" w:hAnsi="仿宋" w:eastAsia="仿宋" w:cs="仿宋"/>
        <w:b w:val="0"/>
        <w:i w:val="0"/>
        <w:color w:val="000000"/>
        <w:spacing w:val="0"/>
        <w:sz w:val="32"/>
      </w:rPr>
      <w:t>- 1 -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F0BF4">
    <w:pPr>
      <w:pageBreakBefore w:val="0"/>
      <w:wordWrap w:val="0"/>
      <w:spacing w:before="0" w:after="0" w:line="340" w:lineRule="exact"/>
      <w:ind w:left="0" w:right="0"/>
      <w:jc w:val="both"/>
      <w:textAlignment w:val="baseline"/>
      <w:rPr>
        <w:sz w:val="24"/>
      </w:rPr>
    </w:pPr>
    <w:r>
      <w:rPr>
        <w:rFonts w:ascii="仿宋" w:hAnsi="仿宋" w:eastAsia="仿宋" w:cs="仿宋"/>
        <w:b w:val="0"/>
        <w:i w:val="0"/>
        <w:color w:val="243F8E"/>
        <w:spacing w:val="0"/>
        <w:sz w:val="24"/>
      </w:rPr>
      <w:t>—</w:t>
    </w:r>
    <w:r>
      <w:rPr>
        <w:rFonts w:ascii="宋体" w:hAnsi="宋体" w:eastAsia="宋体" w:cs="宋体"/>
        <w:b w:val="0"/>
        <w:i w:val="0"/>
        <w:color w:val="000000"/>
        <w:spacing w:val="0"/>
        <w:sz w:val="24"/>
      </w:rPr>
      <w:t xml:space="preserve"> </w:t>
    </w:r>
    <w:r>
      <w:rPr>
        <w:rFonts w:ascii="仿宋" w:hAnsi="仿宋" w:eastAsia="仿宋" w:cs="仿宋"/>
        <w:b w:val="0"/>
        <w:i w:val="0"/>
        <w:color w:val="243F8E"/>
        <w:spacing w:val="0"/>
        <w:sz w:val="24"/>
      </w:rPr>
      <w:t>2</w:t>
    </w:r>
    <w:r>
      <w:rPr>
        <w:rFonts w:ascii="宋体" w:hAnsi="宋体" w:eastAsia="宋体" w:cs="宋体"/>
        <w:b w:val="0"/>
        <w:i w:val="0"/>
        <w:color w:val="000000"/>
        <w:spacing w:val="0"/>
        <w:sz w:val="24"/>
      </w:rPr>
      <w:t xml:space="preserve"> </w:t>
    </w:r>
    <w:r>
      <w:rPr>
        <w:rFonts w:ascii="仿宋" w:hAnsi="仿宋" w:eastAsia="仿宋" w:cs="仿宋"/>
        <w:b w:val="0"/>
        <w:i w:val="0"/>
        <w:color w:val="243F8E"/>
        <w:spacing w:val="0"/>
        <w:sz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BFD93">
    <w:pPr>
      <w:pageBreakBefore w:val="0"/>
      <w:wordWrap w:val="0"/>
      <w:spacing w:before="0" w:after="0" w:line="300" w:lineRule="exact"/>
      <w:ind w:left="0" w:right="0"/>
      <w:jc w:val="right"/>
      <w:textAlignment w:val="baseline"/>
      <w:rPr>
        <w:sz w:val="23"/>
      </w:rPr>
    </w:pPr>
    <w:r>
      <w:rPr>
        <w:rFonts w:ascii="宋体" w:hAnsi="宋体" w:eastAsia="宋体" w:cs="宋体"/>
        <w:b w:val="0"/>
        <w:i w:val="0"/>
        <w:color w:val="243F8E"/>
        <w:spacing w:val="0"/>
        <w:sz w:val="23"/>
      </w:rPr>
      <w:t>—</w:t>
    </w:r>
    <w:r>
      <w:rPr>
        <w:rFonts w:ascii="宋体" w:hAnsi="宋体" w:eastAsia="宋体" w:cs="宋体"/>
        <w:b w:val="0"/>
        <w:i w:val="0"/>
        <w:color w:val="000000"/>
        <w:spacing w:val="0"/>
        <w:sz w:val="23"/>
      </w:rPr>
      <w:t xml:space="preserve"> </w:t>
    </w:r>
    <w:r>
      <w:rPr>
        <w:rFonts w:ascii="宋体" w:hAnsi="宋体" w:eastAsia="宋体" w:cs="宋体"/>
        <w:b w:val="0"/>
        <w:i w:val="0"/>
        <w:color w:val="243F8E"/>
        <w:spacing w:val="0"/>
        <w:sz w:val="23"/>
      </w:rPr>
      <w:t>3</w:t>
    </w:r>
    <w:r>
      <w:rPr>
        <w:rFonts w:ascii="宋体" w:hAnsi="宋体" w:eastAsia="宋体" w:cs="宋体"/>
        <w:b w:val="0"/>
        <w:i w:val="0"/>
        <w:color w:val="000000"/>
        <w:spacing w:val="0"/>
        <w:sz w:val="23"/>
      </w:rPr>
      <w:t xml:space="preserve"> </w:t>
    </w:r>
    <w:r>
      <w:rPr>
        <w:rFonts w:ascii="宋体" w:hAnsi="宋体" w:eastAsia="宋体" w:cs="宋体"/>
        <w:b w:val="0"/>
        <w:i w:val="0"/>
        <w:color w:val="243F8E"/>
        <w:spacing w:val="0"/>
        <w:sz w:val="23"/>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0861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30DA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F806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lTrailSpace/>
    <w:useFELayout/>
    <w:compatSetting w:name="compatibilityMode" w:uri="http://schemas.microsoft.com/office/word" w:val="15"/>
  </w:compat>
  <w:rsids>
    <w:rsidRoot w:val="00000000"/>
    <w:rsid w:val="100F0A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962</Words>
  <Characters>988</Characters>
  <TotalTime>0</TotalTime>
  <ScaleCrop>false</ScaleCrop>
  <LinksUpToDate>false</LinksUpToDate>
  <CharactersWithSpaces>989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2026-08-04T02:46:00Z</dcterms:created>
  <dc:creator>Apache POI</dc:creator>
  <cp:lastModifiedBy>符号</cp:lastModifiedBy>
  <dcterms:modified xsi:type="dcterms:W3CDTF">2026-08-04T02:47:26Z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90DF8042C3B44F83AD636246EFDB2AA0_12</vt:lpwstr>
  </property>
</Properties>
</file>