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1170"/>
        </w:tabs>
        <w:kinsoku/>
        <w:wordWrap/>
        <w:overflowPunct/>
        <w:topLinePunct w:val="0"/>
        <w:bidi w:val="0"/>
        <w:spacing w:line="56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lang w:val="en-US" w:eastAsia="zh-CN"/>
        </w:rPr>
        <w:t>云南省昆明市</w:t>
      </w:r>
      <w:r>
        <w:rPr>
          <w:rFonts w:hint="default" w:ascii="Times New Roman" w:hAnsi="Times New Roman" w:eastAsia="方正小标宋简体" w:cs="Times New Roman"/>
          <w:color w:val="auto"/>
          <w:sz w:val="44"/>
          <w:szCs w:val="44"/>
          <w:highlight w:val="none"/>
          <w:lang w:eastAsia="zh-CN"/>
        </w:rPr>
        <w:t>五华区</w:t>
      </w:r>
      <w:r>
        <w:rPr>
          <w:rFonts w:hint="default" w:ascii="Times New Roman" w:hAnsi="Times New Roman" w:eastAsia="方正小标宋简体" w:cs="Times New Roman"/>
          <w:color w:val="auto"/>
          <w:sz w:val="44"/>
          <w:szCs w:val="44"/>
          <w:highlight w:val="none"/>
        </w:rPr>
        <w:t>烟草制品零售点</w:t>
      </w:r>
    </w:p>
    <w:p>
      <w:pPr>
        <w:keepNext w:val="0"/>
        <w:keepLines w:val="0"/>
        <w:pageBreakBefore w:val="0"/>
        <w:tabs>
          <w:tab w:val="left" w:pos="1170"/>
        </w:tabs>
        <w:kinsoku/>
        <w:wordWrap/>
        <w:overflowPunct/>
        <w:topLinePunct w:val="0"/>
        <w:bidi w:val="0"/>
        <w:spacing w:line="560" w:lineRule="exact"/>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合理布局规划（</w:t>
      </w:r>
      <w:r>
        <w:rPr>
          <w:rFonts w:hint="default" w:ascii="Times New Roman" w:hAnsi="Times New Roman" w:eastAsia="方正小标宋简体" w:cs="Times New Roman"/>
          <w:color w:val="auto"/>
          <w:sz w:val="44"/>
          <w:szCs w:val="44"/>
          <w:highlight w:val="none"/>
          <w:lang w:val="en-US" w:eastAsia="zh-CN"/>
        </w:rPr>
        <w:t>征求意见稿</w:t>
      </w:r>
      <w:r>
        <w:rPr>
          <w:rFonts w:hint="default" w:ascii="Times New Roman" w:hAnsi="Times New Roman" w:eastAsia="方正小标宋简体" w:cs="Times New Roman"/>
          <w:color w:val="auto"/>
          <w:sz w:val="44"/>
          <w:szCs w:val="44"/>
          <w:highlight w:val="none"/>
        </w:rPr>
        <w:t>）</w:t>
      </w:r>
    </w:p>
    <w:p>
      <w:pPr>
        <w:pStyle w:val="6"/>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第一章 </w:t>
      </w:r>
      <w:r>
        <w:rPr>
          <w:rFonts w:hint="default" w:ascii="Times New Roman" w:hAnsi="Times New Roman" w:eastAsia="黑体" w:cs="Times New Roman"/>
          <w:color w:val="auto"/>
          <w:sz w:val="32"/>
          <w:szCs w:val="32"/>
          <w:highlight w:val="none"/>
        </w:rPr>
        <w:t>总则</w:t>
      </w:r>
      <w:bookmarkStart w:id="2" w:name="_GoBack"/>
      <w:bookmarkEnd w:id="2"/>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为深入推进</w:t>
      </w:r>
      <w:r>
        <w:rPr>
          <w:rFonts w:hint="default" w:ascii="Times New Roman" w:hAnsi="Times New Roman" w:eastAsia="仿宋_GB2312" w:cs="Times New Roman"/>
          <w:color w:val="auto"/>
          <w:sz w:val="32"/>
          <w:szCs w:val="32"/>
          <w:highlight w:val="none"/>
        </w:rPr>
        <w:t>“放管服”</w:t>
      </w:r>
      <w:r>
        <w:rPr>
          <w:rFonts w:hint="default" w:ascii="Times New Roman" w:hAnsi="Times New Roman" w:eastAsia="仿宋_GB2312" w:cs="Times New Roman"/>
          <w:color w:val="auto"/>
          <w:sz w:val="32"/>
          <w:szCs w:val="32"/>
          <w:highlight w:val="none"/>
        </w:rPr>
        <w:t>改革，依法依规、科学合理制定烟草制品零售点合理布局规划，提升烟草专卖行政许可的公开性、公平性和公正性，依据《中华人民共和国行政许可法》</w:t>
      </w:r>
      <w:r>
        <w:rPr>
          <w:rFonts w:hint="default" w:ascii="Times New Roman" w:hAnsi="Times New Roman" w:eastAsia="仿宋_GB2312" w:cs="Times New Roman"/>
          <w:bCs/>
          <w:color w:val="auto"/>
          <w:sz w:val="32"/>
          <w:szCs w:val="32"/>
          <w:highlight w:val="none"/>
        </w:rPr>
        <w:t>《中华人民共和国未成年人保护法》《中华人民共和国烟草专卖法》</w:t>
      </w:r>
      <w:r>
        <w:rPr>
          <w:rFonts w:hint="default" w:ascii="Times New Roman" w:hAnsi="Times New Roman" w:eastAsia="仿宋_GB2312" w:cs="Times New Roman"/>
          <w:color w:val="auto"/>
          <w:sz w:val="32"/>
          <w:szCs w:val="32"/>
          <w:highlight w:val="none"/>
        </w:rPr>
        <w:t>《中华人民共和国烟草专卖法实施条例》《烟草专卖许可证管理办法》《烟草专卖许可证管理办法实施细则》等法律</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法规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规章</w:t>
      </w:r>
      <w:r>
        <w:rPr>
          <w:rFonts w:hint="default" w:ascii="Times New Roman" w:hAnsi="Times New Roman" w:eastAsia="仿宋_GB2312" w:cs="Times New Roman"/>
          <w:color w:val="auto"/>
          <w:sz w:val="32"/>
          <w:szCs w:val="32"/>
          <w:highlight w:val="none"/>
        </w:rPr>
        <w:t>和国家烟草专卖局</w:t>
      </w:r>
      <w:r>
        <w:rPr>
          <w:rFonts w:hint="default" w:ascii="Times New Roman" w:hAnsi="Times New Roman" w:eastAsia="仿宋_GB2312" w:cs="Times New Roman"/>
          <w:color w:val="auto"/>
          <w:sz w:val="32"/>
          <w:szCs w:val="32"/>
          <w:highlight w:val="none"/>
        </w:rPr>
        <w:t>的</w:t>
      </w:r>
      <w:r>
        <w:rPr>
          <w:rFonts w:hint="default" w:ascii="Times New Roman" w:hAnsi="Times New Roman" w:eastAsia="仿宋_GB2312" w:cs="Times New Roman"/>
          <w:color w:val="auto"/>
          <w:sz w:val="32"/>
          <w:szCs w:val="32"/>
          <w:highlight w:val="none"/>
        </w:rPr>
        <w:t>有关</w:t>
      </w:r>
      <w:r>
        <w:rPr>
          <w:rFonts w:hint="default" w:ascii="Times New Roman" w:hAnsi="Times New Roman" w:eastAsia="仿宋_GB2312" w:cs="Times New Roman"/>
          <w:color w:val="auto"/>
          <w:sz w:val="32"/>
          <w:szCs w:val="32"/>
          <w:highlight w:val="none"/>
        </w:rPr>
        <w:t>规定，结合</w:t>
      </w:r>
      <w:r>
        <w:rPr>
          <w:rFonts w:hint="default" w:ascii="Times New Roman" w:hAnsi="Times New Roman" w:eastAsia="仿宋_GB2312" w:cs="Times New Roman"/>
          <w:color w:val="auto"/>
          <w:sz w:val="32"/>
          <w:szCs w:val="32"/>
          <w:highlight w:val="none"/>
          <w:lang w:eastAsia="zh-CN"/>
        </w:rPr>
        <w:t>五华区</w:t>
      </w:r>
      <w:r>
        <w:rPr>
          <w:rFonts w:hint="default" w:ascii="Times New Roman" w:hAnsi="Times New Roman" w:eastAsia="仿宋_GB2312" w:cs="Times New Roman"/>
          <w:color w:val="auto"/>
          <w:sz w:val="32"/>
          <w:szCs w:val="32"/>
          <w:highlight w:val="none"/>
        </w:rPr>
        <w:t>实际，制定本规划。</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本规划适用于</w:t>
      </w:r>
      <w:r>
        <w:rPr>
          <w:rFonts w:hint="default" w:ascii="Times New Roman" w:hAnsi="Times New Roman" w:eastAsia="仿宋_GB2312" w:cs="Times New Roman"/>
          <w:color w:val="auto"/>
          <w:sz w:val="32"/>
          <w:szCs w:val="32"/>
          <w:highlight w:val="none"/>
          <w:lang w:eastAsia="zh-CN"/>
        </w:rPr>
        <w:t>昆明市五华区</w:t>
      </w:r>
      <w:r>
        <w:rPr>
          <w:rFonts w:hint="default" w:ascii="Times New Roman" w:hAnsi="Times New Roman" w:eastAsia="仿宋_GB2312" w:cs="Times New Roman"/>
          <w:color w:val="auto"/>
          <w:sz w:val="32"/>
          <w:szCs w:val="32"/>
          <w:highlight w:val="none"/>
        </w:rPr>
        <w:t>行政辖区范围内烟草制品零售点的布局管理。</w:t>
      </w:r>
    </w:p>
    <w:p>
      <w:pPr>
        <w:keepNext w:val="0"/>
        <w:keepLines w:val="0"/>
        <w:pageBreakBefore w:val="0"/>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电子烟零售点布局按照《云南省电子烟零售点布局规划》执行。</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本规划所称烟草制品零售点（以下简称零售点）是指依法取得烟草专卖零售许可证（以下简称零售许可证）的公民、法人或其他组织从事烟草制品零售业务的经营场所。</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零售点应当设置于与住所相独立的固定经营场所，经营场所与住所应当在空间上相互独立，在物理特性上应有实体墙相隔离或有明确的区域界线。经营场所应有指向明确并唯一的门牌、地址或者方位表述，且与营业执照登记载明的经营场所一致，并面向公众经营。</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本规划遵循依法行政、科学规划、服务社会、</w:t>
      </w:r>
      <w:r>
        <w:rPr>
          <w:rFonts w:hint="default" w:ascii="Times New Roman" w:hAnsi="Times New Roman" w:eastAsia="仿宋_GB2312" w:cs="Times New Roman"/>
          <w:color w:val="auto"/>
          <w:sz w:val="32"/>
          <w:szCs w:val="32"/>
          <w:highlight w:val="none"/>
          <w:lang w:eastAsia="zh-CN"/>
        </w:rPr>
        <w:t>分类施策、尊重历史、</w:t>
      </w:r>
      <w:r>
        <w:rPr>
          <w:rFonts w:hint="default" w:ascii="Times New Roman" w:hAnsi="Times New Roman" w:eastAsia="仿宋_GB2312" w:cs="Times New Roman"/>
          <w:color w:val="auto"/>
          <w:sz w:val="32"/>
          <w:szCs w:val="32"/>
          <w:highlight w:val="none"/>
        </w:rPr>
        <w:t>均衡发展原则，综合辖区内人口数量、交通状况、经济发展水平、消费能力等因素，对零售点进行科学合理的规划布局。</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零售点布局采用数量限制、距离限制、数量限制</w:t>
      </w:r>
      <w:r>
        <w:rPr>
          <w:rFonts w:hint="default" w:ascii="Times New Roman" w:hAnsi="Times New Roman" w:eastAsia="仿宋_GB2312" w:cs="Times New Roman"/>
          <w:bCs/>
          <w:color w:val="auto"/>
          <w:sz w:val="32"/>
          <w:szCs w:val="32"/>
          <w:highlight w:val="none"/>
        </w:rPr>
        <w:t>与距离</w:t>
      </w:r>
      <w:r>
        <w:rPr>
          <w:rFonts w:hint="default" w:ascii="Times New Roman" w:hAnsi="Times New Roman" w:eastAsia="仿宋_GB2312" w:cs="Times New Roman"/>
          <w:color w:val="auto"/>
          <w:sz w:val="32"/>
          <w:szCs w:val="32"/>
          <w:highlight w:val="none"/>
        </w:rPr>
        <w:t>限制</w:t>
      </w:r>
      <w:r>
        <w:rPr>
          <w:rFonts w:hint="default" w:ascii="Times New Roman" w:hAnsi="Times New Roman" w:eastAsia="仿宋_GB2312" w:cs="Times New Roman"/>
          <w:bCs/>
          <w:color w:val="auto"/>
          <w:sz w:val="32"/>
          <w:szCs w:val="32"/>
          <w:highlight w:val="none"/>
        </w:rPr>
        <w:t>相结合、</w:t>
      </w:r>
      <w:r>
        <w:rPr>
          <w:rFonts w:hint="default" w:ascii="Times New Roman" w:hAnsi="Times New Roman" w:eastAsia="仿宋_GB2312" w:cs="Times New Roman"/>
          <w:color w:val="auto"/>
          <w:sz w:val="32"/>
          <w:szCs w:val="32"/>
          <w:highlight w:val="none"/>
        </w:rPr>
        <w:t>不予设置烟草制品零售点等布局标准。</w:t>
      </w:r>
    </w:p>
    <w:p>
      <w:pPr>
        <w:pStyle w:val="6"/>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第二章 </w:t>
      </w:r>
      <w:r>
        <w:rPr>
          <w:rFonts w:hint="default" w:ascii="Times New Roman" w:hAnsi="Times New Roman" w:eastAsia="黑体" w:cs="Times New Roman"/>
          <w:color w:val="auto"/>
          <w:sz w:val="32"/>
          <w:szCs w:val="32"/>
          <w:highlight w:val="none"/>
        </w:rPr>
        <w:t>零售点布局标准</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零售点间距是指申请人拟从事烟草制品零售业务的经营场所与最近的烟草制品零售点之间</w:t>
      </w:r>
      <w:r>
        <w:rPr>
          <w:rFonts w:hint="default"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距离。</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零售点间距测量的总体原则为两个零售点</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门边到门边</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可安全步行的最短距离。</w:t>
      </w:r>
      <w:r>
        <w:rPr>
          <w:rFonts w:hint="default" w:ascii="Times New Roman" w:hAnsi="Times New Roman" w:eastAsia="仿宋_GB2312" w:cs="Times New Roman"/>
          <w:sz w:val="32"/>
          <w:szCs w:val="32"/>
        </w:rPr>
        <w:t>测量规则及标准详见《</w:t>
      </w:r>
      <w:r>
        <w:rPr>
          <w:rFonts w:hint="default" w:ascii="Times New Roman" w:hAnsi="Times New Roman" w:eastAsia="仿宋_GB2312" w:cs="Times New Roman"/>
          <w:sz w:val="32"/>
          <w:szCs w:val="32"/>
        </w:rPr>
        <w:t>昆明市</w:t>
      </w:r>
      <w:r>
        <w:rPr>
          <w:rFonts w:hint="default" w:ascii="Times New Roman" w:hAnsi="Times New Roman" w:eastAsia="仿宋_GB2312" w:cs="Times New Roman"/>
          <w:sz w:val="32"/>
          <w:szCs w:val="32"/>
          <w:lang w:val="en-US" w:eastAsia="zh-CN"/>
        </w:rPr>
        <w:t>五华区</w:t>
      </w:r>
      <w:r>
        <w:rPr>
          <w:rFonts w:hint="default" w:ascii="Times New Roman" w:hAnsi="Times New Roman" w:eastAsia="仿宋_GB2312" w:cs="Times New Roman"/>
          <w:sz w:val="32"/>
          <w:szCs w:val="32"/>
        </w:rPr>
        <w:t>烟草制品零售点间距测量规则及标准》</w:t>
      </w:r>
      <w:r>
        <w:rPr>
          <w:rFonts w:hint="default" w:ascii="Times New Roman" w:hAnsi="Times New Roman" w:eastAsia="仿宋_GB2312" w:cs="Times New Roman"/>
          <w:sz w:val="32"/>
          <w:szCs w:val="32"/>
        </w:rPr>
        <w:t>。</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楷体" w:cs="Times New Roman"/>
          <w:color w:val="auto"/>
          <w:sz w:val="32"/>
          <w:szCs w:val="32"/>
          <w:highlight w:val="none"/>
        </w:rPr>
      </w:pPr>
      <w:r>
        <w:rPr>
          <w:rFonts w:hint="default" w:ascii="Times New Roman" w:hAnsi="Times New Roman" w:eastAsia="仿宋_GB2312" w:cs="Times New Roman"/>
          <w:color w:val="auto"/>
          <w:sz w:val="32"/>
          <w:szCs w:val="32"/>
          <w:highlight w:val="none"/>
        </w:rPr>
        <w:t>本规划根据</w:t>
      </w:r>
      <w:r>
        <w:rPr>
          <w:rFonts w:hint="default" w:ascii="Times New Roman" w:hAnsi="Times New Roman" w:eastAsia="仿宋_GB2312" w:cs="Times New Roman"/>
          <w:color w:val="auto"/>
          <w:sz w:val="32"/>
          <w:szCs w:val="32"/>
          <w:highlight w:val="none"/>
          <w:lang w:val="en-US" w:eastAsia="zh-CN"/>
        </w:rPr>
        <w:t>辖区</w:t>
      </w:r>
      <w:r>
        <w:rPr>
          <w:rFonts w:hint="default" w:ascii="Times New Roman" w:hAnsi="Times New Roman" w:eastAsia="仿宋_GB2312" w:cs="Times New Roman"/>
          <w:color w:val="auto"/>
          <w:sz w:val="32"/>
          <w:szCs w:val="32"/>
          <w:highlight w:val="none"/>
        </w:rPr>
        <w:t>零售市场状态、交通状况、人口</w:t>
      </w:r>
      <w:r>
        <w:rPr>
          <w:rFonts w:hint="default" w:ascii="Times New Roman" w:hAnsi="Times New Roman" w:eastAsia="仿宋_GB2312" w:cs="Times New Roman"/>
          <w:color w:val="auto"/>
          <w:sz w:val="32"/>
          <w:szCs w:val="32"/>
          <w:highlight w:val="none"/>
          <w:lang w:val="en-US" w:eastAsia="zh-CN"/>
        </w:rPr>
        <w:t>数量</w:t>
      </w:r>
      <w:r>
        <w:rPr>
          <w:rFonts w:hint="default" w:ascii="Times New Roman" w:hAnsi="Times New Roman" w:eastAsia="仿宋_GB2312" w:cs="Times New Roman"/>
          <w:color w:val="auto"/>
          <w:sz w:val="32"/>
          <w:szCs w:val="32"/>
          <w:highlight w:val="none"/>
        </w:rPr>
        <w:t>、消费</w:t>
      </w:r>
      <w:r>
        <w:rPr>
          <w:rFonts w:hint="default" w:ascii="Times New Roman" w:hAnsi="Times New Roman" w:eastAsia="仿宋_GB2312" w:cs="Times New Roman"/>
          <w:color w:val="auto"/>
          <w:sz w:val="32"/>
          <w:szCs w:val="32"/>
          <w:highlight w:val="none"/>
        </w:rPr>
        <w:t>者</w:t>
      </w:r>
      <w:r>
        <w:rPr>
          <w:rFonts w:hint="default" w:ascii="Times New Roman" w:hAnsi="Times New Roman" w:eastAsia="仿宋_GB2312" w:cs="Times New Roman"/>
          <w:color w:val="auto"/>
          <w:sz w:val="32"/>
          <w:szCs w:val="32"/>
          <w:highlight w:val="none"/>
        </w:rPr>
        <w:t>购买习惯等因素，</w:t>
      </w:r>
      <w:r>
        <w:rPr>
          <w:rFonts w:hint="default" w:ascii="Times New Roman" w:hAnsi="Times New Roman" w:eastAsia="仿宋_GB2312" w:cs="Times New Roman"/>
          <w:color w:val="auto"/>
          <w:sz w:val="32"/>
          <w:szCs w:val="32"/>
          <w:highlight w:val="none"/>
          <w:lang w:val="en-US" w:eastAsia="zh-CN"/>
        </w:rPr>
        <w:t>参照行政区划，通过细分市场，</w:t>
      </w:r>
      <w:r>
        <w:rPr>
          <w:rFonts w:hint="default" w:ascii="Times New Roman" w:hAnsi="Times New Roman" w:eastAsia="仿宋_GB2312" w:cs="Times New Roman"/>
          <w:color w:val="auto"/>
          <w:sz w:val="32"/>
          <w:szCs w:val="32"/>
          <w:highlight w:val="none"/>
        </w:rPr>
        <w:t>划定最小单元网格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将各最小单元网格</w:t>
      </w:r>
      <w:r>
        <w:rPr>
          <w:rFonts w:hint="default" w:ascii="Times New Roman" w:hAnsi="Times New Roman" w:eastAsia="仿宋_GB2312" w:cs="Times New Roman"/>
          <w:color w:val="auto"/>
          <w:sz w:val="32"/>
          <w:szCs w:val="32"/>
          <w:highlight w:val="none"/>
          <w:lang w:eastAsia="zh-CN"/>
        </w:rPr>
        <w:t>划分为</w:t>
      </w:r>
      <w:r>
        <w:rPr>
          <w:rFonts w:hint="default" w:ascii="Times New Roman" w:hAnsi="Times New Roman" w:eastAsia="仿宋_GB2312" w:cs="Times New Roman"/>
          <w:strike w:val="0"/>
          <w:dstrike w:val="0"/>
          <w:color w:val="auto"/>
          <w:sz w:val="32"/>
          <w:szCs w:val="32"/>
          <w:highlight w:val="none"/>
          <w:lang w:val="en-US" w:eastAsia="zh-CN"/>
        </w:rPr>
        <w:t>稳定区、</w:t>
      </w:r>
      <w:r>
        <w:rPr>
          <w:rFonts w:hint="default" w:ascii="Times New Roman" w:hAnsi="Times New Roman" w:eastAsia="仿宋_GB2312" w:cs="Times New Roman"/>
          <w:color w:val="auto"/>
          <w:sz w:val="32"/>
          <w:szCs w:val="32"/>
          <w:highlight w:val="none"/>
          <w:lang w:val="en-US" w:eastAsia="zh-CN"/>
        </w:rPr>
        <w:t>培育</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发展</w:t>
      </w:r>
      <w:r>
        <w:rPr>
          <w:rFonts w:hint="default" w:ascii="Times New Roman" w:hAnsi="Times New Roman" w:eastAsia="仿宋_GB2312" w:cs="Times New Roman"/>
          <w:color w:val="auto"/>
          <w:sz w:val="32"/>
          <w:szCs w:val="32"/>
          <w:highlight w:val="none"/>
          <w:lang w:eastAsia="zh-CN"/>
        </w:rPr>
        <w:t>区、</w:t>
      </w:r>
      <w:r>
        <w:rPr>
          <w:rFonts w:hint="default" w:ascii="Times New Roman" w:hAnsi="Times New Roman" w:eastAsia="仿宋_GB2312" w:cs="Times New Roman"/>
          <w:color w:val="auto"/>
          <w:sz w:val="32"/>
          <w:szCs w:val="32"/>
          <w:highlight w:val="none"/>
          <w:lang w:val="en-US" w:eastAsia="zh-CN"/>
        </w:rPr>
        <w:t>核心区</w:t>
      </w:r>
      <w:r>
        <w:rPr>
          <w:rFonts w:hint="default" w:ascii="Times New Roman" w:hAnsi="Times New Roman" w:eastAsia="仿宋_GB2312" w:cs="Times New Roman"/>
          <w:strike w:val="0"/>
          <w:dstrike w:val="0"/>
          <w:color w:val="auto"/>
          <w:sz w:val="32"/>
          <w:szCs w:val="32"/>
          <w:highlight w:val="none"/>
          <w:lang w:val="en-US" w:eastAsia="zh-CN"/>
        </w:rPr>
        <w:t>四</w:t>
      </w:r>
      <w:r>
        <w:rPr>
          <w:rFonts w:hint="default" w:ascii="Times New Roman" w:hAnsi="Times New Roman" w:eastAsia="仿宋_GB2312" w:cs="Times New Roman"/>
          <w:color w:val="auto"/>
          <w:sz w:val="32"/>
          <w:szCs w:val="32"/>
          <w:highlight w:val="none"/>
          <w:lang w:val="en-US" w:eastAsia="zh-CN"/>
        </w:rPr>
        <w:t>种市场类型</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rPr>
        <w:t>分别确定零售点间隔距离标准为</w:t>
      </w:r>
      <w:r>
        <w:rPr>
          <w:rFonts w:hint="default" w:ascii="Times New Roman" w:hAnsi="Times New Roman" w:eastAsia="仿宋_GB2312" w:cs="Times New Roman"/>
          <w:sz w:val="32"/>
          <w:szCs w:val="32"/>
        </w:rPr>
        <w:t>80</w:t>
      </w:r>
      <w:r>
        <w:rPr>
          <w:rFonts w:hint="default" w:ascii="Times New Roman" w:hAnsi="Times New Roman" w:eastAsia="仿宋_GB2312" w:cs="Times New Roman"/>
          <w:sz w:val="32"/>
          <w:szCs w:val="32"/>
        </w:rPr>
        <w:t>米、</w:t>
      </w:r>
      <w:r>
        <w:rPr>
          <w:rFonts w:hint="default" w:ascii="Times New Roman" w:hAnsi="Times New Roman" w:eastAsia="仿宋_GB2312" w:cs="Times New Roman"/>
          <w:sz w:val="32"/>
          <w:szCs w:val="32"/>
        </w:rPr>
        <w:t>50</w:t>
      </w:r>
      <w:r>
        <w:rPr>
          <w:rFonts w:hint="default" w:ascii="Times New Roman" w:hAnsi="Times New Roman" w:eastAsia="仿宋_GB2312" w:cs="Times New Roman"/>
          <w:sz w:val="32"/>
          <w:szCs w:val="32"/>
        </w:rPr>
        <w:t>米、</w:t>
      </w:r>
      <w:r>
        <w:rPr>
          <w:rFonts w:hint="default" w:ascii="Times New Roman" w:hAnsi="Times New Roman" w:eastAsia="仿宋_GB2312" w:cs="Times New Roman"/>
          <w:sz w:val="32"/>
          <w:szCs w:val="32"/>
        </w:rPr>
        <w:t>30</w:t>
      </w:r>
      <w:r>
        <w:rPr>
          <w:rFonts w:hint="default" w:ascii="Times New Roman" w:hAnsi="Times New Roman" w:eastAsia="仿宋_GB2312" w:cs="Times New Roman"/>
          <w:sz w:val="32"/>
          <w:szCs w:val="32"/>
        </w:rPr>
        <w:t>米和实施</w:t>
      </w:r>
      <w:r>
        <w:rPr>
          <w:rFonts w:hint="default" w:ascii="Times New Roman" w:hAnsi="Times New Roman" w:eastAsia="仿宋_GB2312" w:cs="Times New Roman"/>
          <w:sz w:val="32"/>
          <w:szCs w:val="32"/>
          <w:lang w:eastAsia="zh-CN"/>
        </w:rPr>
        <w:t>区域</w:t>
      </w:r>
      <w:r>
        <w:rPr>
          <w:rFonts w:hint="default" w:ascii="Times New Roman" w:hAnsi="Times New Roman" w:eastAsia="仿宋_GB2312" w:cs="Times New Roman"/>
          <w:sz w:val="32"/>
          <w:szCs w:val="32"/>
        </w:rPr>
        <w:t>数量控制</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 xml:space="preserve"> </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pacing w:val="10"/>
          <w:sz w:val="32"/>
          <w:szCs w:val="32"/>
          <w:highlight w:val="none"/>
        </w:rPr>
      </w:pPr>
      <w:r>
        <w:rPr>
          <w:rFonts w:hint="default" w:ascii="Times New Roman" w:hAnsi="Times New Roman" w:eastAsia="仿宋_GB2312" w:cs="Times New Roman"/>
          <w:color w:val="auto"/>
          <w:sz w:val="32"/>
          <w:szCs w:val="32"/>
          <w:highlight w:val="none"/>
          <w:lang w:val="en-US" w:eastAsia="zh-CN"/>
        </w:rPr>
        <w:t>本规划</w:t>
      </w:r>
      <w:r>
        <w:rPr>
          <w:rFonts w:hint="default" w:ascii="Times New Roman" w:hAnsi="Times New Roman" w:eastAsia="仿宋_GB2312" w:cs="Times New Roman"/>
          <w:color w:val="auto"/>
          <w:sz w:val="32"/>
          <w:szCs w:val="32"/>
          <w:highlight w:val="none"/>
        </w:rPr>
        <w:t>根据</w:t>
      </w:r>
      <w:r>
        <w:rPr>
          <w:rFonts w:hint="default" w:ascii="Times New Roman" w:hAnsi="Times New Roman" w:eastAsia="仿宋_GB2312" w:cs="Times New Roman"/>
          <w:color w:val="auto"/>
          <w:sz w:val="32"/>
          <w:szCs w:val="32"/>
          <w:highlight w:val="none"/>
          <w:lang w:val="en-US" w:eastAsia="zh-CN"/>
        </w:rPr>
        <w:t>辖区</w:t>
      </w:r>
      <w:r>
        <w:rPr>
          <w:rFonts w:hint="default" w:ascii="Times New Roman" w:hAnsi="Times New Roman" w:eastAsia="仿宋_GB2312" w:cs="Times New Roman"/>
          <w:color w:val="auto"/>
          <w:sz w:val="32"/>
          <w:szCs w:val="32"/>
          <w:highlight w:val="none"/>
        </w:rPr>
        <w:t>地域面积、人口数量、交通状况、经济发展水平、居民消费能力、消费</w:t>
      </w:r>
      <w:r>
        <w:rPr>
          <w:rFonts w:hint="default" w:ascii="Times New Roman" w:hAnsi="Times New Roman" w:eastAsia="仿宋_GB2312" w:cs="Times New Roman"/>
          <w:color w:val="auto"/>
          <w:sz w:val="32"/>
          <w:szCs w:val="32"/>
          <w:highlight w:val="none"/>
        </w:rPr>
        <w:t>者</w:t>
      </w:r>
      <w:r>
        <w:rPr>
          <w:rFonts w:hint="default" w:ascii="Times New Roman" w:hAnsi="Times New Roman" w:eastAsia="仿宋_GB2312" w:cs="Times New Roman"/>
          <w:color w:val="auto"/>
          <w:sz w:val="32"/>
          <w:szCs w:val="32"/>
          <w:highlight w:val="none"/>
        </w:rPr>
        <w:t>购买习惯等因素，合理确定</w:t>
      </w:r>
      <w:r>
        <w:rPr>
          <w:rFonts w:hint="default" w:ascii="Times New Roman" w:hAnsi="Times New Roman" w:eastAsia="仿宋_GB2312" w:cs="Times New Roman"/>
          <w:color w:val="auto"/>
          <w:sz w:val="32"/>
          <w:szCs w:val="32"/>
          <w:highlight w:val="none"/>
          <w:lang w:val="en-US" w:eastAsia="zh-CN"/>
        </w:rPr>
        <w:t>各</w:t>
      </w:r>
      <w:r>
        <w:rPr>
          <w:rFonts w:hint="default" w:ascii="Times New Roman" w:hAnsi="Times New Roman" w:eastAsia="仿宋_GB2312" w:cs="Times New Roman"/>
          <w:color w:val="auto"/>
          <w:sz w:val="32"/>
          <w:szCs w:val="32"/>
          <w:highlight w:val="none"/>
        </w:rPr>
        <w:t>单元网格</w:t>
      </w:r>
      <w:r>
        <w:rPr>
          <w:rFonts w:hint="default" w:ascii="Times New Roman" w:hAnsi="Times New Roman" w:eastAsia="仿宋_GB2312" w:cs="Times New Roman"/>
          <w:color w:val="auto"/>
          <w:sz w:val="32"/>
          <w:szCs w:val="32"/>
          <w:highlight w:val="none"/>
          <w:lang w:val="en-US" w:eastAsia="zh-CN"/>
        </w:rPr>
        <w:t>内可</w:t>
      </w:r>
      <w:r>
        <w:rPr>
          <w:rFonts w:hint="default" w:ascii="Times New Roman" w:hAnsi="Times New Roman" w:eastAsia="仿宋_GB2312" w:cs="Times New Roman"/>
          <w:color w:val="auto"/>
          <w:sz w:val="32"/>
          <w:szCs w:val="32"/>
          <w:highlight w:val="none"/>
        </w:rPr>
        <w:t>设置</w:t>
      </w:r>
      <w:r>
        <w:rPr>
          <w:rFonts w:hint="default"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rPr>
        <w:t>零售点规划数</w:t>
      </w:r>
      <w:r>
        <w:rPr>
          <w:rFonts w:hint="default" w:ascii="Times New Roman" w:hAnsi="Times New Roman" w:eastAsia="仿宋_GB2312" w:cs="Times New Roman"/>
          <w:color w:val="auto"/>
          <w:sz w:val="32"/>
          <w:szCs w:val="32"/>
          <w:highlight w:val="none"/>
          <w:lang w:val="en-US" w:eastAsia="zh-CN"/>
        </w:rPr>
        <w:t>量，并结合各单元网格内人口数量、烟草制品销量、零售许可证申办数量变化幅度等因素，进行动态调整</w:t>
      </w:r>
      <w:r>
        <w:rPr>
          <w:rFonts w:hint="default" w:ascii="Times New Roman" w:hAnsi="Times New Roman" w:eastAsia="仿宋_GB2312" w:cs="Times New Roman"/>
          <w:color w:val="auto"/>
          <w:sz w:val="32"/>
          <w:szCs w:val="32"/>
          <w:highlight w:val="none"/>
        </w:rPr>
        <w:t>。</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宋体" w:cs="Times New Roman"/>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在某一</w:t>
      </w:r>
      <w:r>
        <w:rPr>
          <w:rFonts w:hint="default" w:ascii="Times New Roman" w:hAnsi="Times New Roman" w:eastAsia="仿宋_GB2312" w:cs="Times New Roman"/>
          <w:color w:val="auto"/>
          <w:sz w:val="32"/>
          <w:szCs w:val="32"/>
          <w:highlight w:val="none"/>
        </w:rPr>
        <w:t>单元网格内零售点数量达到规划数时，该单元网格不予新设零售点。</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strike w:val="0"/>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rPr>
        <w:t>本区零售点合理布局规划数及规划区域、区域网格归属等详见《</w:t>
      </w:r>
      <w:r>
        <w:rPr>
          <w:rFonts w:hint="default" w:ascii="Times New Roman" w:hAnsi="Times New Roman" w:eastAsia="仿宋_GB2312" w:cs="Times New Roman"/>
          <w:strike w:val="0"/>
          <w:dstrike w:val="0"/>
          <w:color w:val="auto"/>
          <w:sz w:val="32"/>
          <w:szCs w:val="32"/>
          <w:highlight w:val="none"/>
          <w:lang w:eastAsia="zh-CN"/>
        </w:rPr>
        <w:t>昆明市五华区</w:t>
      </w:r>
      <w:r>
        <w:rPr>
          <w:rFonts w:hint="default" w:ascii="Times New Roman" w:hAnsi="Times New Roman" w:eastAsia="仿宋_GB2312" w:cs="Times New Roman"/>
          <w:strike w:val="0"/>
          <w:dstrike w:val="0"/>
          <w:color w:val="auto"/>
          <w:sz w:val="32"/>
          <w:szCs w:val="32"/>
          <w:highlight w:val="none"/>
        </w:rPr>
        <w:t>烟草专卖局烟草制品零售点合理布局公示表》</w:t>
      </w:r>
      <w:r>
        <w:rPr>
          <w:rFonts w:hint="default" w:ascii="Times New Roman" w:hAnsi="Times New Roman" w:eastAsia="仿宋_GB2312" w:cs="Times New Roman"/>
          <w:strike w:val="0"/>
          <w:dstrike w:val="0"/>
          <w:color w:val="auto"/>
          <w:sz w:val="32"/>
          <w:szCs w:val="32"/>
          <w:highlight w:val="none"/>
          <w:lang w:eastAsia="zh-CN"/>
        </w:rPr>
        <w:t>、《昆明市五华区烟草专卖局雪茄烟专营店零售点合理布局公示表》、</w:t>
      </w:r>
      <w:r>
        <w:rPr>
          <w:rFonts w:hint="default" w:ascii="Times New Roman" w:hAnsi="Times New Roman" w:eastAsia="仿宋_GB2312" w:cs="Times New Roman"/>
          <w:strike w:val="0"/>
          <w:dstrike w:val="0"/>
          <w:color w:val="auto"/>
          <w:sz w:val="32"/>
          <w:szCs w:val="32"/>
          <w:highlight w:val="none"/>
        </w:rPr>
        <w:t>《</w:t>
      </w:r>
      <w:r>
        <w:rPr>
          <w:rFonts w:hint="default" w:ascii="Times New Roman" w:hAnsi="Times New Roman" w:eastAsia="仿宋_GB2312" w:cs="Times New Roman"/>
          <w:strike w:val="0"/>
          <w:dstrike w:val="0"/>
          <w:color w:val="auto"/>
          <w:sz w:val="32"/>
          <w:szCs w:val="32"/>
          <w:highlight w:val="none"/>
          <w:lang w:eastAsia="zh-CN"/>
        </w:rPr>
        <w:t>昆明市五华区</w:t>
      </w:r>
      <w:r>
        <w:rPr>
          <w:rFonts w:hint="default" w:ascii="Times New Roman" w:hAnsi="Times New Roman" w:eastAsia="仿宋_GB2312" w:cs="Times New Roman"/>
          <w:strike w:val="0"/>
          <w:dstrike w:val="0"/>
          <w:color w:val="auto"/>
          <w:sz w:val="32"/>
          <w:szCs w:val="32"/>
          <w:highlight w:val="none"/>
        </w:rPr>
        <w:t>烟草专卖局烟草制品零售点合理布局网格示意图》。</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eastAsia="zh-CN"/>
        </w:rPr>
        <w:t>机场、火车站、</w:t>
      </w:r>
      <w:r>
        <w:rPr>
          <w:rFonts w:hint="default" w:ascii="Times New Roman" w:hAnsi="Times New Roman" w:eastAsia="仿宋_GB2312" w:cs="Times New Roman"/>
          <w:strike w:val="0"/>
          <w:color w:val="auto"/>
          <w:sz w:val="32"/>
          <w:szCs w:val="32"/>
          <w:highlight w:val="none"/>
          <w:lang w:eastAsia="zh-CN"/>
        </w:rPr>
        <w:t>汽车站、</w:t>
      </w:r>
      <w:r>
        <w:rPr>
          <w:rFonts w:hint="default" w:ascii="Times New Roman" w:hAnsi="Times New Roman" w:eastAsia="仿宋_GB2312" w:cs="Times New Roman"/>
          <w:strike w:val="0"/>
          <w:dstrike w:val="0"/>
          <w:color w:val="auto"/>
          <w:sz w:val="32"/>
          <w:szCs w:val="32"/>
          <w:highlight w:val="none"/>
          <w:lang w:eastAsia="zh-CN"/>
        </w:rPr>
        <w:t>码头</w:t>
      </w:r>
      <w:r>
        <w:rPr>
          <w:rFonts w:hint="default" w:ascii="Times New Roman" w:hAnsi="Times New Roman" w:eastAsia="仿宋_GB2312" w:cs="Times New Roman"/>
          <w:strike w:val="0"/>
          <w:color w:val="auto"/>
          <w:sz w:val="32"/>
          <w:szCs w:val="32"/>
          <w:highlight w:val="none"/>
          <w:lang w:eastAsia="zh-CN"/>
        </w:rPr>
        <w:t>等</w:t>
      </w:r>
      <w:r>
        <w:rPr>
          <w:rFonts w:hint="default" w:ascii="Times New Roman" w:hAnsi="Times New Roman" w:eastAsia="仿宋_GB2312" w:cs="Times New Roman"/>
          <w:strike w:val="0"/>
          <w:color w:val="auto"/>
          <w:sz w:val="32"/>
          <w:szCs w:val="32"/>
          <w:highlight w:val="none"/>
          <w:lang w:val="en-US" w:eastAsia="zh-CN"/>
        </w:rPr>
        <w:t>内</w:t>
      </w:r>
      <w:r>
        <w:rPr>
          <w:rFonts w:hint="default" w:ascii="Times New Roman" w:hAnsi="Times New Roman" w:eastAsia="仿宋_GB2312" w:cs="Times New Roman"/>
          <w:color w:val="auto"/>
          <w:sz w:val="32"/>
          <w:szCs w:val="32"/>
          <w:highlight w:val="none"/>
          <w:lang w:val="en-US" w:eastAsia="zh-CN"/>
        </w:rPr>
        <w:t>部等候区，可单独设置为一个单元网格，并结合相应人流数量、场所配置等实际，进行规划。</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下列情况设置零售点，不受</w:t>
      </w:r>
      <w:r>
        <w:rPr>
          <w:rFonts w:hint="default" w:ascii="Times New Roman" w:hAnsi="Times New Roman" w:eastAsia="仿宋_GB2312" w:cs="Times New Roman"/>
          <w:strike w:val="0"/>
          <w:dstrike w:val="0"/>
          <w:color w:val="auto"/>
          <w:sz w:val="32"/>
          <w:szCs w:val="32"/>
          <w:highlight w:val="none"/>
          <w:lang w:val="en-US" w:eastAsia="zh-CN"/>
        </w:rPr>
        <w:t>单元网格规划数量、</w:t>
      </w:r>
      <w:r>
        <w:rPr>
          <w:rFonts w:hint="default" w:ascii="Times New Roman" w:hAnsi="Times New Roman" w:eastAsia="仿宋_GB2312" w:cs="Times New Roman"/>
          <w:color w:val="auto"/>
          <w:sz w:val="32"/>
          <w:szCs w:val="32"/>
          <w:highlight w:val="none"/>
          <w:lang w:val="en-US" w:eastAsia="zh-CN"/>
        </w:rPr>
        <w:t>距离限制：</w:t>
      </w:r>
    </w:p>
    <w:p>
      <w:pPr>
        <w:keepNext w:val="0"/>
        <w:keepLines w:val="0"/>
        <w:pageBreakBefore w:val="0"/>
        <w:numPr>
          <w:ilvl w:val="0"/>
          <w:numId w:val="0"/>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楷体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一</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商场、超市、便利店或烟草专业店</w:t>
      </w:r>
      <w:r>
        <w:rPr>
          <w:rFonts w:hint="default" w:ascii="Times New Roman" w:hAnsi="Times New Roman" w:eastAsia="仿宋_GB2312" w:cs="Times New Roman"/>
          <w:color w:val="auto"/>
          <w:spacing w:val="0"/>
          <w:sz w:val="32"/>
          <w:szCs w:val="32"/>
          <w:highlight w:val="none"/>
          <w:lang w:val="en-US" w:eastAsia="zh-CN"/>
        </w:rPr>
        <w:t>经营场所经营面积（不包括仓库、车库、休息室、办公场所等辅助设施的面积）在100平方米及其以</w:t>
      </w:r>
      <w:r>
        <w:rPr>
          <w:rFonts w:hint="default" w:ascii="Times New Roman" w:hAnsi="Times New Roman" w:eastAsia="仿宋_GB2312" w:cs="Times New Roman"/>
          <w:b w:val="0"/>
          <w:bCs w:val="0"/>
          <w:color w:val="auto"/>
          <w:sz w:val="32"/>
          <w:szCs w:val="32"/>
          <w:highlight w:val="none"/>
          <w:lang w:val="en-US" w:eastAsia="zh-CN"/>
        </w:rPr>
        <w:t>上的；</w:t>
      </w:r>
    </w:p>
    <w:p>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二</w:t>
      </w:r>
      <w:r>
        <w:rPr>
          <w:rFonts w:hint="default" w:ascii="Times New Roman" w:hAnsi="Times New Roman" w:eastAsia="仿宋_GB2312" w:cs="Times New Roman"/>
          <w:color w:val="auto"/>
          <w:spacing w:val="0"/>
          <w:sz w:val="32"/>
          <w:szCs w:val="32"/>
          <w:highlight w:val="none"/>
          <w:lang w:eastAsia="zh-CN"/>
        </w:rPr>
        <w:t>）部队、监狱、看守所、戒毒所等封闭式特殊区域内部；</w:t>
      </w:r>
    </w:p>
    <w:p>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（三）未设置烟草制品零售点的</w:t>
      </w:r>
      <w:r>
        <w:rPr>
          <w:rFonts w:hint="default" w:ascii="Times New Roman" w:hAnsi="Times New Roman" w:eastAsia="仿宋_GB2312" w:cs="Times New Roman"/>
          <w:color w:val="auto"/>
          <w:spacing w:val="0"/>
          <w:sz w:val="32"/>
          <w:szCs w:val="32"/>
          <w:highlight w:val="none"/>
          <w:lang w:eastAsia="zh-CN"/>
        </w:rPr>
        <w:t>加油站</w:t>
      </w:r>
      <w:r>
        <w:rPr>
          <w:rFonts w:hint="default" w:ascii="Times New Roman" w:hAnsi="Times New Roman" w:eastAsia="仿宋_GB2312" w:cs="Times New Roman"/>
          <w:color w:val="auto"/>
          <w:spacing w:val="0"/>
          <w:sz w:val="32"/>
          <w:szCs w:val="32"/>
          <w:highlight w:val="none"/>
          <w:lang w:val="en-US" w:eastAsia="zh-CN"/>
        </w:rPr>
        <w:t>及其配套</w:t>
      </w:r>
      <w:r>
        <w:rPr>
          <w:rFonts w:hint="default" w:ascii="Times New Roman" w:hAnsi="Times New Roman" w:eastAsia="仿宋_GB2312" w:cs="Times New Roman"/>
          <w:color w:val="auto"/>
          <w:spacing w:val="0"/>
          <w:sz w:val="32"/>
          <w:szCs w:val="32"/>
          <w:highlight w:val="none"/>
          <w:lang w:eastAsia="zh-CN"/>
        </w:rPr>
        <w:t>服务区内</w:t>
      </w:r>
      <w:r>
        <w:rPr>
          <w:rFonts w:hint="default" w:ascii="Times New Roman" w:hAnsi="Times New Roman" w:eastAsia="仿宋_GB2312" w:cs="Times New Roman"/>
          <w:color w:val="auto"/>
          <w:spacing w:val="0"/>
          <w:sz w:val="32"/>
          <w:szCs w:val="32"/>
          <w:highlight w:val="none"/>
          <w:lang w:val="en-US" w:eastAsia="zh-CN"/>
        </w:rPr>
        <w:t>部；</w:t>
      </w:r>
    </w:p>
    <w:p>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四</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未设置烟草制品零售点的地铁站（按每站计）内部；</w:t>
      </w:r>
    </w:p>
    <w:p>
      <w:pPr>
        <w:keepNext w:val="0"/>
        <w:keepLines w:val="0"/>
        <w:pageBreakBefore w:val="0"/>
        <w:widowControl/>
        <w:kinsoku/>
        <w:wordWrap/>
        <w:overflowPunct/>
        <w:topLinePunct w:val="0"/>
        <w:autoSpaceDE/>
        <w:autoSpaceDN/>
        <w:bidi w:val="0"/>
        <w:adjustRightInd/>
        <w:snapToGrid/>
        <w:spacing w:before="5" w:line="560" w:lineRule="exact"/>
        <w:ind w:left="1" w:firstLine="640" w:firstLineChars="200"/>
        <w:jc w:val="both"/>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（五）商用楼宇（按每栋楼宇计）公共楼层部分已形成实际商品展卖场所，但未设置烟草制品零售点的；</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具有下列情形之一的，不予设置零售点：</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申请人为无民事行为能力人或者限制行为能力人的；</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申请人隐瞒有关情况或提供虚假材料的；因隐瞒有关情况或者提供虚假材料，烟草专卖局作出不予受理或者不予发证决定后，申请人一年内再次提出申请的；</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外商投资的商业企业或者个体工商户，但有外资成分以提供住宿、餐饮、休闲、娱乐为主要经营的宾馆、酒店等属于娱乐服务类的企业和经国家有关部门批准为国有控股的混合所有制企业除外；</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无固定经营场所的：包括但不限于流动的摊、点、车、棚、简易板房、活动板房（彩钢房）、临时占道的建筑等；</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经营场所与住所不相独立的：包括但不限于经营场所为住所的客厅、餐厅、卧室、阳台、地下室、储藏室等或车库、居民楼内公用道、楼梯间等；</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经营场所已经办理了仍在有效期内的烟草专卖零售许可证的；</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经营场所位于党政机关内部或者医疗卫生机构内部的；</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strike w:val="0"/>
          <w:dstrike w:val="0"/>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val="en-US" w:eastAsia="zh-CN"/>
        </w:rPr>
        <w:t>经营场所基于安全因素不适宜经营烟草制品</w:t>
      </w:r>
      <w:r>
        <w:rPr>
          <w:rFonts w:hint="default" w:ascii="Times New Roman" w:hAnsi="Times New Roman" w:eastAsia="仿宋_GB2312" w:cs="Times New Roman"/>
          <w:color w:val="auto"/>
          <w:sz w:val="32"/>
          <w:szCs w:val="32"/>
          <w:highlight w:val="none"/>
          <w:lang w:val="en-US" w:eastAsia="zh-CN"/>
        </w:rPr>
        <w:t>的；</w:t>
      </w:r>
    </w:p>
    <w:p>
      <w:pPr>
        <w:keepNext w:val="0"/>
        <w:keepLines w:val="0"/>
        <w:pageBreakBefore w:val="0"/>
        <w:numPr>
          <w:ilvl w:val="0"/>
          <w:numId w:val="2"/>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pacing w:val="0"/>
          <w:sz w:val="32"/>
          <w:szCs w:val="32"/>
          <w:highlight w:val="none"/>
          <w:lang w:val="en-US" w:eastAsia="zh-CN"/>
        </w:rPr>
        <w:t>城市区域中小学、幼儿园内部及学生正常出入口（含通道）向外延伸100米以内，农村区域中小学、幼</w:t>
      </w:r>
      <w:r>
        <w:rPr>
          <w:rFonts w:hint="default" w:ascii="Times New Roman" w:hAnsi="Times New Roman" w:eastAsia="仿宋_GB2312" w:cs="Times New Roman"/>
          <w:color w:val="auto"/>
          <w:sz w:val="32"/>
          <w:szCs w:val="32"/>
          <w:highlight w:val="none"/>
          <w:lang w:val="en-US" w:eastAsia="zh-CN"/>
        </w:rPr>
        <w:t>儿园</w:t>
      </w:r>
      <w:r>
        <w:rPr>
          <w:rFonts w:hint="default" w:ascii="Times New Roman" w:hAnsi="Times New Roman" w:eastAsia="仿宋_GB2312" w:cs="Times New Roman"/>
          <w:b w:val="0"/>
          <w:bCs w:val="0"/>
          <w:color w:val="auto"/>
          <w:spacing w:val="0"/>
          <w:sz w:val="32"/>
          <w:szCs w:val="32"/>
          <w:highlight w:val="none"/>
          <w:lang w:val="en-US" w:eastAsia="zh-CN"/>
        </w:rPr>
        <w:t>内部及</w:t>
      </w:r>
      <w:r>
        <w:rPr>
          <w:rFonts w:hint="default" w:ascii="Times New Roman" w:hAnsi="Times New Roman" w:eastAsia="仿宋_GB2312" w:cs="Times New Roman"/>
          <w:color w:val="auto"/>
          <w:sz w:val="32"/>
          <w:szCs w:val="32"/>
          <w:highlight w:val="none"/>
          <w:lang w:val="en-US" w:eastAsia="zh-CN"/>
        </w:rPr>
        <w:t>学生正常出入口（含通道）</w:t>
      </w:r>
      <w:r>
        <w:rPr>
          <w:rFonts w:hint="default" w:ascii="Times New Roman" w:hAnsi="Times New Roman" w:eastAsia="仿宋_GB2312" w:cs="Times New Roman"/>
          <w:b w:val="0"/>
          <w:bCs w:val="0"/>
          <w:color w:val="auto"/>
          <w:spacing w:val="0"/>
          <w:sz w:val="32"/>
          <w:szCs w:val="32"/>
          <w:highlight w:val="none"/>
          <w:lang w:val="en-US" w:eastAsia="zh-CN"/>
        </w:rPr>
        <w:t>向外延伸</w:t>
      </w:r>
      <w:r>
        <w:rPr>
          <w:rFonts w:hint="default" w:ascii="Times New Roman" w:hAnsi="Times New Roman" w:eastAsia="仿宋_GB2312" w:cs="Times New Roman"/>
          <w:color w:val="auto"/>
          <w:sz w:val="32"/>
          <w:szCs w:val="32"/>
          <w:highlight w:val="none"/>
          <w:lang w:val="en-US" w:eastAsia="zh-CN"/>
        </w:rPr>
        <w:t>50</w:t>
      </w:r>
      <w:r>
        <w:rPr>
          <w:rFonts w:hint="default" w:ascii="Times New Roman" w:hAnsi="Times New Roman" w:eastAsia="仿宋_GB2312" w:cs="Times New Roman"/>
          <w:color w:val="auto"/>
          <w:sz w:val="32"/>
          <w:szCs w:val="32"/>
          <w:highlight w:val="none"/>
          <w:lang w:val="en-US" w:eastAsia="zh-CN"/>
        </w:rPr>
        <w:t>米以内；</w:t>
      </w:r>
    </w:p>
    <w:p>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strike w:val="0"/>
          <w:dstrike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利用自动售货机或者其他自动售货形式，销售或者变相销售烟草制品的，或者通过信息网络销售烟草专卖</w:t>
      </w:r>
      <w:r>
        <w:rPr>
          <w:rFonts w:hint="default" w:ascii="Times New Roman" w:hAnsi="Times New Roman" w:eastAsia="仿宋_GB2312" w:cs="Times New Roman"/>
          <w:strike w:val="0"/>
          <w:dstrike w:val="0"/>
          <w:color w:val="auto"/>
          <w:sz w:val="32"/>
          <w:szCs w:val="32"/>
          <w:highlight w:val="none"/>
          <w:lang w:val="en-US" w:eastAsia="zh-CN"/>
        </w:rPr>
        <w:t>品的；</w:t>
      </w:r>
    </w:p>
    <w:p>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strike w:val="0"/>
          <w:dstrike w:val="0"/>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val="en-US" w:eastAsia="zh-CN"/>
        </w:rPr>
        <w:t>经营业态存在容易诱导未成年人关注、购买、吸食烟草制品或其他不利于未成年人保护的</w:t>
      </w:r>
      <w:r>
        <w:rPr>
          <w:rFonts w:hint="default" w:ascii="Times New Roman" w:hAnsi="Times New Roman" w:eastAsia="仿宋_GB2312" w:cs="Times New Roman"/>
          <w:color w:val="auto"/>
          <w:sz w:val="32"/>
          <w:szCs w:val="32"/>
          <w:highlight w:val="none"/>
          <w:lang w:val="en-US" w:eastAsia="zh-CN"/>
        </w:rPr>
        <w:t>；以及</w:t>
      </w:r>
      <w:r>
        <w:rPr>
          <w:rFonts w:hint="default" w:ascii="Times New Roman" w:hAnsi="Times New Roman" w:eastAsia="仿宋_GB2312" w:cs="Times New Roman"/>
          <w:strike w:val="0"/>
          <w:dstrike w:val="0"/>
          <w:color w:val="auto"/>
          <w:sz w:val="32"/>
          <w:szCs w:val="32"/>
          <w:highlight w:val="none"/>
          <w:lang w:val="en-US" w:eastAsia="zh-CN"/>
        </w:rPr>
        <w:t>经营业态专业性较强且与烟草制品零售业务没有直接或间接互补营销关系的场所；</w:t>
      </w:r>
    </w:p>
    <w:p>
      <w:pPr>
        <w:keepNext w:val="0"/>
        <w:keepLines w:val="0"/>
        <w:pageBreakBefore w:val="0"/>
        <w:numPr>
          <w:ilvl w:val="0"/>
          <w:numId w:val="2"/>
        </w:numPr>
        <w:kinsoku/>
        <w:wordWrap/>
        <w:overflowPunct/>
        <w:topLinePunct w:val="0"/>
        <w:bidi w:val="0"/>
        <w:adjustRightInd w:val="0"/>
        <w:snapToGrid w:val="0"/>
        <w:spacing w:line="560" w:lineRule="exact"/>
        <w:ind w:left="0" w:leftChars="0"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trike w:val="0"/>
          <w:dstrike w:val="0"/>
          <w:color w:val="auto"/>
          <w:sz w:val="32"/>
          <w:szCs w:val="32"/>
          <w:highlight w:val="none"/>
          <w:lang w:val="en-US" w:eastAsia="zh-CN"/>
        </w:rPr>
        <w:t>法律、法规</w:t>
      </w:r>
      <w:r>
        <w:rPr>
          <w:rFonts w:hint="default" w:ascii="Times New Roman" w:hAnsi="Times New Roman" w:eastAsia="仿宋_GB2312" w:cs="Times New Roman"/>
          <w:color w:val="auto"/>
          <w:sz w:val="32"/>
          <w:szCs w:val="32"/>
          <w:highlight w:val="none"/>
          <w:lang w:val="en-US" w:eastAsia="zh-CN"/>
        </w:rPr>
        <w:t>、规章、规范性文件等规定的其他不予许可的情形。</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因中小学校、幼儿园新建、扩建等客观原因，造成持证人无法在原核定地址经营之日起三十日内，持证人在原单元网格内新址变更许可证的，不受所在单元网格规划数限制，零售点间距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要求可</w:t>
      </w:r>
      <w:r>
        <w:rPr>
          <w:rFonts w:hint="default" w:ascii="Times New Roman" w:hAnsi="Times New Roman" w:eastAsia="仿宋_GB2312" w:cs="Times New Roman"/>
          <w:color w:val="auto"/>
          <w:spacing w:val="0"/>
          <w:sz w:val="32"/>
          <w:szCs w:val="32"/>
          <w:highlight w:val="none"/>
          <w:lang w:val="en-US" w:eastAsia="zh-CN"/>
        </w:rPr>
        <w:t>放宽至本单元网格间距标准的30%执行；</w:t>
      </w:r>
    </w:p>
    <w:p>
      <w:pPr>
        <w:keepNext w:val="0"/>
        <w:keepLines w:val="0"/>
        <w:pageBreakBefore w:val="0"/>
        <w:numPr>
          <w:ilvl w:val="0"/>
          <w:numId w:val="0"/>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trike w:val="0"/>
          <w:dstrike w:val="0"/>
          <w:color w:val="auto"/>
          <w:spacing w:val="0"/>
          <w:sz w:val="32"/>
          <w:szCs w:val="32"/>
          <w:highlight w:val="none"/>
          <w:lang w:val="en-US" w:eastAsia="zh-CN"/>
        </w:rPr>
        <w:t>在辖区其它单元网格新址变更的，受所在单元网格规划数限制，</w:t>
      </w:r>
      <w:r>
        <w:rPr>
          <w:rFonts w:hint="default" w:ascii="Times New Roman" w:hAnsi="Times New Roman" w:eastAsia="仿宋_GB2312" w:cs="Times New Roman"/>
          <w:strike w:val="0"/>
          <w:dstrike w:val="0"/>
          <w:color w:val="auto"/>
          <w:spacing w:val="0"/>
          <w:sz w:val="32"/>
          <w:szCs w:val="32"/>
          <w:highlight w:val="none"/>
          <w:lang w:eastAsia="zh-CN"/>
        </w:rPr>
        <w:t>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w:t>
      </w:r>
      <w:r>
        <w:rPr>
          <w:rFonts w:hint="default" w:ascii="Times New Roman" w:hAnsi="Times New Roman" w:eastAsia="仿宋_GB2312" w:cs="Times New Roman"/>
          <w:strike w:val="0"/>
          <w:dstrike w:val="0"/>
          <w:color w:val="auto"/>
          <w:spacing w:val="0"/>
          <w:sz w:val="32"/>
          <w:szCs w:val="32"/>
          <w:highlight w:val="none"/>
          <w:lang w:eastAsia="zh-CN"/>
        </w:rPr>
        <w:t>按照</w:t>
      </w:r>
      <w:r>
        <w:rPr>
          <w:rFonts w:hint="default" w:ascii="Times New Roman" w:hAnsi="Times New Roman" w:eastAsia="仿宋_GB2312" w:cs="Times New Roman"/>
          <w:strike w:val="0"/>
          <w:dstrike w:val="0"/>
          <w:color w:val="auto"/>
          <w:spacing w:val="0"/>
          <w:sz w:val="32"/>
          <w:szCs w:val="32"/>
          <w:highlight w:val="none"/>
          <w:lang w:val="en-US" w:eastAsia="zh-CN"/>
        </w:rPr>
        <w:t>该单元</w:t>
      </w:r>
      <w:r>
        <w:rPr>
          <w:rFonts w:hint="default" w:ascii="Times New Roman" w:hAnsi="Times New Roman" w:eastAsia="仿宋_GB2312" w:cs="Times New Roman"/>
          <w:strike w:val="0"/>
          <w:dstrike w:val="0"/>
          <w:color w:val="auto"/>
          <w:spacing w:val="0"/>
          <w:sz w:val="32"/>
          <w:szCs w:val="32"/>
          <w:highlight w:val="none"/>
          <w:lang w:eastAsia="zh-CN"/>
        </w:rPr>
        <w:t>网格间距标准的</w:t>
      </w:r>
      <w:r>
        <w:rPr>
          <w:rFonts w:hint="default" w:ascii="Times New Roman" w:hAnsi="Times New Roman" w:eastAsia="仿宋_GB2312" w:cs="Times New Roman"/>
          <w:strike w:val="0"/>
          <w:dstrike w:val="0"/>
          <w:color w:val="auto"/>
          <w:spacing w:val="0"/>
          <w:sz w:val="32"/>
          <w:szCs w:val="32"/>
          <w:highlight w:val="none"/>
          <w:lang w:val="en-US" w:eastAsia="zh-CN"/>
        </w:rPr>
        <w:t>8</w:t>
      </w:r>
      <w:r>
        <w:rPr>
          <w:rFonts w:hint="default" w:ascii="Times New Roman" w:hAnsi="Times New Roman" w:eastAsia="仿宋_GB2312" w:cs="Times New Roman"/>
          <w:strike w:val="0"/>
          <w:dstrike w:val="0"/>
          <w:color w:val="auto"/>
          <w:spacing w:val="0"/>
          <w:sz w:val="32"/>
          <w:szCs w:val="32"/>
          <w:highlight w:val="none"/>
          <w:lang w:eastAsia="zh-CN"/>
        </w:rPr>
        <w:t>0%执行。</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pacing w:val="0"/>
          <w:sz w:val="32"/>
          <w:szCs w:val="32"/>
          <w:highlight w:val="none"/>
          <w:lang w:val="en-US" w:eastAsia="zh-CN"/>
        </w:rPr>
        <w:t>因道路规划、城市建设等客观原因，造成持证人无法在原核定地址经营之日起三十日内，</w:t>
      </w:r>
      <w:r>
        <w:rPr>
          <w:rFonts w:hint="default" w:ascii="Times New Roman" w:hAnsi="Times New Roman" w:eastAsia="仿宋_GB2312" w:cs="Times New Roman"/>
          <w:strike w:val="0"/>
          <w:dstrike w:val="0"/>
          <w:color w:val="auto"/>
          <w:spacing w:val="0"/>
          <w:sz w:val="32"/>
          <w:szCs w:val="32"/>
          <w:highlight w:val="none"/>
          <w:lang w:val="en-US" w:eastAsia="zh-CN"/>
        </w:rPr>
        <w:t>持证人在原单元网格内新址变更许可证的，不受所在单元网格规划数限制，零售点间距要求可放宽至本单元网格间距标准的3</w:t>
      </w:r>
      <w:r>
        <w:rPr>
          <w:rFonts w:hint="default" w:ascii="Times New Roman" w:hAnsi="Times New Roman" w:eastAsia="仿宋_GB2312" w:cs="Times New Roman"/>
          <w:strike w:val="0"/>
          <w:dstrike w:val="0"/>
          <w:color w:val="auto"/>
          <w:spacing w:val="0"/>
          <w:sz w:val="32"/>
          <w:szCs w:val="32"/>
          <w:highlight w:val="none"/>
          <w:lang w:eastAsia="zh-CN"/>
        </w:rPr>
        <w:t>0%执行。</w:t>
      </w:r>
    </w:p>
    <w:p>
      <w:pPr>
        <w:keepNext w:val="0"/>
        <w:keepLines w:val="0"/>
        <w:pageBreakBefore w:val="0"/>
        <w:numPr>
          <w:ilvl w:val="0"/>
          <w:numId w:val="0"/>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trike w:val="0"/>
          <w:dstrike w:val="0"/>
          <w:color w:val="auto"/>
          <w:spacing w:val="0"/>
          <w:sz w:val="32"/>
          <w:szCs w:val="32"/>
          <w:highlight w:val="none"/>
          <w:lang w:val="en-US" w:eastAsia="zh-CN"/>
        </w:rPr>
        <w:t>在辖区其它单元网格新址变更的，受所在单元网格规划数限制，</w:t>
      </w:r>
      <w:r>
        <w:rPr>
          <w:rFonts w:hint="default" w:ascii="Times New Roman" w:hAnsi="Times New Roman" w:eastAsia="仿宋_GB2312" w:cs="Times New Roman"/>
          <w:strike w:val="0"/>
          <w:dstrike w:val="0"/>
          <w:color w:val="auto"/>
          <w:spacing w:val="0"/>
          <w:sz w:val="32"/>
          <w:szCs w:val="32"/>
          <w:highlight w:val="none"/>
          <w:lang w:eastAsia="zh-CN"/>
        </w:rPr>
        <w:t>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w:t>
      </w:r>
      <w:r>
        <w:rPr>
          <w:rFonts w:hint="default" w:ascii="Times New Roman" w:hAnsi="Times New Roman" w:eastAsia="仿宋_GB2312" w:cs="Times New Roman"/>
          <w:strike w:val="0"/>
          <w:dstrike w:val="0"/>
          <w:color w:val="auto"/>
          <w:spacing w:val="0"/>
          <w:sz w:val="32"/>
          <w:szCs w:val="32"/>
          <w:highlight w:val="none"/>
          <w:lang w:eastAsia="zh-CN"/>
        </w:rPr>
        <w:t>按照</w:t>
      </w:r>
      <w:r>
        <w:rPr>
          <w:rFonts w:hint="default" w:ascii="Times New Roman" w:hAnsi="Times New Roman" w:eastAsia="仿宋_GB2312" w:cs="Times New Roman"/>
          <w:strike w:val="0"/>
          <w:dstrike w:val="0"/>
          <w:color w:val="auto"/>
          <w:spacing w:val="0"/>
          <w:sz w:val="32"/>
          <w:szCs w:val="32"/>
          <w:highlight w:val="none"/>
          <w:lang w:val="en-US" w:eastAsia="zh-CN"/>
        </w:rPr>
        <w:t>该单元</w:t>
      </w:r>
      <w:r>
        <w:rPr>
          <w:rFonts w:hint="default" w:ascii="Times New Roman" w:hAnsi="Times New Roman" w:eastAsia="仿宋_GB2312" w:cs="Times New Roman"/>
          <w:strike w:val="0"/>
          <w:dstrike w:val="0"/>
          <w:color w:val="auto"/>
          <w:spacing w:val="0"/>
          <w:sz w:val="32"/>
          <w:szCs w:val="32"/>
          <w:highlight w:val="none"/>
          <w:lang w:eastAsia="zh-CN"/>
        </w:rPr>
        <w:t>网格间距标准的</w:t>
      </w:r>
      <w:r>
        <w:rPr>
          <w:rFonts w:hint="default" w:ascii="Times New Roman" w:hAnsi="Times New Roman" w:eastAsia="仿宋_GB2312" w:cs="Times New Roman"/>
          <w:strike w:val="0"/>
          <w:dstrike w:val="0"/>
          <w:color w:val="auto"/>
          <w:spacing w:val="0"/>
          <w:sz w:val="32"/>
          <w:szCs w:val="32"/>
          <w:highlight w:val="none"/>
          <w:lang w:val="en-US" w:eastAsia="zh-CN"/>
        </w:rPr>
        <w:t>8</w:t>
      </w:r>
      <w:r>
        <w:rPr>
          <w:rFonts w:hint="default" w:ascii="Times New Roman" w:hAnsi="Times New Roman" w:eastAsia="仿宋_GB2312" w:cs="Times New Roman"/>
          <w:strike w:val="0"/>
          <w:dstrike w:val="0"/>
          <w:color w:val="auto"/>
          <w:spacing w:val="0"/>
          <w:sz w:val="32"/>
          <w:szCs w:val="32"/>
          <w:highlight w:val="none"/>
          <w:lang w:eastAsia="zh-CN"/>
        </w:rPr>
        <w:t>0%执行。</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bookmarkStart w:id="0" w:name="OLE_LINK2"/>
      <w:r>
        <w:rPr>
          <w:rFonts w:hint="default" w:ascii="Times New Roman" w:hAnsi="Times New Roman" w:eastAsia="仿宋_GB2312" w:cs="Times New Roman"/>
          <w:color w:val="auto"/>
          <w:sz w:val="32"/>
          <w:szCs w:val="32"/>
          <w:highlight w:val="none"/>
        </w:rPr>
        <w:t>在原发证机关辖区范围内连续经营</w:t>
      </w:r>
      <w:r>
        <w:rPr>
          <w:rFonts w:hint="default" w:ascii="Times New Roman" w:hAnsi="Times New Roman" w:eastAsia="仿宋_GB2312" w:cs="Times New Roman"/>
          <w:color w:val="auto"/>
          <w:sz w:val="32"/>
          <w:szCs w:val="32"/>
          <w:highlight w:val="none"/>
          <w:lang w:val="en-US" w:eastAsia="zh-CN"/>
        </w:rPr>
        <w:t>五</w:t>
      </w:r>
      <w:r>
        <w:rPr>
          <w:rFonts w:hint="default" w:ascii="Times New Roman" w:hAnsi="Times New Roman" w:eastAsia="仿宋_GB2312" w:cs="Times New Roman"/>
          <w:color w:val="auto"/>
          <w:sz w:val="32"/>
          <w:szCs w:val="32"/>
          <w:highlight w:val="none"/>
        </w:rPr>
        <w:t>年以上，且最近连续</w:t>
      </w:r>
      <w:r>
        <w:rPr>
          <w:rFonts w:hint="default" w:ascii="Times New Roman" w:hAnsi="Times New Roman" w:eastAsia="仿宋_GB2312" w:cs="Times New Roman"/>
          <w:color w:val="auto"/>
          <w:sz w:val="32"/>
          <w:szCs w:val="32"/>
          <w:highlight w:val="none"/>
          <w:lang w:val="en-US" w:eastAsia="zh-CN"/>
        </w:rPr>
        <w:t>三</w:t>
      </w:r>
      <w:r>
        <w:rPr>
          <w:rFonts w:hint="default" w:ascii="Times New Roman" w:hAnsi="Times New Roman" w:eastAsia="仿宋_GB2312" w:cs="Times New Roman"/>
          <w:color w:val="auto"/>
          <w:sz w:val="32"/>
          <w:szCs w:val="32"/>
          <w:highlight w:val="none"/>
        </w:rPr>
        <w:t>年无涉烟违法违规记录的持证户，因租金上涨、租赁期满等客观原因不能在原核定地址经营，经营主体未发生改变，</w:t>
      </w:r>
      <w:r>
        <w:rPr>
          <w:rFonts w:hint="default" w:ascii="Times New Roman" w:hAnsi="Times New Roman" w:eastAsia="仿宋_GB2312" w:cs="Times New Roman"/>
          <w:color w:val="auto"/>
          <w:sz w:val="32"/>
          <w:szCs w:val="32"/>
          <w:highlight w:val="none"/>
          <w:lang w:val="en-US" w:eastAsia="zh-CN"/>
        </w:rPr>
        <w:t>在</w:t>
      </w:r>
      <w:r>
        <w:rPr>
          <w:rFonts w:hint="default" w:ascii="Times New Roman" w:hAnsi="Times New Roman" w:eastAsia="仿宋_GB2312" w:cs="Times New Roman"/>
          <w:color w:val="auto"/>
          <w:sz w:val="32"/>
          <w:szCs w:val="32"/>
          <w:highlight w:val="none"/>
        </w:rPr>
        <w:t>办理许可证歇业后</w:t>
      </w:r>
      <w:r>
        <w:rPr>
          <w:rFonts w:hint="default" w:ascii="Times New Roman" w:hAnsi="Times New Roman" w:eastAsia="仿宋_GB2312" w:cs="Times New Roman"/>
          <w:color w:val="auto"/>
          <w:sz w:val="32"/>
          <w:szCs w:val="32"/>
          <w:highlight w:val="none"/>
          <w:lang w:val="en-US" w:eastAsia="zh-CN"/>
        </w:rPr>
        <w:t>六</w:t>
      </w:r>
      <w:r>
        <w:rPr>
          <w:rFonts w:hint="default" w:ascii="Times New Roman" w:hAnsi="Times New Roman" w:eastAsia="仿宋_GB2312" w:cs="Times New Roman"/>
          <w:color w:val="auto"/>
          <w:sz w:val="32"/>
          <w:szCs w:val="32"/>
          <w:highlight w:val="none"/>
        </w:rPr>
        <w:t>个月内，</w:t>
      </w:r>
      <w:r>
        <w:rPr>
          <w:rFonts w:hint="default" w:ascii="Times New Roman" w:hAnsi="Times New Roman" w:eastAsia="仿宋_GB2312" w:cs="Times New Roman"/>
          <w:color w:val="auto"/>
          <w:sz w:val="32"/>
          <w:szCs w:val="32"/>
          <w:highlight w:val="none"/>
          <w:lang w:val="en-US" w:eastAsia="zh-CN"/>
        </w:rPr>
        <w:t>持证人</w:t>
      </w:r>
      <w:r>
        <w:rPr>
          <w:rFonts w:hint="default" w:ascii="Times New Roman" w:hAnsi="Times New Roman" w:eastAsia="仿宋_GB2312" w:cs="Times New Roman"/>
          <w:color w:val="auto"/>
          <w:sz w:val="32"/>
          <w:szCs w:val="32"/>
          <w:highlight w:val="none"/>
        </w:rPr>
        <w:t>申请在原单元网格新址</w:t>
      </w:r>
      <w:r>
        <w:rPr>
          <w:rFonts w:hint="default" w:ascii="Times New Roman" w:hAnsi="Times New Roman" w:eastAsia="仿宋_GB2312" w:cs="Times New Roman"/>
          <w:color w:val="auto"/>
          <w:sz w:val="32"/>
          <w:szCs w:val="32"/>
          <w:highlight w:val="none"/>
          <w:lang w:val="en-US" w:eastAsia="zh-CN"/>
        </w:rPr>
        <w:t>上</w:t>
      </w:r>
      <w:r>
        <w:rPr>
          <w:rFonts w:hint="default" w:ascii="Times New Roman" w:hAnsi="Times New Roman" w:eastAsia="仿宋_GB2312" w:cs="Times New Roman"/>
          <w:color w:val="auto"/>
          <w:sz w:val="32"/>
          <w:szCs w:val="32"/>
          <w:highlight w:val="none"/>
        </w:rPr>
        <w:t>新办</w:t>
      </w:r>
      <w:r>
        <w:rPr>
          <w:rFonts w:hint="default" w:ascii="Times New Roman" w:hAnsi="Times New Roman" w:eastAsia="仿宋_GB2312" w:cs="Times New Roman"/>
          <w:color w:val="auto"/>
          <w:sz w:val="32"/>
          <w:szCs w:val="32"/>
          <w:highlight w:val="none"/>
          <w:lang w:val="en-US" w:eastAsia="zh-CN"/>
        </w:rPr>
        <w:t>零售</w:t>
      </w:r>
      <w:r>
        <w:rPr>
          <w:rFonts w:hint="default" w:ascii="Times New Roman" w:hAnsi="Times New Roman" w:eastAsia="仿宋_GB2312" w:cs="Times New Roman"/>
          <w:color w:val="auto"/>
          <w:sz w:val="32"/>
          <w:szCs w:val="32"/>
          <w:highlight w:val="none"/>
        </w:rPr>
        <w:t>许可证的，不受所在单元网格规划数限制，</w:t>
      </w:r>
      <w:r>
        <w:rPr>
          <w:rFonts w:hint="default" w:ascii="Times New Roman" w:hAnsi="Times New Roman" w:eastAsia="仿宋_GB2312" w:cs="Times New Roman"/>
          <w:color w:val="auto"/>
          <w:spacing w:val="0"/>
          <w:sz w:val="32"/>
          <w:szCs w:val="32"/>
          <w:highlight w:val="none"/>
          <w:lang w:val="en-US" w:eastAsia="zh-CN"/>
        </w:rPr>
        <w:t>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w:t>
      </w:r>
      <w:r>
        <w:rPr>
          <w:rFonts w:hint="default" w:ascii="Times New Roman" w:hAnsi="Times New Roman" w:eastAsia="仿宋_GB2312" w:cs="Times New Roman"/>
          <w:color w:val="auto"/>
          <w:spacing w:val="0"/>
          <w:sz w:val="32"/>
          <w:szCs w:val="32"/>
          <w:highlight w:val="none"/>
          <w:lang w:val="en-US" w:eastAsia="zh-CN"/>
        </w:rPr>
        <w:t>按照该单元网格间距标准的30%执行。</w:t>
      </w:r>
      <w:bookmarkEnd w:id="0"/>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满足以下条件之一且具有完全民事行为能力的特殊群体，申请办理零售许可证的，受所在单元网格规划数限制，</w:t>
      </w:r>
      <w:r>
        <w:rPr>
          <w:rFonts w:hint="default" w:ascii="Times New Roman" w:hAnsi="Times New Roman" w:eastAsia="仿宋_GB2312" w:cs="Times New Roman"/>
          <w:color w:val="auto"/>
          <w:spacing w:val="0"/>
          <w:sz w:val="32"/>
          <w:szCs w:val="32"/>
          <w:highlight w:val="none"/>
          <w:lang w:eastAsia="zh-CN"/>
        </w:rPr>
        <w:t>零售点间距</w:t>
      </w:r>
      <w:r>
        <w:rPr>
          <w:rFonts w:hint="default" w:ascii="Times New Roman" w:hAnsi="Times New Roman" w:eastAsia="仿宋_GB2312" w:cs="Times New Roman"/>
          <w:strike w:val="0"/>
          <w:dstrike w:val="0"/>
          <w:color w:val="auto"/>
          <w:spacing w:val="0"/>
          <w:sz w:val="32"/>
          <w:szCs w:val="32"/>
          <w:highlight w:val="none"/>
          <w:lang w:val="en-US" w:eastAsia="zh-CN"/>
        </w:rPr>
        <w:t>要求</w:t>
      </w:r>
      <w:r>
        <w:rPr>
          <w:rFonts w:hint="default" w:ascii="Times New Roman" w:hAnsi="Times New Roman" w:eastAsia="仿宋_GB2312" w:cs="Times New Roman"/>
          <w:color w:val="auto"/>
          <w:sz w:val="32"/>
          <w:szCs w:val="32"/>
          <w:highlight w:val="none"/>
          <w:lang w:eastAsia="zh-CN"/>
        </w:rPr>
        <w:t>按照</w:t>
      </w:r>
      <w:r>
        <w:rPr>
          <w:rFonts w:hint="default" w:ascii="Times New Roman" w:hAnsi="Times New Roman" w:eastAsia="仿宋_GB2312" w:cs="Times New Roman"/>
          <w:color w:val="auto"/>
          <w:spacing w:val="0"/>
          <w:sz w:val="32"/>
          <w:szCs w:val="32"/>
          <w:highlight w:val="none"/>
          <w:lang w:eastAsia="zh-CN"/>
        </w:rPr>
        <w:t>单元网格间距标准的80%执行</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kinsoku/>
        <w:wordWrap/>
        <w:overflowPunct/>
        <w:topLinePunct w:val="0"/>
        <w:bidi w:val="0"/>
        <w:spacing w:before="38" w:line="560" w:lineRule="exact"/>
        <w:ind w:left="25" w:right="16" w:firstLine="640" w:firstLineChars="200"/>
        <w:jc w:val="both"/>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(一)烈士遗属、因公牺牲军人</w:t>
      </w:r>
      <w:bookmarkStart w:id="1" w:name="OLE_LINK4"/>
      <w:r>
        <w:rPr>
          <w:rFonts w:hint="default" w:ascii="Times New Roman" w:hAnsi="Times New Roman" w:eastAsia="仿宋_GB2312" w:cs="Times New Roman"/>
          <w:color w:val="auto"/>
          <w:spacing w:val="0"/>
          <w:sz w:val="32"/>
          <w:szCs w:val="32"/>
          <w:highlight w:val="none"/>
          <w:lang w:eastAsia="zh-CN"/>
        </w:rPr>
        <w:t>遗</w:t>
      </w:r>
      <w:bookmarkEnd w:id="1"/>
      <w:r>
        <w:rPr>
          <w:rFonts w:hint="default" w:ascii="Times New Roman" w:hAnsi="Times New Roman" w:eastAsia="仿宋_GB2312" w:cs="Times New Roman"/>
          <w:color w:val="auto"/>
          <w:spacing w:val="0"/>
          <w:sz w:val="32"/>
          <w:szCs w:val="32"/>
          <w:highlight w:val="none"/>
          <w:lang w:eastAsia="zh-CN"/>
        </w:rPr>
        <w:t>属、病故军人遗属</w:t>
      </w:r>
      <w:r>
        <w:rPr>
          <w:rFonts w:hint="default" w:ascii="Times New Roman" w:hAnsi="Times New Roman" w:eastAsia="仿宋_GB2312" w:cs="Times New Roman"/>
          <w:color w:val="auto"/>
          <w:spacing w:val="0"/>
          <w:sz w:val="32"/>
          <w:szCs w:val="32"/>
          <w:highlight w:val="none"/>
          <w:lang w:val="en-US" w:eastAsia="zh-CN"/>
        </w:rPr>
        <w:t>和</w:t>
      </w:r>
      <w:r>
        <w:rPr>
          <w:rFonts w:hint="default" w:ascii="Times New Roman" w:hAnsi="Times New Roman" w:eastAsia="仿宋_GB2312" w:cs="Times New Roman"/>
          <w:color w:val="auto"/>
          <w:spacing w:val="0"/>
          <w:sz w:val="32"/>
          <w:szCs w:val="32"/>
          <w:highlight w:val="none"/>
          <w:lang w:eastAsia="zh-CN"/>
        </w:rPr>
        <w:t>见义勇为牺牲人员遗属(本条中的遗属包括：父母、子女、配偶)。</w:t>
      </w:r>
    </w:p>
    <w:p>
      <w:pPr>
        <w:keepNext w:val="0"/>
        <w:keepLines w:val="0"/>
        <w:pageBreakBefore w:val="0"/>
        <w:kinsoku/>
        <w:wordWrap/>
        <w:overflowPunct/>
        <w:topLinePunct w:val="0"/>
        <w:bidi w:val="0"/>
        <w:spacing w:before="38" w:line="560" w:lineRule="exact"/>
        <w:ind w:left="0" w:right="16" w:firstLine="640" w:firstLineChars="200"/>
        <w:jc w:val="both"/>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(二)听力、言语、肢体</w:t>
      </w:r>
      <w:r>
        <w:rPr>
          <w:rFonts w:hint="default" w:ascii="Times New Roman" w:hAnsi="Times New Roman" w:eastAsia="仿宋_GB2312" w:cs="Times New Roman"/>
          <w:color w:val="auto"/>
          <w:spacing w:val="0"/>
          <w:sz w:val="32"/>
          <w:szCs w:val="32"/>
          <w:highlight w:val="none"/>
          <w:lang w:val="en-US" w:eastAsia="zh-CN"/>
        </w:rPr>
        <w:t>二级及以上</w:t>
      </w:r>
      <w:r>
        <w:rPr>
          <w:rFonts w:hint="default" w:ascii="Times New Roman" w:hAnsi="Times New Roman" w:eastAsia="仿宋_GB2312" w:cs="Times New Roman"/>
          <w:color w:val="auto"/>
          <w:spacing w:val="0"/>
          <w:sz w:val="32"/>
          <w:szCs w:val="32"/>
          <w:highlight w:val="none"/>
          <w:lang w:eastAsia="zh-CN"/>
        </w:rPr>
        <w:t>具有从事烟草专卖零售经营业务相应能力的残疾人本人。</w:t>
      </w:r>
    </w:p>
    <w:p>
      <w:pPr>
        <w:keepNext w:val="0"/>
        <w:keepLines w:val="0"/>
        <w:pageBreakBefore w:val="0"/>
        <w:kinsoku/>
        <w:wordWrap/>
        <w:overflowPunct/>
        <w:topLinePunct w:val="0"/>
        <w:bidi w:val="0"/>
        <w:spacing w:before="38" w:line="560" w:lineRule="exact"/>
        <w:ind w:left="25" w:right="16" w:firstLine="640" w:firstLineChars="200"/>
        <w:jc w:val="both"/>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同一特殊群体申请人在云南省内</w:t>
      </w:r>
      <w:r>
        <w:rPr>
          <w:rFonts w:hint="default" w:ascii="Times New Roman" w:hAnsi="Times New Roman" w:eastAsia="仿宋_GB2312" w:cs="Times New Roman"/>
          <w:color w:val="auto"/>
          <w:spacing w:val="0"/>
          <w:sz w:val="32"/>
          <w:szCs w:val="32"/>
          <w:highlight w:val="none"/>
          <w:lang w:val="en-US" w:eastAsia="zh-CN"/>
        </w:rPr>
        <w:t>仅限</w:t>
      </w:r>
      <w:r>
        <w:rPr>
          <w:rFonts w:hint="default" w:ascii="Times New Roman" w:hAnsi="Times New Roman" w:eastAsia="仿宋_GB2312" w:cs="Times New Roman"/>
          <w:color w:val="auto"/>
          <w:spacing w:val="0"/>
          <w:sz w:val="32"/>
          <w:szCs w:val="32"/>
          <w:highlight w:val="none"/>
          <w:lang w:eastAsia="zh-CN"/>
        </w:rPr>
        <w:t>适用一次放宽政策。</w:t>
      </w:r>
    </w:p>
    <w:p>
      <w:pPr>
        <w:pStyle w:val="6"/>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第三章 雪茄烟专营零售点布局标准</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雪茄烟专营零售点实行“一址一证”管理，</w:t>
      </w:r>
      <w:r>
        <w:rPr>
          <w:rFonts w:hint="default" w:ascii="Times New Roman" w:hAnsi="Times New Roman" w:eastAsia="仿宋_GB2312" w:cs="Times New Roman"/>
          <w:color w:val="auto"/>
          <w:spacing w:val="0"/>
          <w:sz w:val="32"/>
          <w:szCs w:val="32"/>
          <w:highlight w:val="none"/>
          <w:lang w:val="en-US" w:eastAsia="zh-CN"/>
        </w:rPr>
        <w:t>受辖区</w:t>
      </w:r>
      <w:r>
        <w:rPr>
          <w:rFonts w:hint="default" w:ascii="Times New Roman" w:hAnsi="Times New Roman" w:eastAsia="仿宋_GB2312" w:cs="Times New Roman"/>
          <w:color w:val="auto"/>
          <w:spacing w:val="0"/>
          <w:sz w:val="32"/>
          <w:szCs w:val="32"/>
          <w:highlight w:val="none"/>
          <w:lang w:eastAsia="zh-CN"/>
        </w:rPr>
        <w:t>雪茄烟专营零售点</w:t>
      </w:r>
      <w:r>
        <w:rPr>
          <w:rFonts w:hint="default" w:ascii="Times New Roman" w:hAnsi="Times New Roman" w:eastAsia="仿宋_GB2312" w:cs="Times New Roman"/>
          <w:color w:val="auto"/>
          <w:spacing w:val="0"/>
          <w:sz w:val="32"/>
          <w:szCs w:val="32"/>
          <w:highlight w:val="none"/>
          <w:lang w:val="en-US" w:eastAsia="zh-CN"/>
        </w:rPr>
        <w:t>规划数量限制，不受零售点间距限制，但不得存在本规划第十二条明确的</w:t>
      </w:r>
      <w:r>
        <w:rPr>
          <w:rFonts w:hint="default" w:ascii="Times New Roman" w:hAnsi="Times New Roman" w:eastAsia="仿宋_GB2312" w:cs="Times New Roman"/>
          <w:color w:val="auto"/>
          <w:sz w:val="32"/>
          <w:szCs w:val="32"/>
          <w:highlight w:val="none"/>
          <w:lang w:val="en-US" w:eastAsia="zh-CN"/>
        </w:rPr>
        <w:t>不予设置零售点的情形</w:t>
      </w:r>
      <w:r>
        <w:rPr>
          <w:rFonts w:hint="default" w:ascii="Times New Roman" w:hAnsi="Times New Roman" w:eastAsia="仿宋_GB2312" w:cs="Times New Roman"/>
          <w:color w:val="auto"/>
          <w:spacing w:val="0"/>
          <w:sz w:val="32"/>
          <w:szCs w:val="32"/>
          <w:highlight w:val="none"/>
          <w:lang w:val="en-US" w:eastAsia="zh-CN"/>
        </w:rPr>
        <w:t>。</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雪茄烟专营零售点不作为其它烟草制品零售点、电子烟零售点设置过程中店间距离测量的参照基准。</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highlight w:val="none"/>
          <w:lang w:eastAsia="zh-CN"/>
        </w:rPr>
        <w:t>取得雪茄烟专营零售资格的被许可主体，如需变更其烟草专卖零售许可证经营范围的，应符合相应烟草制品零售点合理布局的规定。</w:t>
      </w:r>
    </w:p>
    <w:p>
      <w:pPr>
        <w:pStyle w:val="6"/>
        <w:keepNext w:val="0"/>
        <w:keepLines w:val="0"/>
        <w:pageBreakBefore w:val="0"/>
        <w:kinsoku/>
        <w:wordWrap/>
        <w:overflowPunct/>
        <w:topLinePunct w:val="0"/>
        <w:bidi w:val="0"/>
        <w:snapToGrid w:val="0"/>
        <w:spacing w:before="312" w:beforeLines="100" w:after="312" w:afterLines="100" w:line="560" w:lineRule="exact"/>
        <w:textAlignment w:val="baseline"/>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第四章  附 则</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烟草专卖零售许可证的发证范围</w:t>
      </w:r>
      <w:r>
        <w:rPr>
          <w:rFonts w:hint="default" w:ascii="Times New Roman" w:hAnsi="Times New Roman" w:eastAsia="仿宋_GB2312" w:cs="Times New Roman"/>
          <w:color w:val="auto"/>
          <w:spacing w:val="0"/>
          <w:sz w:val="32"/>
          <w:szCs w:val="32"/>
          <w:highlight w:val="none"/>
          <w:lang w:val="en-US" w:eastAsia="zh-CN"/>
        </w:rPr>
        <w:t>以属地管辖和指定管辖相结合为原则</w:t>
      </w:r>
      <w:r>
        <w:rPr>
          <w:rFonts w:hint="default" w:ascii="Times New Roman" w:hAnsi="Times New Roman" w:eastAsia="仿宋_GB2312" w:cs="Times New Roman"/>
          <w:color w:val="auto"/>
          <w:spacing w:val="0"/>
          <w:sz w:val="32"/>
          <w:szCs w:val="32"/>
          <w:highlight w:val="none"/>
          <w:lang w:eastAsia="zh-CN"/>
        </w:rPr>
        <w:t>，不受政府各类行政功能区(如经开区、高新区)的划分限制。持证人因道路规划、城市建设等客观原因无法在原核定经营地址经营，申请变更到原发证机关辖区内其他地址经营的，无论新址是否跨政府划定的各类功能区域，均应依法受理。</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eastAsia="zh-CN"/>
        </w:rPr>
        <w:t>本规划实施后，如遇相关法律、法规、规章及规范性文件调整的，</w:t>
      </w:r>
      <w:r>
        <w:rPr>
          <w:rFonts w:hint="default" w:ascii="Times New Roman" w:hAnsi="Times New Roman" w:eastAsia="仿宋_GB2312" w:cs="Times New Roman"/>
          <w:color w:val="auto"/>
          <w:spacing w:val="0"/>
          <w:sz w:val="32"/>
          <w:szCs w:val="32"/>
          <w:highlight w:val="none"/>
          <w:lang w:val="en-US" w:eastAsia="zh-CN"/>
        </w:rPr>
        <w:t>从其规定，并在公布后实施</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 xml:space="preserve"> </w:t>
      </w:r>
    </w:p>
    <w:p>
      <w:pPr>
        <w:keepNext w:val="0"/>
        <w:keepLines w:val="0"/>
        <w:pageBreakBefore w:val="0"/>
        <w:numPr>
          <w:ilvl w:val="2"/>
          <w:numId w:val="1"/>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对暂不符合布局规划的申请人，实行排队轮候制度。</w:t>
      </w:r>
    </w:p>
    <w:p>
      <w:pPr>
        <w:keepNext w:val="0"/>
        <w:keepLines w:val="0"/>
        <w:pageBreakBefore w:val="0"/>
        <w:numPr>
          <w:ilvl w:val="0"/>
          <w:numId w:val="0"/>
        </w:numPr>
        <w:kinsoku/>
        <w:wordWrap/>
        <w:overflowPunct/>
        <w:topLinePunct w:val="0"/>
        <w:bidi w:val="0"/>
        <w:adjustRightInd w:val="0"/>
        <w:snapToGrid w:val="0"/>
        <w:spacing w:before="113"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符合本规划第十三条第一款、第十四条第一款和第十五条规定情形且不受所在单元网格规划数限制的，申请不实行排队轮候制度。</w:t>
      </w:r>
    </w:p>
    <w:p>
      <w:pPr>
        <w:keepNext w:val="0"/>
        <w:keepLines w:val="0"/>
        <w:pageBreakBefore w:val="0"/>
        <w:numPr>
          <w:ilvl w:val="2"/>
          <w:numId w:val="1"/>
        </w:numPr>
        <w:kinsoku/>
        <w:wordWrap/>
        <w:overflowPunct/>
        <w:topLinePunct w:val="0"/>
        <w:bidi w:val="0"/>
        <w:snapToGrid w:val="0"/>
        <w:spacing w:line="560" w:lineRule="exact"/>
        <w:ind w:firstLine="68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pacing w:val="10"/>
          <w:sz w:val="32"/>
          <w:szCs w:val="32"/>
          <w:highlight w:val="none"/>
        </w:rPr>
        <w:t>本区</w:t>
      </w:r>
      <w:r>
        <w:rPr>
          <w:rFonts w:hint="default" w:ascii="Times New Roman" w:hAnsi="Times New Roman" w:eastAsia="仿宋_GB2312" w:cs="Times New Roman"/>
          <w:color w:val="auto"/>
          <w:sz w:val="32"/>
          <w:szCs w:val="32"/>
          <w:highlight w:val="none"/>
        </w:rPr>
        <w:t>零售点合理布局实行定期评价、动态管理。每季度根据本地经济发展、城乡建设、市场形势等变化情况进行调整</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并</w:t>
      </w:r>
      <w:r>
        <w:rPr>
          <w:rFonts w:hint="default" w:ascii="Times New Roman" w:hAnsi="Times New Roman" w:eastAsia="仿宋_GB2312" w:cs="Times New Roman"/>
          <w:color w:val="auto"/>
          <w:sz w:val="32"/>
          <w:szCs w:val="32"/>
          <w:highlight w:val="none"/>
          <w:lang w:val="en-US" w:eastAsia="zh-CN"/>
        </w:rPr>
        <w:t>经</w:t>
      </w:r>
      <w:r>
        <w:rPr>
          <w:rFonts w:hint="default" w:ascii="Times New Roman" w:hAnsi="Times New Roman" w:eastAsia="仿宋_GB2312" w:cs="Times New Roman"/>
          <w:color w:val="auto"/>
          <w:sz w:val="32"/>
          <w:szCs w:val="32"/>
          <w:highlight w:val="none"/>
        </w:rPr>
        <w:t>公示后实施。</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中所称“中小学校”是指普通中小学校、特殊教育学校、中等职业学校、专门学校等。“幼儿园”是指经教育行政主管部门依法批准的公办和民办全日制、寄宿制、半日制幼儿园及小学附设的学前班、幼儿班等。各类培训教育机构、托管班、早教班等除外。</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城市区域是指位于主城区、城乡结合区、镇中心区、镇乡结合区、特殊区域；农村区域是指位于乡中心区、村庄。</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本规划中“以上”、“不低于”、“不超过”、“以内”等，如无特殊说明均包括本数。</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本规划中按照年、月、日计算期间的，开始的当日不计入，自下一日开始计算，均以工作日计算，不含法定节假日。</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本规划由昆明市五华区烟草专卖局负责解释。</w:t>
      </w:r>
    </w:p>
    <w:p>
      <w:pPr>
        <w:keepNext w:val="0"/>
        <w:keepLines w:val="0"/>
        <w:pageBreakBefore w:val="0"/>
        <w:numPr>
          <w:ilvl w:val="2"/>
          <w:numId w:val="1"/>
        </w:numPr>
        <w:kinsoku/>
        <w:wordWrap/>
        <w:overflowPunct/>
        <w:topLinePunct w:val="0"/>
        <w:bidi w:val="0"/>
        <w:adjustRightInd w:val="0"/>
        <w:snapToGrid w:val="0"/>
        <w:spacing w:line="560" w:lineRule="exact"/>
        <w:ind w:firstLine="640" w:firstLineChars="200"/>
        <w:textAlignment w:val="baseline"/>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本规划于公布之日起三十日后施行，</w:t>
      </w:r>
      <w:r>
        <w:rPr>
          <w:rFonts w:hint="default" w:ascii="Times New Roman" w:hAnsi="Times New Roman" w:eastAsia="仿宋_GB2312" w:cs="Times New Roman"/>
          <w:color w:val="auto"/>
          <w:sz w:val="32"/>
          <w:szCs w:val="32"/>
          <w:highlight w:val="none"/>
          <w:lang w:val="en-US" w:eastAsia="zh-CN"/>
        </w:rPr>
        <w:t>2024</w:t>
      </w:r>
      <w:r>
        <w:rPr>
          <w:rFonts w:hint="default" w:ascii="Times New Roman" w:hAnsi="Times New Roman" w:eastAsia="仿宋_GB2312" w:cs="Times New Roman"/>
          <w:color w:val="auto"/>
          <w:sz w:val="32"/>
          <w:szCs w:val="32"/>
          <w:highlight w:val="none"/>
          <w:lang w:val="en-US" w:eastAsia="zh-CN"/>
        </w:rPr>
        <w:t>年</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en-US" w:eastAsia="zh-CN"/>
        </w:rPr>
        <w:t>月</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日起实施的《云南省昆明市五华区烟草制品零售点合理布局规划》（五烟局〔</w:t>
      </w:r>
      <w:r>
        <w:rPr>
          <w:rFonts w:hint="default" w:ascii="Times New Roman" w:hAnsi="Times New Roman" w:eastAsia="仿宋_GB2312" w:cs="Times New Roman"/>
          <w:color w:val="auto"/>
          <w:sz w:val="32"/>
          <w:szCs w:val="32"/>
          <w:highlight w:val="none"/>
          <w:lang w:val="en-US" w:eastAsia="zh-CN"/>
        </w:rPr>
        <w:t>2024</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号）同时废止。</w:t>
      </w:r>
    </w:p>
    <w:p>
      <w:pPr>
        <w:pStyle w:val="10"/>
        <w:keepNext w:val="0"/>
        <w:keepLines w:val="0"/>
        <w:pageBreakBefore w:val="0"/>
        <w:kinsoku/>
        <w:wordWrap/>
        <w:overflowPunct/>
        <w:topLinePunct w:val="0"/>
        <w:bidi w:val="0"/>
        <w:spacing w:line="560" w:lineRule="exact"/>
        <w:rPr>
          <w:rFonts w:hint="default" w:ascii="Times New Roman" w:hAnsi="Times New Roman" w:cs="Times New Roman"/>
          <w:color w:val="auto"/>
          <w:highlight w:val="none"/>
        </w:rPr>
      </w:pPr>
    </w:p>
    <w:p>
      <w:pPr>
        <w:keepNext w:val="0"/>
        <w:keepLines w:val="0"/>
        <w:pageBreakBefore w:val="0"/>
        <w:numPr>
          <w:ilvl w:val="0"/>
          <w:numId w:val="0"/>
        </w:numPr>
        <w:kinsoku/>
        <w:wordWrap/>
        <w:overflowPunct/>
        <w:topLinePunct w:val="0"/>
        <w:bidi w:val="0"/>
        <w:adjustRightInd w:val="0"/>
        <w:snapToGrid w:val="0"/>
        <w:spacing w:line="560" w:lineRule="exact"/>
        <w:ind w:left="680" w:leftChars="0"/>
        <w:jc w:val="both"/>
        <w:rPr>
          <w:rFonts w:hint="default" w:ascii="Times New Roman" w:hAnsi="Times New Roman" w:eastAsia="仿宋_GB2312" w:cs="Times New Roman"/>
          <w:color w:val="auto"/>
          <w:sz w:val="32"/>
          <w:szCs w:val="32"/>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34035" cy="230505"/>
              <wp:effectExtent l="0" t="0" r="0" b="0"/>
              <wp:wrapNone/>
              <wp:docPr id="22" name="文本框 21"/>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a:effectLst/>
                    </wps:spPr>
                    <wps:txbx>
                      <w:txbxContent>
                        <w:p>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33</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1" o:spid="_x0000_s1026" o:spt="202" type="#_x0000_t202" style="position:absolute;left:0pt;margin-top:0pt;height:18.15pt;width:42.05pt;mso-position-horizontal:right;mso-position-horizontal-relative:margin;mso-wrap-style:none;z-index:251659264;mso-width-relative:page;mso-height-relative:page;" filled="f" stroked="f" coordsize="21600,21600" o:gfxdata="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AWz1NB0gAAAAMBAAAPAAAAAAAAAAEA&#10;IAAAADgAAABkcnMvZG93bnJldi54bWxQSwECFAAUAAAACACHTuJAnuegaDgCAABjBAAADgAAAAAA&#10;AAABACAAAAA3AQAAZHJzL2Uyb0RvYy54bWxQSwUGAAAAAAYABgBZAQAA4QUAAAAA&#10;">
              <v:fill on="f" focussize="0,0"/>
              <v:stroke on="f" weight="0.5pt"/>
              <v:imagedata o:title=""/>
              <o:lock v:ext="edit" aspectratio="f"/>
              <v:textbox inset="0mm,0mm,0mm,0mm" style="mso-fit-shape-to-text:t;">
                <w:txbxContent>
                  <w:p>
                    <w:pPr>
                      <w:pStyle w:val="4"/>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33</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E06B93"/>
    <w:multiLevelType w:val="singleLevel"/>
    <w:tmpl w:val="9AE06B93"/>
    <w:lvl w:ilvl="0" w:tentative="0">
      <w:start w:val="1"/>
      <w:numFmt w:val="chineseCounting"/>
      <w:suff w:val="nothing"/>
      <w:lvlText w:val="（%1）"/>
      <w:lvlJc w:val="left"/>
      <w:rPr>
        <w:rFonts w:hint="eastAsia"/>
        <w:color w:val="auto"/>
      </w:rPr>
    </w:lvl>
  </w:abstractNum>
  <w:abstractNum w:abstractNumId="1">
    <w:nsid w:val="20CE79E8"/>
    <w:multiLevelType w:val="multilevel"/>
    <w:tmpl w:val="20CE79E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397"/>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Yjk2MWFhNjZlOGFkYTgwMzQ5YTRlZDFjNTQwODIifQ=="/>
  </w:docVars>
  <w:rsids>
    <w:rsidRoot w:val="00921BF4"/>
    <w:rsid w:val="00255DF5"/>
    <w:rsid w:val="00492D23"/>
    <w:rsid w:val="00921BF4"/>
    <w:rsid w:val="009C058E"/>
    <w:rsid w:val="00AA45E4"/>
    <w:rsid w:val="01EE19B6"/>
    <w:rsid w:val="0293255D"/>
    <w:rsid w:val="04866998"/>
    <w:rsid w:val="05A30D0A"/>
    <w:rsid w:val="05AC5838"/>
    <w:rsid w:val="087472AB"/>
    <w:rsid w:val="08F60724"/>
    <w:rsid w:val="091267EC"/>
    <w:rsid w:val="09144F50"/>
    <w:rsid w:val="0A474B53"/>
    <w:rsid w:val="0A550098"/>
    <w:rsid w:val="0A80786B"/>
    <w:rsid w:val="0AED38FE"/>
    <w:rsid w:val="0B811AED"/>
    <w:rsid w:val="0C1E07A5"/>
    <w:rsid w:val="0C422AAA"/>
    <w:rsid w:val="0D257B39"/>
    <w:rsid w:val="0DA87805"/>
    <w:rsid w:val="0F384BB8"/>
    <w:rsid w:val="0F4F67B5"/>
    <w:rsid w:val="1029294A"/>
    <w:rsid w:val="11B5429E"/>
    <w:rsid w:val="12241424"/>
    <w:rsid w:val="1264042B"/>
    <w:rsid w:val="12C56763"/>
    <w:rsid w:val="12F17558"/>
    <w:rsid w:val="13EA3CBE"/>
    <w:rsid w:val="14753828"/>
    <w:rsid w:val="15526579"/>
    <w:rsid w:val="15C238B7"/>
    <w:rsid w:val="15C4714B"/>
    <w:rsid w:val="15D25814"/>
    <w:rsid w:val="1606331B"/>
    <w:rsid w:val="16BA4750"/>
    <w:rsid w:val="17486B44"/>
    <w:rsid w:val="18157A03"/>
    <w:rsid w:val="186F4193"/>
    <w:rsid w:val="18FF22A3"/>
    <w:rsid w:val="19015DC7"/>
    <w:rsid w:val="1A42779C"/>
    <w:rsid w:val="1A937147"/>
    <w:rsid w:val="1AB9360B"/>
    <w:rsid w:val="1AC92B69"/>
    <w:rsid w:val="1B845153"/>
    <w:rsid w:val="1C9251BD"/>
    <w:rsid w:val="1CBD66FD"/>
    <w:rsid w:val="1D4E39FB"/>
    <w:rsid w:val="1DA95C27"/>
    <w:rsid w:val="1E5E77FD"/>
    <w:rsid w:val="20722A5B"/>
    <w:rsid w:val="212A1E87"/>
    <w:rsid w:val="21A734D8"/>
    <w:rsid w:val="220B4938"/>
    <w:rsid w:val="22E70030"/>
    <w:rsid w:val="231041DF"/>
    <w:rsid w:val="234878DE"/>
    <w:rsid w:val="23745836"/>
    <w:rsid w:val="24F56CB7"/>
    <w:rsid w:val="25441769"/>
    <w:rsid w:val="25763FAD"/>
    <w:rsid w:val="25DD396C"/>
    <w:rsid w:val="26E00E9D"/>
    <w:rsid w:val="26F37FED"/>
    <w:rsid w:val="275D2823"/>
    <w:rsid w:val="27812BCE"/>
    <w:rsid w:val="28BA2C82"/>
    <w:rsid w:val="28E91C1B"/>
    <w:rsid w:val="29E90B31"/>
    <w:rsid w:val="29FD282F"/>
    <w:rsid w:val="2BE05B80"/>
    <w:rsid w:val="2C5C383D"/>
    <w:rsid w:val="2CA0143E"/>
    <w:rsid w:val="2CDF6A8F"/>
    <w:rsid w:val="2D9E60D7"/>
    <w:rsid w:val="2DB72CF5"/>
    <w:rsid w:val="2DCD0020"/>
    <w:rsid w:val="2E5D1AEE"/>
    <w:rsid w:val="2E6B420B"/>
    <w:rsid w:val="2E9B4386"/>
    <w:rsid w:val="2FDE577C"/>
    <w:rsid w:val="31D426B3"/>
    <w:rsid w:val="31D66E3C"/>
    <w:rsid w:val="32326DEE"/>
    <w:rsid w:val="32C6192F"/>
    <w:rsid w:val="337C47C4"/>
    <w:rsid w:val="33900270"/>
    <w:rsid w:val="339715FE"/>
    <w:rsid w:val="33B47A6A"/>
    <w:rsid w:val="340E1773"/>
    <w:rsid w:val="3456111A"/>
    <w:rsid w:val="35204BF2"/>
    <w:rsid w:val="352769B2"/>
    <w:rsid w:val="35363B2B"/>
    <w:rsid w:val="354B0B5C"/>
    <w:rsid w:val="35743113"/>
    <w:rsid w:val="36210F44"/>
    <w:rsid w:val="365437D6"/>
    <w:rsid w:val="37377380"/>
    <w:rsid w:val="37ED7A3F"/>
    <w:rsid w:val="380F0F50"/>
    <w:rsid w:val="38286CC9"/>
    <w:rsid w:val="38457E8E"/>
    <w:rsid w:val="388008B3"/>
    <w:rsid w:val="38AE3672"/>
    <w:rsid w:val="3AAC3BE1"/>
    <w:rsid w:val="3ADF6838"/>
    <w:rsid w:val="3B465105"/>
    <w:rsid w:val="3B9C6F72"/>
    <w:rsid w:val="3BC30375"/>
    <w:rsid w:val="3BC7DA08"/>
    <w:rsid w:val="3BCB21B0"/>
    <w:rsid w:val="3C706E90"/>
    <w:rsid w:val="3D3D2968"/>
    <w:rsid w:val="3D73270E"/>
    <w:rsid w:val="3DFA097A"/>
    <w:rsid w:val="3E0C2C4D"/>
    <w:rsid w:val="3E371A14"/>
    <w:rsid w:val="3E7A4B27"/>
    <w:rsid w:val="3EA94B32"/>
    <w:rsid w:val="3EFA05A5"/>
    <w:rsid w:val="3F126659"/>
    <w:rsid w:val="3F425A69"/>
    <w:rsid w:val="40E70F9A"/>
    <w:rsid w:val="4148399D"/>
    <w:rsid w:val="4168325C"/>
    <w:rsid w:val="41BE1C6A"/>
    <w:rsid w:val="42212150"/>
    <w:rsid w:val="42482327"/>
    <w:rsid w:val="42760930"/>
    <w:rsid w:val="42F179E1"/>
    <w:rsid w:val="430D3E24"/>
    <w:rsid w:val="43655275"/>
    <w:rsid w:val="437E62AC"/>
    <w:rsid w:val="43CC52F4"/>
    <w:rsid w:val="44015C1D"/>
    <w:rsid w:val="442E0603"/>
    <w:rsid w:val="449B0C88"/>
    <w:rsid w:val="468774F1"/>
    <w:rsid w:val="481B4154"/>
    <w:rsid w:val="48B32CF9"/>
    <w:rsid w:val="49251FF8"/>
    <w:rsid w:val="4A314103"/>
    <w:rsid w:val="4A7933B4"/>
    <w:rsid w:val="4AF61349"/>
    <w:rsid w:val="4B252C84"/>
    <w:rsid w:val="4B771FE9"/>
    <w:rsid w:val="4B885FA4"/>
    <w:rsid w:val="4BD411EA"/>
    <w:rsid w:val="4C112D4B"/>
    <w:rsid w:val="4CFC4191"/>
    <w:rsid w:val="4D1921CD"/>
    <w:rsid w:val="4D5325E2"/>
    <w:rsid w:val="4E0C0E12"/>
    <w:rsid w:val="4E217FEA"/>
    <w:rsid w:val="4E6C4476"/>
    <w:rsid w:val="4EC75569"/>
    <w:rsid w:val="4FAE58AE"/>
    <w:rsid w:val="4FDF1F0B"/>
    <w:rsid w:val="4FFE4422"/>
    <w:rsid w:val="50634E86"/>
    <w:rsid w:val="517069F7"/>
    <w:rsid w:val="519D2D48"/>
    <w:rsid w:val="51D20849"/>
    <w:rsid w:val="51FE5477"/>
    <w:rsid w:val="52033A97"/>
    <w:rsid w:val="52662B79"/>
    <w:rsid w:val="5302663C"/>
    <w:rsid w:val="53FB308C"/>
    <w:rsid w:val="54280325"/>
    <w:rsid w:val="54F0660E"/>
    <w:rsid w:val="554C6D32"/>
    <w:rsid w:val="55B41E92"/>
    <w:rsid w:val="55E6514E"/>
    <w:rsid w:val="56130B60"/>
    <w:rsid w:val="56A241DD"/>
    <w:rsid w:val="56D36553"/>
    <w:rsid w:val="56D87258"/>
    <w:rsid w:val="56F148F5"/>
    <w:rsid w:val="5804082B"/>
    <w:rsid w:val="581B5404"/>
    <w:rsid w:val="58AB7DCD"/>
    <w:rsid w:val="59D6437F"/>
    <w:rsid w:val="5AE65F83"/>
    <w:rsid w:val="5B1C67F4"/>
    <w:rsid w:val="5C3B2BBF"/>
    <w:rsid w:val="5C4A3F69"/>
    <w:rsid w:val="5D0B3225"/>
    <w:rsid w:val="5E23397E"/>
    <w:rsid w:val="5E982BE1"/>
    <w:rsid w:val="5F5D4BFA"/>
    <w:rsid w:val="60A611D2"/>
    <w:rsid w:val="60BB607C"/>
    <w:rsid w:val="60F670B5"/>
    <w:rsid w:val="630442D7"/>
    <w:rsid w:val="63D2524C"/>
    <w:rsid w:val="63D25BB7"/>
    <w:rsid w:val="6452139E"/>
    <w:rsid w:val="65A827C1"/>
    <w:rsid w:val="65F025BA"/>
    <w:rsid w:val="66024453"/>
    <w:rsid w:val="663F2EDF"/>
    <w:rsid w:val="6732696D"/>
    <w:rsid w:val="686A409C"/>
    <w:rsid w:val="68EC14C9"/>
    <w:rsid w:val="69107C1E"/>
    <w:rsid w:val="69205590"/>
    <w:rsid w:val="69674FF3"/>
    <w:rsid w:val="6A44248E"/>
    <w:rsid w:val="6A715D0D"/>
    <w:rsid w:val="6A8917B4"/>
    <w:rsid w:val="6A9115B7"/>
    <w:rsid w:val="6B27177D"/>
    <w:rsid w:val="6BC900B2"/>
    <w:rsid w:val="6C690E6D"/>
    <w:rsid w:val="6C983697"/>
    <w:rsid w:val="6CBC11B2"/>
    <w:rsid w:val="6CC54F8A"/>
    <w:rsid w:val="6D102BFA"/>
    <w:rsid w:val="6D7907EC"/>
    <w:rsid w:val="6DC53D62"/>
    <w:rsid w:val="6DE23DCB"/>
    <w:rsid w:val="6E0E1FA0"/>
    <w:rsid w:val="6E9B39E4"/>
    <w:rsid w:val="6EDF73DA"/>
    <w:rsid w:val="6F4D4C8B"/>
    <w:rsid w:val="705E5CE7"/>
    <w:rsid w:val="70F233A0"/>
    <w:rsid w:val="719402E3"/>
    <w:rsid w:val="719972EE"/>
    <w:rsid w:val="726E19CE"/>
    <w:rsid w:val="72A93F87"/>
    <w:rsid w:val="72CC4119"/>
    <w:rsid w:val="74DD5496"/>
    <w:rsid w:val="75041948"/>
    <w:rsid w:val="75BE243F"/>
    <w:rsid w:val="76614049"/>
    <w:rsid w:val="767982FB"/>
    <w:rsid w:val="76E956FA"/>
    <w:rsid w:val="77503597"/>
    <w:rsid w:val="77560455"/>
    <w:rsid w:val="78474BDC"/>
    <w:rsid w:val="78B81F88"/>
    <w:rsid w:val="7A0C61BB"/>
    <w:rsid w:val="7A813A3B"/>
    <w:rsid w:val="7B113011"/>
    <w:rsid w:val="7B226152"/>
    <w:rsid w:val="7B702252"/>
    <w:rsid w:val="7BB15D69"/>
    <w:rsid w:val="7BD9DA60"/>
    <w:rsid w:val="7C010A0C"/>
    <w:rsid w:val="7C0F0C22"/>
    <w:rsid w:val="7C666864"/>
    <w:rsid w:val="7CB0778F"/>
    <w:rsid w:val="7D7F0D44"/>
    <w:rsid w:val="7E6F2369"/>
    <w:rsid w:val="7E906943"/>
    <w:rsid w:val="7E927FC5"/>
    <w:rsid w:val="7ED7568D"/>
    <w:rsid w:val="7EFF4EE6"/>
    <w:rsid w:val="7F390D88"/>
    <w:rsid w:val="7FDF3946"/>
    <w:rsid w:val="7FFE3131"/>
    <w:rsid w:val="BFFC26B4"/>
    <w:rsid w:val="DFD1791F"/>
    <w:rsid w:val="E738881C"/>
    <w:rsid w:val="F774C4B8"/>
    <w:rsid w:val="F7FB268D"/>
    <w:rsid w:val="F7FF1B4E"/>
    <w:rsid w:val="FE7FB0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99"/>
    <w:pPr>
      <w:jc w:val="left"/>
    </w:pPr>
  </w:style>
  <w:style w:type="paragraph" w:styleId="3">
    <w:name w:val="Body Text"/>
    <w:basedOn w:val="1"/>
    <w:link w:val="11"/>
    <w:unhideWhenUsed/>
    <w:qFormat/>
    <w:uiPriority w:val="0"/>
    <w:pPr>
      <w:spacing w:after="120"/>
    </w:pPr>
  </w:style>
  <w:style w:type="paragraph" w:styleId="4">
    <w:name w:val="footer"/>
    <w:basedOn w:val="1"/>
    <w:link w:val="15"/>
    <w:qFormat/>
    <w:uiPriority w:val="0"/>
    <w:pPr>
      <w:tabs>
        <w:tab w:val="center" w:pos="4153"/>
        <w:tab w:val="right" w:pos="8306"/>
      </w:tabs>
      <w:snapToGrid w:val="0"/>
      <w:jc w:val="left"/>
    </w:pPr>
    <w:rPr>
      <w:sz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link w:val="13"/>
    <w:qFormat/>
    <w:uiPriority w:val="11"/>
    <w:pPr>
      <w:spacing w:before="240" w:after="240" w:line="312" w:lineRule="auto"/>
      <w:jc w:val="center"/>
      <w:outlineLvl w:val="1"/>
    </w:pPr>
    <w:rPr>
      <w:rFonts w:ascii="等线" w:hAnsi="等线" w:eastAsia="等线"/>
      <w:kern w:val="28"/>
      <w:sz w:val="40"/>
      <w:szCs w:val="40"/>
    </w:rPr>
  </w:style>
  <w:style w:type="paragraph" w:styleId="7">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0">
    <w:name w:val="Default"/>
    <w:qFormat/>
    <w:uiPriority w:val="0"/>
    <w:pPr>
      <w:widowControl w:val="0"/>
      <w:autoSpaceDE w:val="0"/>
      <w:autoSpaceDN w:val="0"/>
      <w:adjustRightInd w:val="0"/>
    </w:pPr>
    <w:rPr>
      <w:rFonts w:ascii="宋体" w:hAnsi="Times New Roman" w:eastAsia="Times New Roman" w:cs="宋体"/>
      <w:color w:val="000000"/>
      <w:kern w:val="0"/>
      <w:sz w:val="24"/>
      <w:szCs w:val="24"/>
      <w:lang w:val="en-US" w:eastAsia="zh-CN" w:bidi="ar-SA"/>
    </w:rPr>
  </w:style>
  <w:style w:type="character" w:customStyle="1" w:styleId="11">
    <w:name w:val="正文文本 字符"/>
    <w:basedOn w:val="9"/>
    <w:link w:val="3"/>
    <w:qFormat/>
    <w:uiPriority w:val="0"/>
    <w:rPr>
      <w:rFonts w:ascii="Times New Roman" w:hAnsi="Times New Roman" w:eastAsia="宋体" w:cs="Times New Roman"/>
      <w:szCs w:val="24"/>
    </w:rPr>
  </w:style>
  <w:style w:type="character" w:customStyle="1" w:styleId="12">
    <w:name w:val="批注文字 字符"/>
    <w:basedOn w:val="9"/>
    <w:link w:val="2"/>
    <w:qFormat/>
    <w:uiPriority w:val="99"/>
    <w:rPr>
      <w:rFonts w:ascii="Times New Roman" w:hAnsi="Times New Roman" w:eastAsia="宋体" w:cs="Times New Roman"/>
      <w:szCs w:val="24"/>
    </w:rPr>
  </w:style>
  <w:style w:type="character" w:customStyle="1" w:styleId="13">
    <w:name w:val="副标题 字符"/>
    <w:basedOn w:val="9"/>
    <w:link w:val="6"/>
    <w:qFormat/>
    <w:uiPriority w:val="11"/>
    <w:rPr>
      <w:rFonts w:ascii="等线" w:hAnsi="等线" w:eastAsia="等线" w:cs="Times New Roman"/>
      <w:kern w:val="28"/>
      <w:sz w:val="40"/>
      <w:szCs w:val="40"/>
    </w:rPr>
  </w:style>
  <w:style w:type="character" w:customStyle="1" w:styleId="14">
    <w:name w:val="页眉 字符"/>
    <w:basedOn w:val="9"/>
    <w:link w:val="5"/>
    <w:qFormat/>
    <w:uiPriority w:val="99"/>
    <w:rPr>
      <w:rFonts w:ascii="Times New Roman" w:hAnsi="Times New Roman" w:eastAsia="宋体" w:cs="Times New Roman"/>
      <w:sz w:val="18"/>
      <w:szCs w:val="18"/>
    </w:rPr>
  </w:style>
  <w:style w:type="character" w:customStyle="1" w:styleId="15">
    <w:name w:val="页脚 字符"/>
    <w:basedOn w:val="9"/>
    <w:link w:val="4"/>
    <w:qFormat/>
    <w:uiPriority w:val="0"/>
    <w:rPr>
      <w:rFonts w:ascii="Times New Roman" w:hAnsi="Times New Roman" w:eastAsia="宋体" w:cs="Times New Roman"/>
      <w:sz w:val="18"/>
      <w:szCs w:val="24"/>
    </w:rPr>
  </w:style>
  <w:style w:type="paragraph" w:styleId="16">
    <w:name w:val="List Paragraph"/>
    <w:basedOn w:val="1"/>
    <w:qFormat/>
    <w:uiPriority w:val="34"/>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 w:type="table" w:customStyle="1" w:styleId="1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8</Pages>
  <Words>9821</Words>
  <Characters>10031</Characters>
  <Lines>75</Lines>
  <Paragraphs>21</Paragraphs>
  <TotalTime>8</TotalTime>
  <ScaleCrop>false</ScaleCrop>
  <LinksUpToDate>false</LinksUpToDate>
  <CharactersWithSpaces>10240</CharactersWithSpaces>
  <Application>WPS Office_12.8.2.16969_F1E327BC-269C-435d-A152-05C5408002CA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2024-06-08T03:49:00Z</dcterms:created>
  <dc:creator>汤世彤</dc:creator>
  <cp:lastModifiedBy>ht706</cp:lastModifiedBy>
  <cp:lastPrinted>2026-07-24T03:36:00Z</cp:lastPrinted>
  <dcterms:modified xsi:type="dcterms:W3CDTF">2026-08-03T11:16:08Z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2052-12.8.2.16969</vt:lpwstr>
  </property>
  <property fmtid="{D5CDD505-2E9C-101B-9397-08002B2CF9AE}" pid="3" name="ICV">
    <vt:lpwstr>7AFA727626674207AE3F621A3E058A52_13</vt:lpwstr>
  </property>
  <property fmtid="{D5CDD505-2E9C-101B-9397-08002B2CF9AE}" pid="4" name="KSOTemplateDocerSaveRecord">
    <vt:lpwstr>eyJoZGlkIjoiOGRmZTFiNWEwYWJhODdhZDQxODFhNTYzYjIzMTg1OGUiLCJ1c2VySWQiOiIxMTQxMTE5MzcwIn0=</vt:lpwstr>
  </property>
</Properties>
</file>