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10B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44"/>
          <w:szCs w:val="44"/>
          <w:lang w:eastAsia="zh-CN"/>
        </w:rPr>
      </w:pPr>
      <w:r>
        <w:rPr>
          <w:rFonts w:hint="eastAsia" w:ascii="方正小标宋简体" w:hAnsi="黑体" w:eastAsia="方正小标宋简体" w:cs="Times New Roman"/>
          <w:color w:val="000000"/>
          <w:sz w:val="44"/>
          <w:szCs w:val="44"/>
          <w:lang w:eastAsia="zh-CN"/>
        </w:rPr>
        <w:t>五华区预算支出部门评价表</w:t>
      </w:r>
    </w:p>
    <w:p w14:paraId="2A7AB7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32"/>
          <w:szCs w:val="32"/>
          <w:lang w:eastAsia="zh-CN"/>
        </w:rPr>
      </w:pPr>
      <w:r>
        <w:rPr>
          <w:rFonts w:hint="eastAsia" w:ascii="方正小标宋简体" w:hAnsi="黑体" w:eastAsia="方正小标宋简体" w:cs="Times New Roman"/>
          <w:color w:val="000000"/>
          <w:sz w:val="32"/>
          <w:szCs w:val="32"/>
          <w:lang w:eastAsia="zh-CN"/>
        </w:rPr>
        <w:t>（</w:t>
      </w:r>
      <w:r>
        <w:rPr>
          <w:rFonts w:hint="eastAsia" w:ascii="方正小标宋简体" w:hAnsi="黑体" w:eastAsia="方正小标宋简体" w:cs="Times New Roman"/>
          <w:color w:val="000000"/>
          <w:sz w:val="32"/>
          <w:szCs w:val="32"/>
          <w:lang w:val="en-US" w:eastAsia="zh-CN"/>
        </w:rPr>
        <w:t>2025</w:t>
      </w:r>
      <w:r>
        <w:rPr>
          <w:rFonts w:hint="eastAsia" w:ascii="方正小标宋简体" w:hAnsi="黑体" w:eastAsia="方正小标宋简体" w:cs="Times New Roman"/>
          <w:color w:val="000000"/>
          <w:sz w:val="32"/>
          <w:szCs w:val="32"/>
          <w:lang w:eastAsia="zh-CN"/>
        </w:rPr>
        <w:t>）年度</w:t>
      </w:r>
    </w:p>
    <w:tbl>
      <w:tblPr>
        <w:tblStyle w:val="11"/>
        <w:tblpPr w:leftFromText="180" w:rightFromText="180" w:vertAnchor="text" w:horzAnchor="page" w:tblpXSpec="center" w:tblpY="258"/>
        <w:tblOverlap w:val="never"/>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6"/>
        <w:gridCol w:w="188"/>
        <w:gridCol w:w="374"/>
        <w:gridCol w:w="1597"/>
        <w:gridCol w:w="621"/>
        <w:gridCol w:w="447"/>
        <w:gridCol w:w="546"/>
        <w:gridCol w:w="1218"/>
        <w:gridCol w:w="468"/>
        <w:gridCol w:w="1335"/>
        <w:gridCol w:w="732"/>
      </w:tblGrid>
      <w:tr w14:paraId="1AFB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95" w:hRule="atLeast"/>
          <w:jc w:val="center"/>
        </w:trPr>
        <w:tc>
          <w:tcPr>
            <w:tcW w:w="1787" w:type="dxa"/>
            <w:gridSpan w:val="3"/>
            <w:noWrap w:val="0"/>
            <w:vAlign w:val="center"/>
          </w:tcPr>
          <w:p w14:paraId="26E29A1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sz w:val="18"/>
                <w:szCs w:val="18"/>
              </w:rPr>
            </w:pPr>
            <w:r>
              <w:rPr>
                <w:rFonts w:hint="eastAsia" w:ascii="宋体" w:hAnsi="宋体" w:eastAsia="宋体"/>
                <w:sz w:val="18"/>
                <w:szCs w:val="18"/>
              </w:rPr>
              <w:t>项目名称</w:t>
            </w:r>
          </w:p>
        </w:tc>
        <w:tc>
          <w:tcPr>
            <w:tcW w:w="7338" w:type="dxa"/>
            <w:gridSpan w:val="9"/>
            <w:noWrap w:val="0"/>
            <w:vAlign w:val="center"/>
          </w:tcPr>
          <w:p w14:paraId="4BCE6CC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宋体" w:hAnsi="宋体" w:eastAsia="宋体"/>
                <w:sz w:val="18"/>
                <w:szCs w:val="18"/>
              </w:rPr>
            </w:pPr>
            <w:r>
              <w:rPr>
                <w:rFonts w:hint="eastAsia" w:ascii="宋体" w:hAnsi="宋体" w:eastAsia="宋体"/>
                <w:sz w:val="18"/>
                <w:szCs w:val="18"/>
              </w:rPr>
              <w:t>昆财社基〔202</w:t>
            </w:r>
            <w:r>
              <w:rPr>
                <w:rFonts w:hint="eastAsia" w:ascii="宋体" w:hAnsi="宋体"/>
                <w:sz w:val="18"/>
                <w:szCs w:val="18"/>
                <w:lang w:val="en-US" w:eastAsia="zh-CN"/>
              </w:rPr>
              <w:t>4</w:t>
            </w:r>
            <w:r>
              <w:rPr>
                <w:rFonts w:hint="eastAsia" w:ascii="宋体" w:hAnsi="宋体" w:eastAsia="宋体"/>
                <w:sz w:val="18"/>
                <w:szCs w:val="18"/>
              </w:rPr>
              <w:t>〕</w:t>
            </w:r>
            <w:r>
              <w:rPr>
                <w:rFonts w:hint="eastAsia" w:ascii="宋体" w:hAnsi="宋体"/>
                <w:sz w:val="18"/>
                <w:szCs w:val="18"/>
                <w:lang w:val="en-US" w:eastAsia="zh-CN"/>
              </w:rPr>
              <w:t>48</w:t>
            </w:r>
            <w:r>
              <w:rPr>
                <w:rFonts w:hint="eastAsia" w:ascii="宋体" w:hAnsi="宋体" w:eastAsia="宋体"/>
                <w:sz w:val="18"/>
                <w:szCs w:val="18"/>
              </w:rPr>
              <w:t>号202</w:t>
            </w:r>
            <w:r>
              <w:rPr>
                <w:rFonts w:hint="eastAsia" w:ascii="宋体" w:hAnsi="宋体"/>
                <w:sz w:val="18"/>
                <w:szCs w:val="18"/>
                <w:lang w:val="en-US" w:eastAsia="zh-CN"/>
              </w:rPr>
              <w:t>3</w:t>
            </w:r>
            <w:r>
              <w:rPr>
                <w:rFonts w:hint="eastAsia" w:ascii="宋体" w:hAnsi="宋体" w:eastAsia="宋体"/>
                <w:sz w:val="18"/>
                <w:szCs w:val="18"/>
              </w:rPr>
              <w:t>年度高校毕业生补贴经费</w:t>
            </w:r>
          </w:p>
        </w:tc>
      </w:tr>
      <w:tr w14:paraId="7A7D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1FCD7E21">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主管部门</w:t>
            </w:r>
          </w:p>
        </w:tc>
        <w:tc>
          <w:tcPr>
            <w:tcW w:w="3039" w:type="dxa"/>
            <w:gridSpan w:val="4"/>
            <w:noWrap w:val="0"/>
            <w:vAlign w:val="center"/>
          </w:tcPr>
          <w:p w14:paraId="5EBA1311">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昆明市五华区人力资源和社会保障局</w:t>
            </w:r>
          </w:p>
        </w:tc>
        <w:tc>
          <w:tcPr>
            <w:tcW w:w="2232" w:type="dxa"/>
            <w:gridSpan w:val="3"/>
            <w:noWrap w:val="0"/>
            <w:vAlign w:val="center"/>
          </w:tcPr>
          <w:p w14:paraId="5F1DF80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项目实施单位</w:t>
            </w:r>
          </w:p>
        </w:tc>
        <w:tc>
          <w:tcPr>
            <w:tcW w:w="2067" w:type="dxa"/>
            <w:gridSpan w:val="2"/>
            <w:noWrap w:val="0"/>
            <w:vAlign w:val="center"/>
          </w:tcPr>
          <w:p w14:paraId="5028C9AF">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lang w:eastAsia="zh-CN"/>
              </w:rPr>
              <w:t>昆明市五华区公共就业和人才服务中心</w:t>
            </w:r>
          </w:p>
        </w:tc>
      </w:tr>
      <w:tr w14:paraId="4ED1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42708BAC">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项目负责人</w:t>
            </w:r>
          </w:p>
        </w:tc>
        <w:tc>
          <w:tcPr>
            <w:tcW w:w="3039" w:type="dxa"/>
            <w:gridSpan w:val="4"/>
            <w:noWrap w:val="0"/>
            <w:vAlign w:val="center"/>
          </w:tcPr>
          <w:p w14:paraId="3C337354">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刘咏</w:t>
            </w:r>
          </w:p>
        </w:tc>
        <w:tc>
          <w:tcPr>
            <w:tcW w:w="2232" w:type="dxa"/>
            <w:gridSpan w:val="3"/>
            <w:noWrap w:val="0"/>
            <w:vAlign w:val="center"/>
          </w:tcPr>
          <w:p w14:paraId="6800BCE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联系电话</w:t>
            </w:r>
          </w:p>
        </w:tc>
        <w:tc>
          <w:tcPr>
            <w:tcW w:w="2067" w:type="dxa"/>
            <w:gridSpan w:val="2"/>
            <w:noWrap w:val="0"/>
            <w:vAlign w:val="center"/>
          </w:tcPr>
          <w:p w14:paraId="74B9A681">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63588648</w:t>
            </w:r>
          </w:p>
        </w:tc>
      </w:tr>
      <w:tr w14:paraId="500A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42FCB535">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项目类型</w:t>
            </w:r>
          </w:p>
        </w:tc>
        <w:tc>
          <w:tcPr>
            <w:tcW w:w="7338" w:type="dxa"/>
            <w:gridSpan w:val="9"/>
            <w:noWrap w:val="0"/>
            <w:vAlign w:val="center"/>
          </w:tcPr>
          <w:p w14:paraId="75D929F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经常性项目（√）一次性项目（）</w:t>
            </w:r>
          </w:p>
        </w:tc>
      </w:tr>
      <w:tr w14:paraId="3AF1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restart"/>
            <w:noWrap w:val="0"/>
            <w:vAlign w:val="center"/>
          </w:tcPr>
          <w:p w14:paraId="0BACAD2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项目资金</w:t>
            </w:r>
            <w:r>
              <w:rPr>
                <w:rFonts w:hint="eastAsia" w:ascii="宋体" w:hAnsi="宋体" w:eastAsia="宋体"/>
                <w:sz w:val="18"/>
                <w:szCs w:val="18"/>
              </w:rPr>
              <w:t>（万元）</w:t>
            </w:r>
          </w:p>
        </w:tc>
        <w:tc>
          <w:tcPr>
            <w:tcW w:w="1971" w:type="dxa"/>
            <w:gridSpan w:val="2"/>
            <w:noWrap w:val="0"/>
            <w:vAlign w:val="center"/>
          </w:tcPr>
          <w:p w14:paraId="5DA2A2B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项目支出明细内容</w:t>
            </w:r>
          </w:p>
        </w:tc>
        <w:tc>
          <w:tcPr>
            <w:tcW w:w="1614" w:type="dxa"/>
            <w:gridSpan w:val="3"/>
            <w:noWrap w:val="0"/>
            <w:vAlign w:val="center"/>
          </w:tcPr>
          <w:p w14:paraId="6AFC590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年初预算数</w:t>
            </w:r>
          </w:p>
        </w:tc>
        <w:tc>
          <w:tcPr>
            <w:tcW w:w="1686" w:type="dxa"/>
            <w:gridSpan w:val="2"/>
            <w:noWrap w:val="0"/>
            <w:vAlign w:val="center"/>
          </w:tcPr>
          <w:p w14:paraId="6B0E850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实际到位数</w:t>
            </w:r>
          </w:p>
        </w:tc>
        <w:tc>
          <w:tcPr>
            <w:tcW w:w="1335" w:type="dxa"/>
            <w:noWrap w:val="0"/>
            <w:vAlign w:val="center"/>
          </w:tcPr>
          <w:p w14:paraId="52D839C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实际</w:t>
            </w:r>
            <w:r>
              <w:rPr>
                <w:rFonts w:hint="eastAsia" w:ascii="宋体" w:hAnsi="宋体"/>
                <w:sz w:val="18"/>
                <w:szCs w:val="18"/>
                <w:lang w:eastAsia="zh-CN"/>
              </w:rPr>
              <w:t>支出数</w:t>
            </w:r>
          </w:p>
        </w:tc>
        <w:tc>
          <w:tcPr>
            <w:tcW w:w="732" w:type="dxa"/>
            <w:noWrap w:val="0"/>
            <w:vAlign w:val="center"/>
          </w:tcPr>
          <w:p w14:paraId="5F818C5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执行率</w:t>
            </w:r>
          </w:p>
        </w:tc>
      </w:tr>
      <w:tr w14:paraId="24AE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1E3A918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0991213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高校毕业生补贴经费</w:t>
            </w:r>
          </w:p>
        </w:tc>
        <w:tc>
          <w:tcPr>
            <w:tcW w:w="1614" w:type="dxa"/>
            <w:gridSpan w:val="3"/>
            <w:noWrap w:val="0"/>
            <w:vAlign w:val="center"/>
          </w:tcPr>
          <w:p w14:paraId="5B1694E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82.04万元</w:t>
            </w:r>
          </w:p>
        </w:tc>
        <w:tc>
          <w:tcPr>
            <w:tcW w:w="1686" w:type="dxa"/>
            <w:gridSpan w:val="2"/>
            <w:noWrap w:val="0"/>
            <w:vAlign w:val="center"/>
          </w:tcPr>
          <w:p w14:paraId="3EDF76E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val="en-US" w:eastAsia="zh-CN"/>
              </w:rPr>
              <w:t>82.04万元</w:t>
            </w:r>
          </w:p>
        </w:tc>
        <w:tc>
          <w:tcPr>
            <w:tcW w:w="1335" w:type="dxa"/>
            <w:noWrap w:val="0"/>
            <w:vAlign w:val="center"/>
          </w:tcPr>
          <w:p w14:paraId="3497F7E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82.04万元</w:t>
            </w:r>
          </w:p>
        </w:tc>
        <w:tc>
          <w:tcPr>
            <w:tcW w:w="732" w:type="dxa"/>
            <w:noWrap w:val="0"/>
            <w:vAlign w:val="center"/>
          </w:tcPr>
          <w:p w14:paraId="07F1426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100%</w:t>
            </w:r>
          </w:p>
        </w:tc>
      </w:tr>
      <w:tr w14:paraId="20F3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736780F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0315D29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59533CF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86" w:type="dxa"/>
            <w:gridSpan w:val="2"/>
            <w:noWrap w:val="0"/>
            <w:vAlign w:val="center"/>
          </w:tcPr>
          <w:p w14:paraId="2BC8C28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5" w:type="dxa"/>
            <w:noWrap w:val="0"/>
            <w:vAlign w:val="center"/>
          </w:tcPr>
          <w:p w14:paraId="5B10CCB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32" w:type="dxa"/>
            <w:noWrap w:val="0"/>
            <w:vAlign w:val="center"/>
          </w:tcPr>
          <w:p w14:paraId="08D7FE2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53E4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45B17DC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lang w:eastAsia="zh-CN"/>
              </w:rPr>
            </w:pPr>
            <w:r>
              <w:rPr>
                <w:rFonts w:hint="eastAsia" w:ascii="宋体" w:hAnsi="宋体"/>
                <w:b/>
                <w:bCs/>
                <w:sz w:val="18"/>
                <w:szCs w:val="18"/>
                <w:lang w:eastAsia="zh-CN"/>
              </w:rPr>
              <w:t>合计</w:t>
            </w:r>
          </w:p>
        </w:tc>
        <w:tc>
          <w:tcPr>
            <w:tcW w:w="1614" w:type="dxa"/>
            <w:gridSpan w:val="3"/>
            <w:shd w:val="clear" w:color="auto" w:fill="auto"/>
            <w:noWrap w:val="0"/>
            <w:vAlign w:val="center"/>
          </w:tcPr>
          <w:p w14:paraId="3AA472F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82.04万元</w:t>
            </w:r>
          </w:p>
        </w:tc>
        <w:tc>
          <w:tcPr>
            <w:tcW w:w="1686" w:type="dxa"/>
            <w:gridSpan w:val="2"/>
            <w:shd w:val="clear" w:color="auto" w:fill="auto"/>
            <w:noWrap w:val="0"/>
            <w:vAlign w:val="center"/>
          </w:tcPr>
          <w:p w14:paraId="3CCBDE3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82.04万元</w:t>
            </w:r>
          </w:p>
        </w:tc>
        <w:tc>
          <w:tcPr>
            <w:tcW w:w="1335" w:type="dxa"/>
            <w:shd w:val="clear" w:color="auto" w:fill="auto"/>
            <w:noWrap w:val="0"/>
            <w:vAlign w:val="center"/>
          </w:tcPr>
          <w:p w14:paraId="26A0A4B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82.04万元</w:t>
            </w:r>
          </w:p>
        </w:tc>
        <w:tc>
          <w:tcPr>
            <w:tcW w:w="732" w:type="dxa"/>
            <w:shd w:val="clear" w:color="auto" w:fill="auto"/>
            <w:noWrap w:val="0"/>
            <w:vAlign w:val="center"/>
          </w:tcPr>
          <w:p w14:paraId="4B1085B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100%</w:t>
            </w:r>
          </w:p>
        </w:tc>
      </w:tr>
      <w:tr w14:paraId="74F1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4627E7E8">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其中：中央财政</w:t>
            </w:r>
          </w:p>
        </w:tc>
        <w:tc>
          <w:tcPr>
            <w:tcW w:w="1614" w:type="dxa"/>
            <w:gridSpan w:val="3"/>
            <w:shd w:val="clear" w:color="auto" w:fill="auto"/>
            <w:noWrap w:val="0"/>
            <w:vAlign w:val="center"/>
          </w:tcPr>
          <w:p w14:paraId="02396B3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p>
        </w:tc>
        <w:tc>
          <w:tcPr>
            <w:tcW w:w="1686" w:type="dxa"/>
            <w:gridSpan w:val="2"/>
            <w:shd w:val="clear" w:color="auto" w:fill="auto"/>
            <w:noWrap w:val="0"/>
            <w:vAlign w:val="center"/>
          </w:tcPr>
          <w:p w14:paraId="7D1AF15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p>
        </w:tc>
        <w:tc>
          <w:tcPr>
            <w:tcW w:w="1335" w:type="dxa"/>
            <w:shd w:val="clear" w:color="auto" w:fill="auto"/>
            <w:noWrap w:val="0"/>
            <w:vAlign w:val="center"/>
          </w:tcPr>
          <w:p w14:paraId="5CCA620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p>
        </w:tc>
        <w:tc>
          <w:tcPr>
            <w:tcW w:w="732" w:type="dxa"/>
            <w:shd w:val="clear" w:color="auto" w:fill="auto"/>
            <w:noWrap w:val="0"/>
            <w:vAlign w:val="center"/>
          </w:tcPr>
          <w:p w14:paraId="5D1040A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cs="Times New Roman"/>
                <w:kern w:val="2"/>
                <w:sz w:val="18"/>
                <w:szCs w:val="18"/>
                <w:lang w:val="en-US" w:eastAsia="zh-CN" w:bidi="ar-SA"/>
              </w:rPr>
            </w:pPr>
          </w:p>
        </w:tc>
      </w:tr>
      <w:tr w14:paraId="0DDD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481D600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省</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515FACDE">
            <w:pPr>
              <w:spacing w:line="300" w:lineRule="exact"/>
              <w:ind w:left="0" w:leftChars="0" w:right="0" w:rightChars="0" w:firstLine="0" w:firstLineChars="0"/>
              <w:jc w:val="center"/>
              <w:rPr>
                <w:rFonts w:hint="eastAsia" w:ascii="宋体" w:hAnsi="宋体" w:eastAsia="宋体"/>
                <w:sz w:val="18"/>
                <w:szCs w:val="18"/>
              </w:rPr>
            </w:pPr>
          </w:p>
        </w:tc>
        <w:tc>
          <w:tcPr>
            <w:tcW w:w="1686" w:type="dxa"/>
            <w:gridSpan w:val="2"/>
            <w:noWrap w:val="0"/>
            <w:vAlign w:val="center"/>
          </w:tcPr>
          <w:p w14:paraId="2AD2B5E7">
            <w:pPr>
              <w:spacing w:line="300" w:lineRule="exact"/>
              <w:ind w:left="0" w:leftChars="0" w:right="0" w:rightChars="0" w:firstLine="0" w:firstLineChars="0"/>
              <w:jc w:val="center"/>
              <w:rPr>
                <w:rFonts w:hint="eastAsia" w:ascii="宋体" w:hAnsi="宋体" w:eastAsia="宋体"/>
                <w:sz w:val="18"/>
                <w:szCs w:val="18"/>
              </w:rPr>
            </w:pPr>
          </w:p>
        </w:tc>
        <w:tc>
          <w:tcPr>
            <w:tcW w:w="1335" w:type="dxa"/>
            <w:noWrap w:val="0"/>
            <w:vAlign w:val="center"/>
          </w:tcPr>
          <w:p w14:paraId="44D50946">
            <w:pPr>
              <w:spacing w:line="300" w:lineRule="exact"/>
              <w:ind w:left="0" w:leftChars="0" w:right="0" w:rightChars="0" w:firstLine="0" w:firstLineChars="0"/>
              <w:jc w:val="center"/>
              <w:rPr>
                <w:rFonts w:hint="eastAsia" w:ascii="宋体" w:hAnsi="宋体" w:eastAsia="宋体"/>
                <w:sz w:val="18"/>
                <w:szCs w:val="18"/>
              </w:rPr>
            </w:pPr>
          </w:p>
        </w:tc>
        <w:tc>
          <w:tcPr>
            <w:tcW w:w="732" w:type="dxa"/>
            <w:noWrap w:val="0"/>
            <w:vAlign w:val="center"/>
          </w:tcPr>
          <w:p w14:paraId="2AE35048">
            <w:pPr>
              <w:spacing w:line="300" w:lineRule="exact"/>
              <w:ind w:left="0" w:leftChars="0" w:right="0" w:rightChars="0" w:firstLine="0" w:firstLineChars="0"/>
              <w:jc w:val="center"/>
              <w:rPr>
                <w:rFonts w:hint="eastAsia" w:ascii="宋体" w:hAnsi="宋体" w:eastAsia="宋体"/>
                <w:sz w:val="18"/>
                <w:szCs w:val="18"/>
              </w:rPr>
            </w:pPr>
          </w:p>
        </w:tc>
      </w:tr>
      <w:tr w14:paraId="0963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31F24C32">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市</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shd w:val="clear" w:color="auto" w:fill="auto"/>
            <w:noWrap w:val="0"/>
            <w:vAlign w:val="center"/>
          </w:tcPr>
          <w:p w14:paraId="5DFCBCE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82.04万元</w:t>
            </w:r>
          </w:p>
        </w:tc>
        <w:tc>
          <w:tcPr>
            <w:tcW w:w="1686" w:type="dxa"/>
            <w:gridSpan w:val="2"/>
            <w:shd w:val="clear" w:color="auto" w:fill="auto"/>
            <w:noWrap w:val="0"/>
            <w:vAlign w:val="center"/>
          </w:tcPr>
          <w:p w14:paraId="1456394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82.04万元</w:t>
            </w:r>
          </w:p>
        </w:tc>
        <w:tc>
          <w:tcPr>
            <w:tcW w:w="1335" w:type="dxa"/>
            <w:shd w:val="clear" w:color="auto" w:fill="auto"/>
            <w:noWrap w:val="0"/>
            <w:vAlign w:val="center"/>
          </w:tcPr>
          <w:p w14:paraId="620C15C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82.04万元</w:t>
            </w:r>
          </w:p>
        </w:tc>
        <w:tc>
          <w:tcPr>
            <w:tcW w:w="732" w:type="dxa"/>
            <w:shd w:val="clear" w:color="auto" w:fill="auto"/>
            <w:noWrap w:val="0"/>
            <w:vAlign w:val="center"/>
          </w:tcPr>
          <w:p w14:paraId="11D38B4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100%</w:t>
            </w:r>
          </w:p>
        </w:tc>
      </w:tr>
      <w:tr w14:paraId="5632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2F01A08B">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区级财政</w:t>
            </w:r>
          </w:p>
        </w:tc>
        <w:tc>
          <w:tcPr>
            <w:tcW w:w="1614" w:type="dxa"/>
            <w:gridSpan w:val="3"/>
            <w:noWrap w:val="0"/>
            <w:vAlign w:val="center"/>
          </w:tcPr>
          <w:p w14:paraId="7EB965F0">
            <w:pPr>
              <w:spacing w:line="300" w:lineRule="exact"/>
              <w:ind w:left="0" w:leftChars="0" w:right="0" w:rightChars="0" w:firstLine="0" w:firstLineChars="0"/>
              <w:jc w:val="center"/>
              <w:rPr>
                <w:rFonts w:hint="eastAsia" w:ascii="宋体" w:hAnsi="宋体" w:eastAsia="宋体"/>
                <w:sz w:val="18"/>
                <w:szCs w:val="18"/>
                <w:lang w:val="en-US" w:eastAsia="zh-CN"/>
              </w:rPr>
            </w:pPr>
          </w:p>
        </w:tc>
        <w:tc>
          <w:tcPr>
            <w:tcW w:w="1686" w:type="dxa"/>
            <w:gridSpan w:val="2"/>
            <w:noWrap w:val="0"/>
            <w:vAlign w:val="center"/>
          </w:tcPr>
          <w:p w14:paraId="52610B46">
            <w:pPr>
              <w:spacing w:line="300" w:lineRule="exact"/>
              <w:ind w:left="0" w:leftChars="0" w:right="0" w:rightChars="0" w:firstLine="0" w:firstLineChars="0"/>
              <w:jc w:val="center"/>
              <w:rPr>
                <w:rFonts w:hint="eastAsia" w:ascii="宋体" w:hAnsi="宋体" w:eastAsia="宋体"/>
                <w:sz w:val="18"/>
                <w:szCs w:val="18"/>
              </w:rPr>
            </w:pPr>
          </w:p>
        </w:tc>
        <w:tc>
          <w:tcPr>
            <w:tcW w:w="1335" w:type="dxa"/>
            <w:noWrap w:val="0"/>
            <w:vAlign w:val="center"/>
          </w:tcPr>
          <w:p w14:paraId="2AB519BE">
            <w:pPr>
              <w:spacing w:line="300" w:lineRule="exact"/>
              <w:ind w:left="0" w:leftChars="0" w:right="0" w:rightChars="0" w:firstLine="0" w:firstLineChars="0"/>
              <w:jc w:val="center"/>
              <w:rPr>
                <w:rFonts w:hint="eastAsia" w:ascii="宋体" w:hAnsi="宋体" w:eastAsia="宋体"/>
                <w:sz w:val="18"/>
                <w:szCs w:val="18"/>
              </w:rPr>
            </w:pPr>
          </w:p>
        </w:tc>
        <w:tc>
          <w:tcPr>
            <w:tcW w:w="732" w:type="dxa"/>
            <w:noWrap w:val="0"/>
            <w:vAlign w:val="center"/>
          </w:tcPr>
          <w:p w14:paraId="67CBA49B">
            <w:pPr>
              <w:spacing w:line="300" w:lineRule="exact"/>
              <w:ind w:left="0" w:leftChars="0" w:right="0" w:rightChars="0" w:firstLine="0" w:firstLineChars="0"/>
              <w:jc w:val="center"/>
              <w:rPr>
                <w:rFonts w:hint="eastAsia" w:ascii="宋体" w:hAnsi="宋体" w:eastAsia="宋体"/>
                <w:sz w:val="18"/>
                <w:szCs w:val="18"/>
              </w:rPr>
            </w:pPr>
          </w:p>
        </w:tc>
      </w:tr>
      <w:tr w14:paraId="178F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3758" w:type="dxa"/>
            <w:gridSpan w:val="5"/>
            <w:noWrap w:val="0"/>
            <w:vAlign w:val="center"/>
          </w:tcPr>
          <w:p w14:paraId="5550CAE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其他</w:t>
            </w:r>
          </w:p>
        </w:tc>
        <w:tc>
          <w:tcPr>
            <w:tcW w:w="1614" w:type="dxa"/>
            <w:gridSpan w:val="3"/>
            <w:noWrap w:val="0"/>
            <w:vAlign w:val="center"/>
          </w:tcPr>
          <w:p w14:paraId="7584F456">
            <w:pPr>
              <w:spacing w:line="300" w:lineRule="exact"/>
              <w:ind w:left="0" w:leftChars="0" w:right="0" w:rightChars="0" w:firstLine="0" w:firstLineChars="0"/>
              <w:jc w:val="center"/>
              <w:rPr>
                <w:rFonts w:hint="eastAsia" w:ascii="宋体" w:hAnsi="宋体" w:eastAsia="宋体"/>
                <w:sz w:val="18"/>
                <w:szCs w:val="18"/>
              </w:rPr>
            </w:pPr>
          </w:p>
        </w:tc>
        <w:tc>
          <w:tcPr>
            <w:tcW w:w="1686" w:type="dxa"/>
            <w:gridSpan w:val="2"/>
            <w:noWrap w:val="0"/>
            <w:vAlign w:val="center"/>
          </w:tcPr>
          <w:p w14:paraId="79B270EA">
            <w:pPr>
              <w:spacing w:line="300" w:lineRule="exact"/>
              <w:ind w:left="0" w:leftChars="0" w:right="0" w:rightChars="0" w:firstLine="0" w:firstLineChars="0"/>
              <w:jc w:val="center"/>
              <w:rPr>
                <w:rFonts w:hint="eastAsia" w:ascii="宋体" w:hAnsi="宋体" w:eastAsia="宋体"/>
                <w:sz w:val="18"/>
                <w:szCs w:val="18"/>
              </w:rPr>
            </w:pPr>
          </w:p>
        </w:tc>
        <w:tc>
          <w:tcPr>
            <w:tcW w:w="1335" w:type="dxa"/>
            <w:noWrap w:val="0"/>
            <w:vAlign w:val="center"/>
          </w:tcPr>
          <w:p w14:paraId="1A274FB1">
            <w:pPr>
              <w:spacing w:line="300" w:lineRule="exact"/>
              <w:ind w:left="0" w:leftChars="0" w:right="0" w:rightChars="0" w:firstLine="0" w:firstLineChars="0"/>
              <w:jc w:val="center"/>
              <w:rPr>
                <w:rFonts w:hint="eastAsia" w:ascii="宋体" w:hAnsi="宋体" w:eastAsia="宋体"/>
                <w:sz w:val="18"/>
                <w:szCs w:val="18"/>
              </w:rPr>
            </w:pPr>
          </w:p>
        </w:tc>
        <w:tc>
          <w:tcPr>
            <w:tcW w:w="732" w:type="dxa"/>
            <w:noWrap w:val="0"/>
            <w:vAlign w:val="center"/>
          </w:tcPr>
          <w:p w14:paraId="25F54876">
            <w:pPr>
              <w:spacing w:line="300" w:lineRule="exact"/>
              <w:ind w:left="0" w:leftChars="0" w:right="0" w:rightChars="0" w:firstLine="0" w:firstLineChars="0"/>
              <w:jc w:val="center"/>
              <w:rPr>
                <w:rFonts w:hint="eastAsia" w:ascii="宋体" w:hAnsi="宋体" w:eastAsia="宋体"/>
                <w:sz w:val="18"/>
                <w:szCs w:val="18"/>
              </w:rPr>
            </w:pPr>
          </w:p>
        </w:tc>
      </w:tr>
      <w:tr w14:paraId="1366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1787" w:type="dxa"/>
            <w:gridSpan w:val="3"/>
            <w:vMerge w:val="restart"/>
            <w:noWrap w:val="0"/>
            <w:vAlign w:val="center"/>
          </w:tcPr>
          <w:p w14:paraId="7F007183">
            <w:pPr>
              <w:spacing w:line="300" w:lineRule="exact"/>
              <w:ind w:left="0" w:leftChars="0" w:right="0" w:rightChars="0" w:firstLine="0" w:firstLineChars="0"/>
              <w:jc w:val="center"/>
              <w:rPr>
                <w:rFonts w:hint="eastAsia" w:ascii="宋体" w:hAnsi="宋体"/>
                <w:sz w:val="18"/>
                <w:szCs w:val="18"/>
                <w:lang w:val="en-US" w:eastAsia="zh-CN"/>
              </w:rPr>
            </w:pPr>
            <w:r>
              <w:rPr>
                <w:rFonts w:hint="eastAsia" w:ascii="宋体" w:hAnsi="宋体"/>
                <w:sz w:val="18"/>
                <w:szCs w:val="18"/>
                <w:lang w:val="en-US" w:eastAsia="zh-CN"/>
              </w:rPr>
              <w:t>年度总体目标</w:t>
            </w:r>
          </w:p>
        </w:tc>
        <w:tc>
          <w:tcPr>
            <w:tcW w:w="3585" w:type="dxa"/>
            <w:gridSpan w:val="5"/>
            <w:noWrap w:val="0"/>
            <w:vAlign w:val="center"/>
          </w:tcPr>
          <w:p w14:paraId="69A3ED5D">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预期目标</w:t>
            </w:r>
          </w:p>
        </w:tc>
        <w:tc>
          <w:tcPr>
            <w:tcW w:w="3753" w:type="dxa"/>
            <w:gridSpan w:val="4"/>
            <w:noWrap w:val="0"/>
            <w:vAlign w:val="center"/>
          </w:tcPr>
          <w:p w14:paraId="393AA55A">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实际完成情况</w:t>
            </w:r>
          </w:p>
        </w:tc>
      </w:tr>
      <w:tr w14:paraId="079B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87" w:type="dxa"/>
            <w:gridSpan w:val="3"/>
            <w:vMerge w:val="continue"/>
            <w:noWrap w:val="0"/>
            <w:vAlign w:val="center"/>
          </w:tcPr>
          <w:p w14:paraId="45E64EEF">
            <w:pPr>
              <w:spacing w:line="300" w:lineRule="exact"/>
              <w:ind w:left="0" w:leftChars="0" w:right="0" w:rightChars="0" w:firstLine="0" w:firstLineChars="0"/>
              <w:jc w:val="center"/>
              <w:rPr>
                <w:rFonts w:hint="eastAsia" w:ascii="宋体" w:hAnsi="宋体"/>
                <w:sz w:val="18"/>
                <w:szCs w:val="18"/>
                <w:lang w:val="en-US" w:eastAsia="zh-CN"/>
              </w:rPr>
            </w:pPr>
          </w:p>
        </w:tc>
        <w:tc>
          <w:tcPr>
            <w:tcW w:w="3585" w:type="dxa"/>
            <w:gridSpan w:val="5"/>
            <w:noWrap w:val="0"/>
            <w:vAlign w:val="center"/>
          </w:tcPr>
          <w:p w14:paraId="13D6E10C">
            <w:pPr>
              <w:spacing w:line="300" w:lineRule="exact"/>
              <w:ind w:left="0" w:leftChars="0" w:right="0" w:rightChars="0" w:firstLine="0" w:firstLineChars="0"/>
              <w:jc w:val="center"/>
              <w:rPr>
                <w:rFonts w:hint="eastAsia"/>
              </w:rPr>
            </w:pPr>
          </w:p>
          <w:p w14:paraId="54E0ECE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完成发放2023年度市级承担20%部分，其中：就业补贴71人、落户补贴16人、租房补贴75人，购房补贴22人，省外来昆租房补贴94人。</w:t>
            </w:r>
            <w:r>
              <w:rPr>
                <w:rFonts w:hint="eastAsia" w:ascii="宋体" w:hAnsi="宋体" w:eastAsia="宋体"/>
                <w:sz w:val="18"/>
                <w:szCs w:val="18"/>
              </w:rPr>
              <w:tab/>
            </w:r>
          </w:p>
          <w:p w14:paraId="71F5203F">
            <w:pPr>
              <w:pStyle w:val="10"/>
              <w:ind w:left="0" w:leftChars="0" w:firstLine="0" w:firstLineChars="0"/>
              <w:rPr>
                <w:rFonts w:hint="eastAsia" w:ascii="宋体" w:hAnsi="宋体" w:eastAsia="宋体"/>
                <w:sz w:val="18"/>
                <w:szCs w:val="18"/>
              </w:rPr>
            </w:pPr>
          </w:p>
        </w:tc>
        <w:tc>
          <w:tcPr>
            <w:tcW w:w="3753" w:type="dxa"/>
            <w:gridSpan w:val="4"/>
            <w:noWrap w:val="0"/>
            <w:vAlign w:val="center"/>
          </w:tcPr>
          <w:p w14:paraId="26461649">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完成落户补贴人数16人，高校毕业生来昆留昆就业补贴人数71人，租房补贴人数75人，购房补贴人数22人，省外来昆租房补贴51人，带动高校毕业生来昆留昆就业人数235人，补贴对象认定差错率、补贴兑现准确率、全年预算执行进度、政策知晓率、享受补贴对象满意度等指标全部达标。</w:t>
            </w:r>
          </w:p>
        </w:tc>
      </w:tr>
      <w:tr w14:paraId="6EED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9125" w:type="dxa"/>
            <w:gridSpan w:val="12"/>
            <w:noWrap w:val="0"/>
            <w:vAlign w:val="center"/>
          </w:tcPr>
          <w:p w14:paraId="2BED9ED3">
            <w:pPr>
              <w:spacing w:line="300" w:lineRule="exact"/>
              <w:ind w:left="0" w:leftChars="0" w:right="0" w:rightChars="0" w:firstLine="0" w:firstLineChars="0"/>
              <w:rPr>
                <w:rFonts w:hint="eastAsia" w:ascii="宋体" w:hAnsi="宋体" w:eastAsia="宋体"/>
                <w:sz w:val="18"/>
                <w:szCs w:val="18"/>
              </w:rPr>
            </w:pPr>
            <w:r>
              <w:rPr>
                <w:rFonts w:hint="eastAsia" w:ascii="宋体" w:hAnsi="宋体" w:eastAsia="宋体"/>
                <w:b/>
                <w:bCs/>
                <w:sz w:val="18"/>
                <w:szCs w:val="18"/>
              </w:rPr>
              <w:t>二、</w:t>
            </w:r>
            <w:r>
              <w:rPr>
                <w:rFonts w:hint="eastAsia" w:ascii="宋体" w:hAnsi="宋体" w:eastAsia="宋体"/>
                <w:b/>
                <w:color w:val="000000"/>
                <w:sz w:val="18"/>
                <w:szCs w:val="18"/>
              </w:rPr>
              <w:t>绩效评价指标评分</w:t>
            </w:r>
          </w:p>
        </w:tc>
      </w:tr>
      <w:tr w14:paraId="17B2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0E1771C1">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gridSpan w:val="3"/>
            <w:tcBorders>
              <w:top w:val="single" w:color="000000" w:sz="4" w:space="0"/>
              <w:left w:val="single" w:color="000000" w:sz="4" w:space="0"/>
              <w:right w:val="single" w:color="000000" w:sz="4" w:space="0"/>
            </w:tcBorders>
            <w:noWrap w:val="0"/>
            <w:vAlign w:val="center"/>
          </w:tcPr>
          <w:p w14:paraId="68E298D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A2E5721">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5EDA6DC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5BEDF6D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36A91FA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2C4D8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10C4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849CDC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auto"/>
                <w:sz w:val="18"/>
                <w:szCs w:val="18"/>
              </w:rPr>
              <w:t>决策</w:t>
            </w:r>
          </w:p>
        </w:tc>
        <w:tc>
          <w:tcPr>
            <w:tcW w:w="748" w:type="dxa"/>
            <w:gridSpan w:val="3"/>
            <w:vMerge w:val="restart"/>
            <w:tcBorders>
              <w:top w:val="single" w:color="000000" w:sz="4" w:space="0"/>
              <w:left w:val="single" w:color="000000" w:sz="4" w:space="0"/>
              <w:right w:val="single" w:color="000000" w:sz="4" w:space="0"/>
            </w:tcBorders>
            <w:noWrap w:val="0"/>
            <w:vAlign w:val="center"/>
          </w:tcPr>
          <w:p w14:paraId="2358168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auto"/>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7DDAB6B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auto"/>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78FFEFA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6A1D1A61">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auto"/>
                <w:kern w:val="0"/>
                <w:sz w:val="18"/>
                <w:szCs w:val="18"/>
              </w:rPr>
              <w:t>立项依据充分性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49CF1A4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88A28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3AECE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89504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4066FEE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67B92FB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6723FCE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36CBA9E2">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auto"/>
                <w:kern w:val="0"/>
                <w:sz w:val="18"/>
                <w:szCs w:val="18"/>
              </w:rPr>
              <w:t>立项程序规范性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16AADCD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8BF51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58F7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C3F6D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3ECBD2E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3CC7EE5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auto"/>
                <w:sz w:val="18"/>
                <w:szCs w:val="18"/>
              </w:rPr>
              <w:t>绩效目标</w:t>
            </w:r>
          </w:p>
        </w:tc>
        <w:tc>
          <w:tcPr>
            <w:tcW w:w="621" w:type="dxa"/>
            <w:vMerge w:val="restart"/>
            <w:tcBorders>
              <w:left w:val="single" w:color="000000" w:sz="4" w:space="0"/>
              <w:right w:val="single" w:color="000000" w:sz="4" w:space="0"/>
            </w:tcBorders>
            <w:noWrap w:val="0"/>
            <w:vAlign w:val="center"/>
          </w:tcPr>
          <w:p w14:paraId="10409C8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7ADAF44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auto"/>
                <w:kern w:val="0"/>
                <w:sz w:val="18"/>
                <w:szCs w:val="18"/>
              </w:rPr>
              <w:t>绩效目标合理性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2AA2E7B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0FC555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7E51C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0804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137987F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60590F8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3FFB585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3FF3E2BC">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4BAE759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5EC9C9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72C06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EE476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03048367">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09A3CF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3E9934D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0A9F85A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0A16D33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F545BD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29267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0C0C8FEC">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auto" w:sz="4" w:space="0"/>
              <w:right w:val="single" w:color="000000" w:sz="4" w:space="0"/>
            </w:tcBorders>
            <w:noWrap w:val="0"/>
            <w:vAlign w:val="center"/>
          </w:tcPr>
          <w:p w14:paraId="751FDC70">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411CA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945C8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28484187">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115B4DB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6F5B3D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15314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063EDD5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gridSpan w:val="3"/>
            <w:vMerge w:val="continue"/>
            <w:tcBorders>
              <w:top w:val="single" w:color="auto" w:sz="4" w:space="0"/>
              <w:left w:val="single" w:color="000000" w:sz="4" w:space="0"/>
              <w:right w:val="single" w:color="000000" w:sz="4" w:space="0"/>
            </w:tcBorders>
            <w:noWrap w:val="0"/>
            <w:vAlign w:val="center"/>
          </w:tcPr>
          <w:p w14:paraId="52729EF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0896D5C">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8EC516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661A610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2990D1E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4159C5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79DB2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7E83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32C67C29">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0F96D1">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6FDB7">
            <w:pPr>
              <w:spacing w:line="300" w:lineRule="exact"/>
              <w:ind w:left="0" w:leftChars="0" w:right="0" w:rightChars="0" w:firstLine="0" w:firstLineChars="0"/>
              <w:jc w:val="center"/>
              <w:rPr>
                <w:rFonts w:hint="eastAsia" w:ascii="宋体" w:hAnsi="宋体" w:eastAsia="宋体"/>
                <w:sz w:val="18"/>
                <w:szCs w:val="18"/>
              </w:rPr>
            </w:pP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01825C09">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B1EA01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9C9E339">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rPr>
            </w:pPr>
            <w:r>
              <w:rPr>
                <w:rFonts w:hint="eastAsia" w:ascii="宋体" w:hAnsi="宋体"/>
                <w:color w:val="auto"/>
                <w:sz w:val="18"/>
                <w:szCs w:val="18"/>
                <w:lang w:val="en-US" w:eastAsia="zh-CN"/>
              </w:rPr>
              <w:t>3.5</w:t>
            </w:r>
          </w:p>
        </w:tc>
      </w:tr>
      <w:tr w14:paraId="0C044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91247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63E1579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4BC9E6A">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41C57D2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5</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76F69CD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5EDE0E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D507C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5</w:t>
            </w:r>
          </w:p>
        </w:tc>
      </w:tr>
      <w:tr w14:paraId="36A74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C07508">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1B39FCBF">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29A0AE7B">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w:t>
            </w:r>
          </w:p>
        </w:tc>
        <w:tc>
          <w:tcPr>
            <w:tcW w:w="621" w:type="dxa"/>
            <w:vMerge w:val="restart"/>
            <w:tcBorders>
              <w:top w:val="single" w:color="000000" w:sz="4" w:space="0"/>
              <w:left w:val="single" w:color="000000" w:sz="4" w:space="0"/>
              <w:right w:val="single" w:color="000000" w:sz="4" w:space="0"/>
            </w:tcBorders>
            <w:noWrap w:val="0"/>
            <w:vAlign w:val="center"/>
          </w:tcPr>
          <w:p w14:paraId="377A81DD">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4137DD0D">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3FCDCA7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685820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5C1E6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362031">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000000" w:sz="4" w:space="0"/>
              <w:right w:val="single" w:color="000000" w:sz="4" w:space="0"/>
            </w:tcBorders>
            <w:noWrap w:val="0"/>
            <w:vAlign w:val="center"/>
          </w:tcPr>
          <w:p w14:paraId="38058438">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69EE542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38601C8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679" w:type="dxa"/>
            <w:gridSpan w:val="4"/>
            <w:tcBorders>
              <w:top w:val="single" w:color="000000" w:sz="4" w:space="0"/>
              <w:left w:val="single" w:color="000000" w:sz="4" w:space="0"/>
              <w:bottom w:val="single" w:color="auto" w:sz="4" w:space="0"/>
              <w:right w:val="single" w:color="000000" w:sz="4" w:space="0"/>
            </w:tcBorders>
            <w:noWrap w:val="0"/>
            <w:vAlign w:val="center"/>
          </w:tcPr>
          <w:p w14:paraId="0BBA11B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2CEE95D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4D0E72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161D8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21D135D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F7545D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951FB0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1D7CB28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rPr>
            </w:pPr>
            <w:r>
              <w:rPr>
                <w:rFonts w:hint="eastAsia" w:ascii="宋体" w:hAnsi="宋体"/>
                <w:color w:val="000000"/>
                <w:sz w:val="18"/>
                <w:szCs w:val="18"/>
                <w:lang w:val="en-US" w:eastAsia="zh-CN"/>
              </w:rPr>
              <w:t>10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426C9E50">
            <w:pPr>
              <w:autoSpaceDN w:val="0"/>
              <w:spacing w:line="240" w:lineRule="auto"/>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补贴享受人数</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891ED64">
            <w:pPr>
              <w:autoSpaceDN w:val="0"/>
              <w:spacing w:line="300" w:lineRule="exact"/>
              <w:ind w:left="0" w:leftChars="0" w:right="0" w:rightChars="0" w:firstLine="0" w:firstLineChars="0"/>
              <w:jc w:val="center"/>
              <w:textAlignment w:val="center"/>
              <w:rPr>
                <w:rFonts w:hint="eastAsia" w:ascii="宋体" w:hAnsi="宋体" w:eastAsia="宋体" w:cs="Times New Roman"/>
                <w:color w:val="000000"/>
                <w:kern w:val="2"/>
                <w:sz w:val="18"/>
                <w:szCs w:val="18"/>
                <w:lang w:val="en-US" w:eastAsia="zh-CN" w:bidi="ar-SA"/>
              </w:rPr>
            </w:pPr>
            <w:r>
              <w:rPr>
                <w:rFonts w:hint="eastAsia" w:ascii="宋体" w:hAnsi="宋体"/>
                <w:color w:val="000000"/>
                <w:sz w:val="18"/>
                <w:szCs w:val="18"/>
                <w:lang w:val="en-US" w:eastAsia="zh-CN"/>
              </w:rPr>
              <w:t>10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278967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rPr>
            </w:pPr>
            <w:r>
              <w:rPr>
                <w:rFonts w:hint="eastAsia" w:ascii="宋体" w:hAnsi="宋体"/>
                <w:color w:val="auto"/>
                <w:sz w:val="18"/>
                <w:szCs w:val="18"/>
                <w:lang w:val="en-US" w:eastAsia="zh-CN"/>
              </w:rPr>
              <w:t>10</w:t>
            </w:r>
          </w:p>
        </w:tc>
      </w:tr>
      <w:tr w14:paraId="3B03E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4766CA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71FF3FA">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720DEE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产出时效</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2B515050">
            <w:pPr>
              <w:spacing w:line="300" w:lineRule="exact"/>
              <w:ind w:left="0" w:leftChars="0" w:right="0" w:rightChars="0" w:firstLine="0" w:firstLineChars="0"/>
              <w:jc w:val="center"/>
              <w:rPr>
                <w:rFonts w:hint="default" w:ascii="宋体" w:hAnsi="宋体" w:eastAsia="宋体"/>
                <w:sz w:val="18"/>
                <w:szCs w:val="18"/>
                <w:lang w:val="en-US"/>
              </w:rPr>
            </w:pPr>
            <w:r>
              <w:rPr>
                <w:rFonts w:hint="eastAsia" w:ascii="宋体" w:hAnsi="宋体"/>
                <w:sz w:val="18"/>
                <w:szCs w:val="18"/>
                <w:lang w:val="en-US" w:eastAsia="zh-CN"/>
              </w:rPr>
              <w:t>10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588343C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确保待遇补助发放</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BCE3B71">
            <w:pPr>
              <w:spacing w:line="300" w:lineRule="exact"/>
              <w:ind w:left="0" w:leftChars="0" w:right="0" w:rightChars="0" w:firstLine="0" w:firstLineChars="0"/>
              <w:jc w:val="cente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FCF4924">
            <w:pPr>
              <w:spacing w:line="300" w:lineRule="exact"/>
              <w:ind w:left="0" w:leftChars="0" w:right="0" w:rightChars="0" w:firstLine="0" w:firstLineChars="0"/>
              <w:jc w:val="center"/>
              <w:rPr>
                <w:rFonts w:hint="default" w:ascii="宋体" w:hAnsi="宋体" w:eastAsia="宋体"/>
                <w:color w:val="000000"/>
                <w:sz w:val="18"/>
                <w:szCs w:val="18"/>
                <w:lang w:val="en-US"/>
              </w:rPr>
            </w:pPr>
            <w:r>
              <w:rPr>
                <w:rFonts w:hint="eastAsia" w:ascii="宋体" w:hAnsi="宋体"/>
                <w:color w:val="auto"/>
                <w:sz w:val="18"/>
                <w:szCs w:val="18"/>
                <w:lang w:val="en-US" w:eastAsia="zh-CN"/>
              </w:rPr>
              <w:t>10</w:t>
            </w:r>
          </w:p>
        </w:tc>
      </w:tr>
      <w:tr w14:paraId="2BD17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449E8FA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FC99C0">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FC16AB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产出时效</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2229DE26">
            <w:pPr>
              <w:spacing w:line="300" w:lineRule="exact"/>
              <w:ind w:left="0" w:leftChars="0" w:right="0" w:rightChars="0" w:firstLine="0" w:firstLineChars="0"/>
              <w:jc w:val="center"/>
              <w:rPr>
                <w:rFonts w:hint="default" w:ascii="宋体" w:hAnsi="宋体" w:eastAsia="宋体"/>
                <w:sz w:val="18"/>
                <w:szCs w:val="18"/>
                <w:lang w:val="en-US"/>
              </w:rPr>
            </w:pPr>
            <w:r>
              <w:rPr>
                <w:rFonts w:hint="eastAsia" w:ascii="宋体" w:hAnsi="宋体"/>
                <w:sz w:val="18"/>
                <w:szCs w:val="18"/>
                <w:lang w:val="en-US" w:eastAsia="zh-CN"/>
              </w:rPr>
              <w:t>10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4A79B30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资金在规定时间内支付到位率</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7E8242D">
            <w:pPr>
              <w:spacing w:line="300" w:lineRule="exact"/>
              <w:ind w:left="0" w:leftChars="0" w:right="0" w:rightChars="0" w:firstLine="0" w:firstLineChars="0"/>
              <w:jc w:val="cente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807AC4">
            <w:pPr>
              <w:spacing w:line="300" w:lineRule="exact"/>
              <w:ind w:left="0" w:leftChars="0" w:right="0" w:rightChars="0" w:firstLine="0" w:firstLineChars="0"/>
              <w:jc w:val="center"/>
              <w:rPr>
                <w:rFonts w:hint="eastAsia" w:ascii="宋体" w:hAnsi="宋体" w:eastAsia="宋体"/>
                <w:color w:val="000000"/>
                <w:sz w:val="18"/>
                <w:szCs w:val="18"/>
              </w:rPr>
            </w:pPr>
            <w:r>
              <w:rPr>
                <w:rFonts w:hint="eastAsia" w:ascii="宋体" w:hAnsi="宋体"/>
                <w:color w:val="auto"/>
                <w:sz w:val="18"/>
                <w:szCs w:val="18"/>
                <w:lang w:val="en-US" w:eastAsia="zh-CN"/>
              </w:rPr>
              <w:t>0</w:t>
            </w:r>
          </w:p>
        </w:tc>
      </w:tr>
      <w:tr w14:paraId="43BC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left w:val="single" w:color="000000" w:sz="4" w:space="0"/>
              <w:right w:val="single" w:color="000000" w:sz="4" w:space="0"/>
            </w:tcBorders>
            <w:noWrap w:val="0"/>
            <w:vAlign w:val="center"/>
          </w:tcPr>
          <w:p w14:paraId="4A98E9D5">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效益</w:t>
            </w: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D5F7B74">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D2ADDE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4F0097B4">
            <w:pPr>
              <w:spacing w:line="300" w:lineRule="exact"/>
              <w:ind w:left="0" w:leftChars="0" w:right="0" w:rightChars="0" w:firstLine="0" w:firstLineChars="0"/>
              <w:jc w:val="center"/>
              <w:rPr>
                <w:rFonts w:hint="default" w:ascii="宋体" w:hAnsi="宋体" w:eastAsia="宋体"/>
                <w:sz w:val="18"/>
                <w:szCs w:val="18"/>
                <w:lang w:val="en-US"/>
              </w:rPr>
            </w:pPr>
            <w:r>
              <w:rPr>
                <w:rFonts w:hint="eastAsia" w:ascii="宋体" w:hAnsi="宋体"/>
                <w:sz w:val="18"/>
                <w:szCs w:val="18"/>
                <w:lang w:val="en-US" w:eastAsia="zh-CN"/>
              </w:rPr>
              <w:t>10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0D98654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求职带动作用</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3DE7EA6">
            <w:pPr>
              <w:spacing w:line="300" w:lineRule="exact"/>
              <w:ind w:left="0" w:leftChars="0" w:right="0" w:rightChars="0" w:firstLine="0" w:firstLineChars="0"/>
              <w:jc w:val="cente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B4B77A">
            <w:pPr>
              <w:spacing w:line="300" w:lineRule="exact"/>
              <w:ind w:left="0" w:leftChars="0" w:right="0" w:rightChars="0" w:firstLine="0" w:firstLineChars="0"/>
              <w:jc w:val="center"/>
              <w:rPr>
                <w:rFonts w:hint="default" w:ascii="宋体" w:hAnsi="宋体" w:eastAsia="宋体"/>
                <w:color w:val="000000"/>
                <w:sz w:val="18"/>
                <w:szCs w:val="18"/>
                <w:lang w:val="en-US"/>
              </w:rPr>
            </w:pPr>
            <w:r>
              <w:rPr>
                <w:rFonts w:hint="eastAsia" w:ascii="宋体" w:hAnsi="宋体"/>
                <w:color w:val="auto"/>
                <w:sz w:val="18"/>
                <w:szCs w:val="18"/>
                <w:lang w:val="en-US" w:eastAsia="zh-CN"/>
              </w:rPr>
              <w:t>10</w:t>
            </w:r>
          </w:p>
        </w:tc>
      </w:tr>
      <w:tr w14:paraId="02E19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right w:val="single" w:color="000000" w:sz="4" w:space="0"/>
            </w:tcBorders>
            <w:noWrap w:val="0"/>
            <w:vAlign w:val="center"/>
          </w:tcPr>
          <w:p w14:paraId="4B72405B">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B5DDEE5">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F5E3E9D">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37CE1F0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5</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4C58AB1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享受补贴学生满意度</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703921">
            <w:pPr>
              <w:spacing w:line="300" w:lineRule="exact"/>
              <w:ind w:left="0" w:leftChars="0" w:right="0" w:rightChars="0" w:firstLine="0" w:firstLineChars="0"/>
              <w:jc w:val="cente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50ACFF3">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eastAsia" w:ascii="宋体" w:hAnsi="宋体" w:eastAsia="宋体"/>
                <w:color w:val="000000"/>
                <w:sz w:val="18"/>
                <w:szCs w:val="18"/>
              </w:rPr>
            </w:pPr>
            <w:r>
              <w:rPr>
                <w:rFonts w:hint="eastAsia" w:ascii="宋体" w:hAnsi="宋体"/>
                <w:color w:val="auto"/>
                <w:sz w:val="18"/>
                <w:szCs w:val="18"/>
                <w:lang w:val="en-US" w:eastAsia="zh-CN"/>
              </w:rPr>
              <w:t>5</w:t>
            </w:r>
          </w:p>
        </w:tc>
      </w:tr>
      <w:tr w14:paraId="7EBF1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C7C1C1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D1CED3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432AA1C">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2A399829">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eastAsia" w:ascii="宋体" w:hAnsi="宋体" w:eastAsia="宋体"/>
                <w:sz w:val="18"/>
                <w:szCs w:val="18"/>
              </w:rPr>
            </w:pPr>
            <w:r>
              <w:rPr>
                <w:rFonts w:hint="eastAsia" w:ascii="宋体" w:hAnsi="宋体"/>
                <w:sz w:val="18"/>
                <w:szCs w:val="18"/>
                <w:lang w:val="en-US" w:eastAsia="zh-CN"/>
              </w:rPr>
              <w:t>5</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38CD0F2C">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就业扶持政策经办服务满意度</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B695DA7">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8EC558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24874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413" w:type="dxa"/>
            <w:tcBorders>
              <w:left w:val="single" w:color="000000" w:sz="4" w:space="0"/>
              <w:right w:val="single" w:color="000000" w:sz="4" w:space="0"/>
            </w:tcBorders>
            <w:noWrap w:val="0"/>
            <w:vAlign w:val="center"/>
          </w:tcPr>
          <w:p w14:paraId="5FF8C1C0">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bCs/>
                <w:color w:val="000000"/>
                <w:sz w:val="18"/>
                <w:szCs w:val="18"/>
              </w:rPr>
              <w:t>总分</w:t>
            </w:r>
          </w:p>
        </w:tc>
        <w:tc>
          <w:tcPr>
            <w:tcW w:w="748" w:type="dxa"/>
            <w:gridSpan w:val="3"/>
            <w:tcBorders>
              <w:top w:val="single" w:color="000000" w:sz="4" w:space="0"/>
              <w:left w:val="single" w:color="000000" w:sz="4" w:space="0"/>
              <w:bottom w:val="single" w:color="000000" w:sz="4" w:space="0"/>
              <w:right w:val="single" w:color="000000" w:sz="4" w:space="0"/>
            </w:tcBorders>
            <w:noWrap w:val="0"/>
            <w:vAlign w:val="center"/>
          </w:tcPr>
          <w:p w14:paraId="34F967F2">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706DDEA">
            <w:pPr>
              <w:autoSpaceDN w:val="0"/>
              <w:spacing w:line="300" w:lineRule="exact"/>
              <w:ind w:left="0" w:leftChars="0" w:right="0" w:rightChars="0" w:firstLine="0" w:firstLineChars="0"/>
              <w:jc w:val="center"/>
              <w:textAlignment w:val="center"/>
              <w:rPr>
                <w:rFonts w:hint="eastAsia" w:ascii="宋体" w:hAnsi="宋体" w:eastAsia="宋体"/>
                <w:sz w:val="18"/>
                <w:szCs w:val="18"/>
              </w:rPr>
            </w:pP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3B90D27D">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r>
              <w:rPr>
                <w:rFonts w:hint="eastAsia" w:ascii="宋体" w:hAnsi="宋体"/>
                <w:sz w:val="18"/>
                <w:szCs w:val="18"/>
                <w:lang w:val="en-US" w:eastAsia="zh-CN"/>
              </w:rPr>
              <w:t>100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11C5779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335" w:type="dxa"/>
            <w:tcBorders>
              <w:top w:val="single" w:color="000000" w:sz="4" w:space="0"/>
              <w:left w:val="single" w:color="auto" w:sz="4" w:space="0"/>
              <w:bottom w:val="single" w:color="000000" w:sz="4" w:space="0"/>
              <w:right w:val="single" w:color="000000" w:sz="4" w:space="0"/>
            </w:tcBorders>
            <w:noWrap w:val="0"/>
            <w:vAlign w:val="center"/>
          </w:tcPr>
          <w:p w14:paraId="6B54A11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967EEE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90</w:t>
            </w:r>
          </w:p>
        </w:tc>
      </w:tr>
      <w:tr w14:paraId="3B90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399E93C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712" w:type="dxa"/>
            <w:gridSpan w:val="11"/>
            <w:noWrap w:val="0"/>
            <w:vAlign w:val="center"/>
          </w:tcPr>
          <w:p w14:paraId="32A2321D">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rPr>
              <w:sym w:font="Wingdings 2" w:char="0052"/>
            </w:r>
            <w:r>
              <w:rPr>
                <w:rFonts w:hint="eastAsia" w:ascii="宋体" w:hAnsi="宋体" w:eastAsia="宋体" w:cs="宋体"/>
                <w:color w:val="000000"/>
                <w:kern w:val="0"/>
                <w:sz w:val="18"/>
                <w:szCs w:val="18"/>
              </w:rPr>
              <w:t>良□中□差□</w:t>
            </w:r>
          </w:p>
        </w:tc>
      </w:tr>
      <w:tr w14:paraId="13C8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3F98D67E">
            <w:pPr>
              <w:spacing w:line="300" w:lineRule="exact"/>
              <w:ind w:left="0" w:leftChars="0" w:right="0" w:rightChars="0" w:firstLine="0" w:firstLineChars="0"/>
              <w:jc w:val="center"/>
              <w:rPr>
                <w:rFonts w:hint="eastAsia" w:ascii="宋体" w:hAnsi="宋体" w:eastAsia="宋体"/>
                <w:sz w:val="18"/>
                <w:szCs w:val="18"/>
              </w:rPr>
            </w:pPr>
          </w:p>
        </w:tc>
        <w:tc>
          <w:tcPr>
            <w:tcW w:w="7712" w:type="dxa"/>
            <w:gridSpan w:val="11"/>
            <w:noWrap w:val="0"/>
            <w:vAlign w:val="center"/>
          </w:tcPr>
          <w:p w14:paraId="1734EC74">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r w14:paraId="7DEA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1413" w:type="dxa"/>
            <w:noWrap w:val="0"/>
            <w:vAlign w:val="center"/>
          </w:tcPr>
          <w:p w14:paraId="5716E046">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highlight w:val="none"/>
                <w:lang w:eastAsia="zh-CN"/>
              </w:rPr>
              <w:t>问题和建议</w:t>
            </w:r>
          </w:p>
        </w:tc>
        <w:tc>
          <w:tcPr>
            <w:tcW w:w="7712" w:type="dxa"/>
            <w:gridSpan w:val="11"/>
            <w:noWrap w:val="0"/>
            <w:vAlign w:val="top"/>
          </w:tcPr>
          <w:p w14:paraId="08D048E2">
            <w:pPr>
              <w:pStyle w:val="10"/>
              <w:spacing w:line="240" w:lineRule="auto"/>
              <w:ind w:left="0" w:leftChars="0" w:firstLine="360" w:firstLineChars="200"/>
              <w:jc w:val="lef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提高绩效管理认识，五华区公共就业和人才服务中心通过设立目标有利于项目决策的制定，有助于项目的实施管理。项目实施前结合本单位自身情况，设定明确、合规、合理的绩效目标，并将目标量化、细化分解，与预算资金相匹配起来；客观、认真对待绩效自评，针对自身情况对实施项目提出合理的问题及建议，逐步提高绩效管理认识；结合实际情况，汇总、对比以往年度项目预算，从而科学、有依据</w:t>
            </w:r>
            <w:r>
              <w:rPr>
                <w:rFonts w:hint="eastAsia" w:ascii="宋体" w:hAnsi="宋体" w:cs="宋体"/>
                <w:color w:val="000000"/>
                <w:kern w:val="0"/>
                <w:sz w:val="18"/>
                <w:szCs w:val="18"/>
                <w:lang w:val="en-US" w:eastAsia="zh-CN"/>
              </w:rPr>
              <w:t>地</w:t>
            </w:r>
            <w:r>
              <w:rPr>
                <w:rFonts w:hint="eastAsia" w:ascii="宋体" w:hAnsi="宋体" w:eastAsia="宋体" w:cs="宋体"/>
                <w:color w:val="000000"/>
                <w:kern w:val="0"/>
                <w:sz w:val="18"/>
                <w:szCs w:val="18"/>
                <w:lang w:val="en-US" w:eastAsia="zh-CN"/>
              </w:rPr>
              <w:t>做出下一年的项目资金预算，编制更为合理的预算，优化项目资金预算。</w:t>
            </w:r>
          </w:p>
        </w:tc>
      </w:tr>
      <w:tr w14:paraId="5A03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9125" w:type="dxa"/>
            <w:gridSpan w:val="12"/>
            <w:noWrap w:val="0"/>
            <w:vAlign w:val="center"/>
          </w:tcPr>
          <w:p w14:paraId="7EF3E59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评价人员</w:t>
            </w:r>
          </w:p>
        </w:tc>
      </w:tr>
      <w:tr w14:paraId="3F39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6332FDD9">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姓名</w:t>
            </w:r>
          </w:p>
        </w:tc>
        <w:tc>
          <w:tcPr>
            <w:tcW w:w="2159" w:type="dxa"/>
            <w:gridSpan w:val="3"/>
            <w:noWrap w:val="0"/>
            <w:vAlign w:val="center"/>
          </w:tcPr>
          <w:p w14:paraId="4134271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职务/职称</w:t>
            </w:r>
          </w:p>
        </w:tc>
        <w:tc>
          <w:tcPr>
            <w:tcW w:w="2832" w:type="dxa"/>
            <w:gridSpan w:val="4"/>
            <w:noWrap w:val="0"/>
            <w:vAlign w:val="center"/>
          </w:tcPr>
          <w:p w14:paraId="605EAA22">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单位</w:t>
            </w:r>
          </w:p>
        </w:tc>
        <w:tc>
          <w:tcPr>
            <w:tcW w:w="2535" w:type="dxa"/>
            <w:gridSpan w:val="3"/>
            <w:noWrap w:val="0"/>
            <w:vAlign w:val="center"/>
          </w:tcPr>
          <w:p w14:paraId="187F08C3">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签字</w:t>
            </w:r>
          </w:p>
        </w:tc>
      </w:tr>
      <w:tr w14:paraId="19D8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599" w:type="dxa"/>
            <w:gridSpan w:val="2"/>
            <w:shd w:val="clear" w:color="auto" w:fill="auto"/>
            <w:noWrap w:val="0"/>
            <w:vAlign w:val="center"/>
          </w:tcPr>
          <w:p w14:paraId="52973422">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李瑞清</w:t>
            </w:r>
          </w:p>
        </w:tc>
        <w:tc>
          <w:tcPr>
            <w:tcW w:w="2159" w:type="dxa"/>
            <w:gridSpan w:val="3"/>
            <w:shd w:val="clear" w:color="auto" w:fill="auto"/>
            <w:noWrap w:val="0"/>
            <w:vAlign w:val="center"/>
          </w:tcPr>
          <w:p w14:paraId="59A6C73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中心副主任兼办公室主任（代主任）</w:t>
            </w:r>
          </w:p>
        </w:tc>
        <w:tc>
          <w:tcPr>
            <w:tcW w:w="2832" w:type="dxa"/>
            <w:gridSpan w:val="4"/>
            <w:shd w:val="clear" w:color="auto" w:fill="auto"/>
            <w:noWrap w:val="0"/>
            <w:vAlign w:val="center"/>
          </w:tcPr>
          <w:p w14:paraId="3C4E17D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就业</w:t>
            </w:r>
            <w:r>
              <w:rPr>
                <w:rFonts w:hint="eastAsia" w:ascii="仿宋_GB2312" w:hAnsi="仿宋_GB2312" w:eastAsia="仿宋_GB2312" w:cs="仿宋_GB2312"/>
                <w:color w:val="000000"/>
                <w:kern w:val="2"/>
                <w:sz w:val="21"/>
                <w:szCs w:val="21"/>
                <w:u w:color="000000"/>
                <w:lang w:val="en-US" w:eastAsia="zh-CN" w:bidi="ar-SA"/>
              </w:rPr>
              <w:t>中心</w:t>
            </w:r>
          </w:p>
        </w:tc>
        <w:tc>
          <w:tcPr>
            <w:tcW w:w="2535" w:type="dxa"/>
            <w:gridSpan w:val="3"/>
            <w:shd w:val="clear" w:color="auto" w:fill="auto"/>
            <w:noWrap w:val="0"/>
            <w:vAlign w:val="top"/>
          </w:tcPr>
          <w:p w14:paraId="09065C1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4F9D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599" w:type="dxa"/>
            <w:gridSpan w:val="2"/>
            <w:shd w:val="clear" w:color="auto" w:fill="auto"/>
            <w:noWrap w:val="0"/>
            <w:vAlign w:val="center"/>
          </w:tcPr>
          <w:p w14:paraId="29F4396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何跃林</w:t>
            </w:r>
          </w:p>
        </w:tc>
        <w:tc>
          <w:tcPr>
            <w:tcW w:w="2159" w:type="dxa"/>
            <w:gridSpan w:val="3"/>
            <w:shd w:val="clear" w:color="auto" w:fill="auto"/>
            <w:noWrap w:val="0"/>
            <w:vAlign w:val="center"/>
          </w:tcPr>
          <w:p w14:paraId="31671EA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科长</w:t>
            </w:r>
          </w:p>
        </w:tc>
        <w:tc>
          <w:tcPr>
            <w:tcW w:w="2832" w:type="dxa"/>
            <w:gridSpan w:val="4"/>
            <w:shd w:val="clear" w:color="auto" w:fill="auto"/>
            <w:noWrap w:val="0"/>
            <w:vAlign w:val="center"/>
          </w:tcPr>
          <w:p w14:paraId="2B419B71">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职业介绍服务科</w:t>
            </w:r>
          </w:p>
        </w:tc>
        <w:tc>
          <w:tcPr>
            <w:tcW w:w="2535" w:type="dxa"/>
            <w:gridSpan w:val="3"/>
            <w:shd w:val="clear" w:color="auto" w:fill="auto"/>
            <w:noWrap w:val="0"/>
            <w:vAlign w:val="top"/>
          </w:tcPr>
          <w:p w14:paraId="3742EC9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0C1D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599" w:type="dxa"/>
            <w:gridSpan w:val="2"/>
            <w:shd w:val="clear" w:color="auto" w:fill="auto"/>
            <w:noWrap w:val="0"/>
            <w:vAlign w:val="center"/>
          </w:tcPr>
          <w:p w14:paraId="12F08B4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董尚玲</w:t>
            </w:r>
          </w:p>
        </w:tc>
        <w:tc>
          <w:tcPr>
            <w:tcW w:w="2159" w:type="dxa"/>
            <w:gridSpan w:val="3"/>
            <w:shd w:val="clear" w:color="auto" w:fill="auto"/>
            <w:noWrap w:val="0"/>
            <w:vAlign w:val="center"/>
          </w:tcPr>
          <w:p w14:paraId="01282B6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科长</w:t>
            </w:r>
          </w:p>
        </w:tc>
        <w:tc>
          <w:tcPr>
            <w:tcW w:w="2832" w:type="dxa"/>
            <w:gridSpan w:val="4"/>
            <w:shd w:val="clear" w:color="auto" w:fill="auto"/>
            <w:noWrap w:val="0"/>
            <w:vAlign w:val="center"/>
          </w:tcPr>
          <w:p w14:paraId="62EA589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就业援助科</w:t>
            </w:r>
          </w:p>
        </w:tc>
        <w:tc>
          <w:tcPr>
            <w:tcW w:w="2535" w:type="dxa"/>
            <w:gridSpan w:val="3"/>
            <w:shd w:val="clear" w:color="auto" w:fill="auto"/>
            <w:noWrap w:val="0"/>
            <w:vAlign w:val="top"/>
          </w:tcPr>
          <w:p w14:paraId="34CBB9D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0555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99" w:type="dxa"/>
            <w:gridSpan w:val="2"/>
            <w:shd w:val="clear" w:color="auto" w:fill="auto"/>
            <w:noWrap w:val="0"/>
            <w:vAlign w:val="center"/>
          </w:tcPr>
          <w:p w14:paraId="78D7704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伍瑶</w:t>
            </w:r>
          </w:p>
        </w:tc>
        <w:tc>
          <w:tcPr>
            <w:tcW w:w="2159" w:type="dxa"/>
            <w:gridSpan w:val="3"/>
            <w:shd w:val="clear" w:color="auto" w:fill="auto"/>
            <w:noWrap w:val="0"/>
            <w:vAlign w:val="center"/>
          </w:tcPr>
          <w:p w14:paraId="2E1778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副科长</w:t>
            </w:r>
          </w:p>
        </w:tc>
        <w:tc>
          <w:tcPr>
            <w:tcW w:w="2832" w:type="dxa"/>
            <w:gridSpan w:val="4"/>
            <w:shd w:val="clear" w:color="auto" w:fill="auto"/>
            <w:noWrap w:val="0"/>
            <w:vAlign w:val="center"/>
          </w:tcPr>
          <w:p w14:paraId="4E34A3D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就业培训科</w:t>
            </w:r>
          </w:p>
        </w:tc>
        <w:tc>
          <w:tcPr>
            <w:tcW w:w="2535" w:type="dxa"/>
            <w:gridSpan w:val="3"/>
            <w:shd w:val="clear" w:color="auto" w:fill="auto"/>
            <w:noWrap w:val="0"/>
            <w:vAlign w:val="top"/>
          </w:tcPr>
          <w:p w14:paraId="2596C513">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016D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99" w:type="dxa"/>
            <w:gridSpan w:val="2"/>
            <w:shd w:val="clear" w:color="auto" w:fill="auto"/>
            <w:noWrap w:val="0"/>
            <w:vAlign w:val="center"/>
          </w:tcPr>
          <w:p w14:paraId="3E944D7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施恒</w:t>
            </w:r>
          </w:p>
        </w:tc>
        <w:tc>
          <w:tcPr>
            <w:tcW w:w="2159" w:type="dxa"/>
            <w:gridSpan w:val="3"/>
            <w:shd w:val="clear" w:color="auto" w:fill="auto"/>
            <w:noWrap w:val="0"/>
            <w:vAlign w:val="center"/>
          </w:tcPr>
          <w:p w14:paraId="368379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zh-TW" w:eastAsia="zh-CN" w:bidi="ar-SA"/>
              </w:rPr>
            </w:pPr>
            <w:r>
              <w:rPr>
                <w:rFonts w:hint="eastAsia" w:ascii="仿宋_GB2312" w:hAnsi="仿宋_GB2312" w:eastAsia="仿宋_GB2312" w:cs="仿宋_GB2312"/>
                <w:color w:val="000000"/>
                <w:kern w:val="2"/>
                <w:sz w:val="21"/>
                <w:szCs w:val="21"/>
                <w:u w:color="000000"/>
                <w:lang w:val="zh-TW" w:eastAsia="zh-CN" w:bidi="ar-SA"/>
              </w:rPr>
              <w:t>科长</w:t>
            </w:r>
          </w:p>
        </w:tc>
        <w:tc>
          <w:tcPr>
            <w:tcW w:w="2832" w:type="dxa"/>
            <w:gridSpan w:val="4"/>
            <w:shd w:val="clear" w:color="auto" w:fill="auto"/>
            <w:noWrap w:val="0"/>
            <w:vAlign w:val="center"/>
          </w:tcPr>
          <w:p w14:paraId="1F590D1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zh-TW" w:eastAsia="zh-CN" w:bidi="ar-SA"/>
              </w:rPr>
            </w:pPr>
            <w:r>
              <w:rPr>
                <w:rFonts w:hint="eastAsia" w:ascii="仿宋_GB2312" w:hAnsi="仿宋_GB2312" w:eastAsia="仿宋_GB2312" w:cs="仿宋_GB2312"/>
                <w:color w:val="000000"/>
                <w:kern w:val="2"/>
                <w:sz w:val="21"/>
                <w:szCs w:val="21"/>
                <w:u w:color="000000"/>
                <w:lang w:val="zh-TW" w:eastAsia="zh-CN" w:bidi="ar-SA"/>
              </w:rPr>
              <w:t>就业促进科</w:t>
            </w:r>
          </w:p>
        </w:tc>
        <w:tc>
          <w:tcPr>
            <w:tcW w:w="2535" w:type="dxa"/>
            <w:gridSpan w:val="3"/>
            <w:shd w:val="clear" w:color="auto" w:fill="auto"/>
            <w:noWrap w:val="0"/>
            <w:vAlign w:val="top"/>
          </w:tcPr>
          <w:p w14:paraId="70A28DA1">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7860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599" w:type="dxa"/>
            <w:gridSpan w:val="2"/>
            <w:shd w:val="clear" w:color="auto" w:fill="auto"/>
            <w:noWrap w:val="0"/>
            <w:vAlign w:val="center"/>
          </w:tcPr>
          <w:p w14:paraId="1C8D0E0A">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杨健</w:t>
            </w:r>
          </w:p>
        </w:tc>
        <w:tc>
          <w:tcPr>
            <w:tcW w:w="2159" w:type="dxa"/>
            <w:gridSpan w:val="3"/>
            <w:shd w:val="clear" w:color="auto" w:fill="auto"/>
            <w:noWrap w:val="0"/>
            <w:vAlign w:val="center"/>
          </w:tcPr>
          <w:p w14:paraId="40285A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科长</w:t>
            </w:r>
          </w:p>
        </w:tc>
        <w:tc>
          <w:tcPr>
            <w:tcW w:w="2832" w:type="dxa"/>
            <w:gridSpan w:val="4"/>
            <w:shd w:val="clear" w:color="auto" w:fill="auto"/>
            <w:noWrap w:val="0"/>
            <w:vAlign w:val="center"/>
          </w:tcPr>
          <w:p w14:paraId="5521CD7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创业促进科</w:t>
            </w:r>
          </w:p>
        </w:tc>
        <w:tc>
          <w:tcPr>
            <w:tcW w:w="2535" w:type="dxa"/>
            <w:gridSpan w:val="3"/>
            <w:shd w:val="clear" w:color="auto" w:fill="auto"/>
            <w:noWrap w:val="0"/>
            <w:vAlign w:val="top"/>
          </w:tcPr>
          <w:p w14:paraId="4DB7A93B">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7A98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599" w:type="dxa"/>
            <w:gridSpan w:val="2"/>
            <w:shd w:val="clear" w:color="auto" w:fill="auto"/>
            <w:noWrap w:val="0"/>
            <w:vAlign w:val="center"/>
          </w:tcPr>
          <w:p w14:paraId="3104B61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康金艳</w:t>
            </w:r>
          </w:p>
        </w:tc>
        <w:tc>
          <w:tcPr>
            <w:tcW w:w="2159" w:type="dxa"/>
            <w:gridSpan w:val="3"/>
            <w:shd w:val="clear" w:color="auto" w:fill="auto"/>
            <w:noWrap w:val="0"/>
            <w:vAlign w:val="center"/>
          </w:tcPr>
          <w:p w14:paraId="06EFACC6">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财务</w:t>
            </w:r>
          </w:p>
        </w:tc>
        <w:tc>
          <w:tcPr>
            <w:tcW w:w="2832" w:type="dxa"/>
            <w:gridSpan w:val="4"/>
            <w:shd w:val="clear" w:color="auto" w:fill="auto"/>
            <w:noWrap w:val="0"/>
            <w:vAlign w:val="center"/>
          </w:tcPr>
          <w:p w14:paraId="0D5AE0C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办公室</w:t>
            </w:r>
          </w:p>
        </w:tc>
        <w:tc>
          <w:tcPr>
            <w:tcW w:w="2535" w:type="dxa"/>
            <w:gridSpan w:val="3"/>
            <w:shd w:val="clear" w:color="auto" w:fill="auto"/>
            <w:noWrap w:val="0"/>
            <w:vAlign w:val="top"/>
          </w:tcPr>
          <w:p w14:paraId="2829420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50AA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99" w:type="dxa"/>
            <w:gridSpan w:val="2"/>
            <w:shd w:val="clear" w:color="auto" w:fill="auto"/>
            <w:noWrap w:val="0"/>
            <w:vAlign w:val="center"/>
          </w:tcPr>
          <w:p w14:paraId="1ADC7EB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绘娴</w:t>
            </w:r>
          </w:p>
        </w:tc>
        <w:tc>
          <w:tcPr>
            <w:tcW w:w="2159" w:type="dxa"/>
            <w:gridSpan w:val="3"/>
            <w:shd w:val="clear" w:color="auto" w:fill="auto"/>
            <w:noWrap w:val="0"/>
            <w:vAlign w:val="center"/>
          </w:tcPr>
          <w:p w14:paraId="539B31B7">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财务</w:t>
            </w:r>
          </w:p>
        </w:tc>
        <w:tc>
          <w:tcPr>
            <w:tcW w:w="2832" w:type="dxa"/>
            <w:gridSpan w:val="4"/>
            <w:shd w:val="clear" w:color="auto" w:fill="auto"/>
            <w:noWrap w:val="0"/>
            <w:vAlign w:val="center"/>
          </w:tcPr>
          <w:p w14:paraId="2EC4D00D">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办公室</w:t>
            </w:r>
          </w:p>
        </w:tc>
        <w:tc>
          <w:tcPr>
            <w:tcW w:w="2535" w:type="dxa"/>
            <w:gridSpan w:val="3"/>
            <w:shd w:val="clear" w:color="auto" w:fill="auto"/>
            <w:noWrap w:val="0"/>
            <w:vAlign w:val="top"/>
          </w:tcPr>
          <w:p w14:paraId="3A3C5D8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7D2B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9125" w:type="dxa"/>
            <w:gridSpan w:val="12"/>
            <w:noWrap w:val="0"/>
            <w:vAlign w:val="center"/>
          </w:tcPr>
          <w:p w14:paraId="415D1A1A">
            <w:pPr>
              <w:spacing w:line="400" w:lineRule="exact"/>
              <w:rPr>
                <w:rFonts w:hint="eastAsia" w:eastAsia="宋体"/>
                <w:lang w:eastAsia="zh-CN"/>
              </w:rPr>
            </w:pPr>
            <w:r>
              <w:rPr>
                <w:rFonts w:hint="eastAsia"/>
              </w:rPr>
              <w:t>填报人（签字）：</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14:paraId="30CA39C2">
            <w:pPr>
              <w:spacing w:line="400" w:lineRule="exact"/>
              <w:rPr>
                <w:rFonts w:hint="eastAsia" w:ascii="Times New Roman" w:hAnsi="Times New Roman" w:eastAsia="宋体" w:cs="Times New Roman"/>
              </w:rPr>
            </w:pPr>
            <w:r>
              <w:rPr>
                <w:rFonts w:hint="eastAsia" w:ascii="Times New Roman" w:hAnsi="Times New Roman" w:eastAsia="宋体" w:cs="Times New Roman"/>
                <w:lang w:val="en-US" w:eastAsia="zh-CN"/>
              </w:rPr>
              <w:t>评价组组长（签字）：</w:t>
            </w:r>
            <w:r>
              <w:rPr>
                <w:rFonts w:hint="eastAsia" w:ascii="Times New Roman" w:hAnsi="Times New Roman" w:cs="Times New Roman"/>
                <w:lang w:val="en-US" w:eastAsia="zh-CN"/>
              </w:rPr>
              <w:t xml:space="preserve">                                                  </w:t>
            </w:r>
            <w:r>
              <w:rPr>
                <w:rFonts w:hint="eastAsia" w:ascii="Times New Roman" w:hAnsi="Times New Roman" w:eastAsia="宋体" w:cs="Times New Roman"/>
              </w:rPr>
              <w:t>年</w:t>
            </w:r>
            <w:r>
              <w:rPr>
                <w:rFonts w:hint="eastAsia" w:ascii="Times New Roman" w:hAnsi="Times New Roman" w:cs="Times New Roman"/>
                <w:lang w:val="en-US" w:eastAsia="zh-CN"/>
              </w:rPr>
              <w:t xml:space="preserve">    </w:t>
            </w:r>
            <w:r>
              <w:rPr>
                <w:rFonts w:hint="eastAsia" w:ascii="Times New Roman" w:hAnsi="Times New Roman" w:eastAsia="宋体" w:cs="Times New Roman"/>
              </w:rPr>
              <w:t>月</w:t>
            </w:r>
            <w:r>
              <w:rPr>
                <w:rFonts w:hint="eastAsia" w:ascii="Times New Roman" w:hAnsi="Times New Roman" w:cs="Times New Roman"/>
                <w:lang w:val="en-US" w:eastAsia="zh-CN"/>
              </w:rPr>
              <w:t xml:space="preserve">     </w:t>
            </w:r>
            <w:r>
              <w:rPr>
                <w:rFonts w:hint="eastAsia" w:ascii="Times New Roman" w:hAnsi="Times New Roman" w:eastAsia="宋体" w:cs="Times New Roman"/>
              </w:rPr>
              <w:t>日</w:t>
            </w:r>
          </w:p>
          <w:p w14:paraId="56F4AB9C">
            <w:pPr>
              <w:spacing w:line="400" w:lineRule="exact"/>
              <w:rPr>
                <w:rFonts w:hint="eastAsia"/>
                <w:lang w:val="en-US" w:eastAsia="zh-CN"/>
              </w:rPr>
            </w:pPr>
            <w:r>
              <w:rPr>
                <w:rFonts w:hint="eastAsia" w:ascii="Times New Roman" w:hAnsi="Times New Roman" w:eastAsia="宋体" w:cs="Times New Roman"/>
              </w:rPr>
              <w:t>评</w:t>
            </w:r>
            <w:r>
              <w:rPr>
                <w:rFonts w:hint="eastAsia" w:ascii="Times New Roman" w:hAnsi="Times New Roman" w:eastAsia="宋体" w:cs="Times New Roman"/>
                <w:lang w:val="en-US" w:eastAsia="zh-CN"/>
              </w:rPr>
              <w:t>价部门负责人（签字并盖章）：</w:t>
            </w:r>
            <w:r>
              <w:rPr>
                <w:rFonts w:hint="eastAsia" w:ascii="Times New Roman" w:hAnsi="Times New Roman" w:cs="Times New Roman"/>
                <w:lang w:val="en-US" w:eastAsia="zh-CN"/>
              </w:rPr>
              <w:t xml:space="preserve">                                        </w:t>
            </w:r>
            <w:r>
              <w:rPr>
                <w:rFonts w:hint="eastAsia" w:ascii="Times New Roman" w:hAnsi="Times New Roman" w:eastAsia="宋体" w:cs="Times New Roman"/>
                <w:lang w:val="en-US" w:eastAsia="zh-CN"/>
              </w:rPr>
              <w:t>年</w:t>
            </w:r>
            <w:r>
              <w:rPr>
                <w:rFonts w:hint="eastAsia" w:ascii="Times New Roman" w:hAnsi="Times New Roman" w:cs="Times New Roman"/>
                <w:lang w:val="en-US" w:eastAsia="zh-CN"/>
              </w:rPr>
              <w:t xml:space="preserve">    </w:t>
            </w:r>
            <w:r>
              <w:rPr>
                <w:rFonts w:hint="eastAsia" w:ascii="Times New Roman" w:hAnsi="Times New Roman" w:eastAsia="宋体" w:cs="Times New Roman"/>
                <w:lang w:val="en-US" w:eastAsia="zh-CN"/>
              </w:rPr>
              <w:t>月</w:t>
            </w:r>
            <w:r>
              <w:rPr>
                <w:rFonts w:hint="eastAsia" w:ascii="Times New Roman" w:hAnsi="Times New Roman" w:cs="Times New Roman"/>
                <w:lang w:val="en-US" w:eastAsia="zh-CN"/>
              </w:rPr>
              <w:t xml:space="preserve">     </w:t>
            </w:r>
            <w:bookmarkStart w:id="4" w:name="_GoBack"/>
            <w:bookmarkEnd w:id="4"/>
            <w:r>
              <w:rPr>
                <w:rFonts w:hint="eastAsia" w:ascii="Times New Roman" w:hAnsi="Times New Roman" w:eastAsia="宋体" w:cs="Times New Roman"/>
                <w:lang w:val="en-US" w:eastAsia="zh-CN"/>
              </w:rPr>
              <w:t>日</w:t>
            </w:r>
          </w:p>
        </w:tc>
      </w:tr>
    </w:tbl>
    <w:p w14:paraId="3B918026">
      <w:pPr>
        <w:rPr>
          <w:rFonts w:hint="eastAsia" w:ascii="仿宋_GB2312" w:hAnsi="仿宋_GB2312" w:eastAsia="仿宋_GB2312" w:cs="仿宋_GB2312"/>
          <w:b/>
          <w:bCs/>
          <w:sz w:val="21"/>
          <w:szCs w:val="24"/>
          <w:lang w:val="en-US" w:eastAsia="zh-CN"/>
        </w:rPr>
      </w:pPr>
      <w:r>
        <w:rPr>
          <w:rFonts w:hint="eastAsia" w:ascii="仿宋_GB2312" w:hAnsi="仿宋_GB2312" w:eastAsia="仿宋_GB2312" w:cs="仿宋_GB2312"/>
          <w:b/>
          <w:bCs/>
          <w:sz w:val="21"/>
          <w:szCs w:val="24"/>
          <w:lang w:eastAsia="zh-CN"/>
        </w:rPr>
        <w:t>注：绩效评价指标可参考《云南省项目支出绩效评价管理办法》中附件</w:t>
      </w:r>
      <w:r>
        <w:rPr>
          <w:rFonts w:hint="eastAsia" w:ascii="仿宋_GB2312" w:hAnsi="仿宋_GB2312" w:eastAsia="仿宋_GB2312" w:cs="仿宋_GB2312"/>
          <w:b/>
          <w:bCs/>
          <w:sz w:val="21"/>
          <w:szCs w:val="24"/>
          <w:lang w:val="en-US" w:eastAsia="zh-CN"/>
        </w:rPr>
        <w:t>2：《项目支出绩效评价指标体系框架》</w:t>
      </w:r>
      <w:r>
        <w:rPr>
          <w:rFonts w:hint="eastAsia" w:ascii="仿宋_GB2312" w:hAnsi="仿宋_GB2312" w:eastAsia="仿宋_GB2312" w:cs="仿宋_GB2312"/>
          <w:b/>
          <w:bCs/>
          <w:sz w:val="21"/>
          <w:szCs w:val="24"/>
          <w:lang w:eastAsia="zh-CN"/>
        </w:rPr>
        <w:t>设置</w:t>
      </w:r>
      <w:r>
        <w:rPr>
          <w:rFonts w:hint="eastAsia" w:ascii="仿宋_GB2312" w:hAnsi="仿宋_GB2312" w:eastAsia="仿宋_GB2312" w:cs="仿宋_GB2312"/>
          <w:b/>
          <w:bCs/>
          <w:sz w:val="21"/>
          <w:szCs w:val="24"/>
          <w:lang w:val="en-US" w:eastAsia="zh-CN"/>
        </w:rPr>
        <w:t>。</w:t>
      </w:r>
    </w:p>
    <w:p w14:paraId="1267C45A">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方正楷体_GB2312" w:hAnsi="方正楷体_GB2312" w:eastAsia="方正楷体_GB2312" w:cs="方正楷体_GB2312"/>
          <w:color w:val="auto"/>
          <w:sz w:val="32"/>
          <w:szCs w:val="32"/>
          <w:lang w:val="en-US" w:eastAsia="zh-CN"/>
        </w:rPr>
      </w:pPr>
      <w:r>
        <w:rPr>
          <w:rFonts w:hint="eastAsia" w:ascii="方正楷体_GB2312" w:hAnsi="方正楷体_GB2312" w:eastAsia="方正楷体_GB2312" w:cs="方正楷体_GB2312"/>
          <w:color w:val="auto"/>
          <w:sz w:val="32"/>
          <w:szCs w:val="32"/>
          <w:lang w:eastAsia="zh-CN"/>
        </w:rPr>
        <w:t>附件</w:t>
      </w:r>
      <w:r>
        <w:rPr>
          <w:rFonts w:hint="eastAsia" w:ascii="方正楷体_GB2312" w:hAnsi="方正楷体_GB2312" w:eastAsia="方正楷体_GB2312" w:cs="方正楷体_GB2312"/>
          <w:color w:val="auto"/>
          <w:sz w:val="32"/>
          <w:szCs w:val="32"/>
          <w:lang w:val="en-US" w:eastAsia="zh-CN"/>
        </w:rPr>
        <w:t>8</w:t>
      </w:r>
    </w:p>
    <w:p w14:paraId="6869840E">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color w:val="auto"/>
          <w:sz w:val="30"/>
          <w:szCs w:val="30"/>
        </w:rPr>
      </w:pPr>
      <w:r>
        <w:rPr>
          <w:rFonts w:hint="default" w:ascii="Times New Roman" w:hAnsi="Times New Roman" w:eastAsia="方正小标宋简体" w:cs="Times New Roman"/>
          <w:sz w:val="44"/>
          <w:szCs w:val="44"/>
        </w:rPr>
        <w:t>五华区</w:t>
      </w:r>
      <w:r>
        <w:rPr>
          <w:rFonts w:hint="default" w:ascii="Times New Roman" w:hAnsi="Times New Roman" w:eastAsia="方正小标宋简体" w:cs="Times New Roman"/>
          <w:sz w:val="44"/>
          <w:szCs w:val="44"/>
          <w:lang w:val="en-US" w:eastAsia="zh-CN"/>
        </w:rPr>
        <w:t>公共就业和人才服务中心</w:t>
      </w:r>
      <w:r>
        <w:rPr>
          <w:rFonts w:hint="eastAsia" w:ascii="Times New Roman" w:hAnsi="Times New Roman" w:eastAsia="方正小标宋简体" w:cs="Times New Roman"/>
          <w:sz w:val="44"/>
          <w:szCs w:val="44"/>
          <w:lang w:val="en-US" w:eastAsia="zh-CN"/>
        </w:rPr>
        <w:t>关于高校毕业生补贴经费</w:t>
      </w:r>
      <w:r>
        <w:rPr>
          <w:rFonts w:hint="eastAsia" w:ascii="方正小标宋简体" w:hAnsi="方正小标宋简体" w:eastAsia="方正小标宋简体" w:cs="方正小标宋简体"/>
          <w:color w:val="auto"/>
          <w:sz w:val="44"/>
          <w:szCs w:val="44"/>
        </w:rPr>
        <w:t>项目支出绩效评价报告</w:t>
      </w:r>
    </w:p>
    <w:p w14:paraId="0134A4E8">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Times New Roman" w:hAnsi="Times New Roman" w:eastAsia="仿宋_GB2312" w:cs="仿宋_GB2312"/>
          <w:b w:val="0"/>
          <w:bCs w:val="0"/>
          <w:kern w:val="2"/>
          <w:sz w:val="32"/>
          <w:szCs w:val="32"/>
          <w:lang w:val="en-US" w:eastAsia="zh-CN" w:bidi="ar-SA"/>
        </w:rPr>
      </w:pPr>
    </w:p>
    <w:p w14:paraId="37A6D03A">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Times New Roman" w:hAnsi="Times New Roman" w:eastAsia="方正仿宋_GB2312" w:cs="仿宋_GB2312"/>
          <w:b w:val="0"/>
          <w:bCs w:val="0"/>
          <w:kern w:val="2"/>
          <w:sz w:val="32"/>
          <w:szCs w:val="32"/>
          <w:lang w:val="en-US" w:eastAsia="zh-CN" w:bidi="ar-SA"/>
        </w:rPr>
      </w:pPr>
      <w:r>
        <w:rPr>
          <w:rFonts w:hint="eastAsia" w:ascii="Times New Roman" w:hAnsi="Times New Roman" w:eastAsia="方正仿宋_GB2312" w:cs="仿宋_GB2312"/>
          <w:b w:val="0"/>
          <w:bCs w:val="0"/>
          <w:kern w:val="2"/>
          <w:sz w:val="32"/>
          <w:szCs w:val="32"/>
          <w:lang w:val="en-US" w:eastAsia="zh-CN" w:bidi="ar-SA"/>
        </w:rPr>
        <w:t>区财政局：</w:t>
      </w:r>
    </w:p>
    <w:p w14:paraId="443362F1">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jc w:val="both"/>
        <w:textAlignment w:val="auto"/>
        <w:rPr>
          <w:rFonts w:hint="eastAsia" w:ascii="Times New Roman" w:hAnsi="Times New Roman" w:eastAsia="方正仿宋_GB2312" w:cs="仿宋_GB2312"/>
          <w:b w:val="0"/>
          <w:bCs w:val="0"/>
          <w:kern w:val="2"/>
          <w:sz w:val="32"/>
          <w:szCs w:val="32"/>
          <w:lang w:val="en-US" w:eastAsia="zh-CN" w:bidi="ar-SA"/>
        </w:rPr>
      </w:pPr>
      <w:r>
        <w:rPr>
          <w:rFonts w:hint="eastAsia" w:ascii="Times New Roman" w:hAnsi="Times New Roman" w:eastAsia="方正仿宋_GB2312" w:cs="仿宋_GB2312"/>
          <w:b w:val="0"/>
          <w:bCs w:val="0"/>
          <w:kern w:val="2"/>
          <w:sz w:val="32"/>
          <w:szCs w:val="32"/>
          <w:lang w:val="en-US" w:eastAsia="zh-CN" w:bidi="ar-SA"/>
        </w:rPr>
        <w:t>根据《五华区财政局关于开展2025年度预算支出绩效自评和部门评价工作的通知》要求，我单位高度重视，及时部署开展相关工作，通过绩效评价工作小组会议研究，选取昆财社基〔2024〕48号2023年度高校毕业生补贴经费项目作为2025年度部门评价项目。现将本次评价情况报告如下：</w:t>
      </w:r>
    </w:p>
    <w:p w14:paraId="6AB8ADA9">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0" w:name="heading_0"/>
      <w:r>
        <w:rPr>
          <w:rFonts w:hint="eastAsia" w:ascii="黑体" w:hAnsi="黑体" w:eastAsia="黑体" w:cs="黑体"/>
          <w:sz w:val="32"/>
          <w:lang w:eastAsia="zh-CN"/>
        </w:rPr>
        <w:t>一、基本情况</w:t>
      </w:r>
      <w:bookmarkEnd w:id="0"/>
    </w:p>
    <w:p w14:paraId="6ABEA0E3">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1" w:name="heading_1"/>
      <w:r>
        <w:rPr>
          <w:rFonts w:hint="eastAsia" w:ascii="方正楷体_GB2312" w:hAnsi="方正楷体_GB2312" w:eastAsia="方正楷体_GB2312" w:cs="方正楷体_GB2312"/>
          <w:sz w:val="32"/>
          <w:lang w:eastAsia="zh-CN"/>
        </w:rPr>
        <w:t>（一）项目概况</w:t>
      </w:r>
      <w:bookmarkEnd w:id="1"/>
    </w:p>
    <w:p w14:paraId="390D37CB">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项目背景：为深入贯彻国家、省、市关于稳就业、保民生、引人才的决策部署，优化五华区高校毕业生就业创业环境，降低高校毕业生来昆留昆就业创业成本，吸引更多高校毕业生扎根五华发展，根据市级高校毕业生就业扶持相关政策规定及区级财政资金管理要求，设立高校毕业生补助经费项目，专项用于落实</w:t>
      </w:r>
      <w:r>
        <w:rPr>
          <w:rFonts w:hint="eastAsia" w:ascii="方正楷体_GB2312" w:hAnsi="方正楷体_GB2312" w:eastAsia="方正楷体_GB2312" w:cs="方正楷体_GB2312"/>
          <w:sz w:val="32"/>
          <w:lang w:eastAsia="zh-CN"/>
        </w:rPr>
        <w:t>高校</w:t>
      </w:r>
      <w:r>
        <w:rPr>
          <w:rFonts w:hint="eastAsia" w:eastAsia="方正仿宋_GB2312"/>
          <w:sz w:val="32"/>
          <w:lang w:eastAsia="zh-CN"/>
        </w:rPr>
        <w:t>毕业生来昆留昆就业、落户、租房、购房等各类补贴政策，切实保障高校毕业生就业创业权益，稳定辖区高校毕业生就业局势，为区域经济社会发展集聚青年人才。</w:t>
      </w:r>
    </w:p>
    <w:p w14:paraId="4FB12915">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主要内容及实施情况：项目核心围绕高校毕业生来昆留昆各类补贴的审核、公示及拨付开展工作，2024年度已完成辖区内高校毕业生补贴申报受理、资格审核、社会公示等全流程基础工作，审核通过来昆留昆就业补贴235人、落户补贴20人、租房补贴77人、购房补贴22人，均达到政策落地实施标准。但因2024年度财政资金未予保障，上述补贴未能在当年完成支付，2025年度启动跨年支付工作，已全部兑付；同时配套开展政策解释、补贴对象沟通、支付台账完善等工作，确保政策落地平稳有序，无违规审核、错发漏发情况。</w:t>
      </w:r>
    </w:p>
    <w:p w14:paraId="502032EF">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3.</w:t>
      </w:r>
      <w:r>
        <w:rPr>
          <w:rFonts w:hint="eastAsia" w:eastAsia="方正仿宋_GB2312"/>
          <w:sz w:val="32"/>
          <w:lang w:eastAsia="zh-CN"/>
        </w:rPr>
        <w:t>资金投入和使用情况：本项目2024年度应安排专项经费对应补贴兑付需求，因区级财政未予保障导致资金未拨付，2025年度区级财政统筹安排</w:t>
      </w:r>
      <w:r>
        <w:rPr>
          <w:rFonts w:hint="eastAsia" w:eastAsia="方正仿宋_GB2312"/>
          <w:sz w:val="32"/>
          <w:lang w:val="en-US" w:eastAsia="zh-CN"/>
        </w:rPr>
        <w:t>82.04</w:t>
      </w:r>
      <w:r>
        <w:rPr>
          <w:rFonts w:hint="eastAsia" w:eastAsia="方正仿宋_GB2312"/>
          <w:sz w:val="32"/>
          <w:lang w:eastAsia="zh-CN"/>
        </w:rPr>
        <w:t>万元结转资金用于该项目跨年支付，预算确定数为</w:t>
      </w:r>
      <w:r>
        <w:rPr>
          <w:rFonts w:hint="eastAsia" w:eastAsia="方正仿宋_GB2312"/>
          <w:sz w:val="32"/>
          <w:lang w:val="en-US" w:eastAsia="zh-CN"/>
        </w:rPr>
        <w:t>82.04</w:t>
      </w:r>
      <w:r>
        <w:rPr>
          <w:rFonts w:hint="eastAsia" w:eastAsia="方正仿宋_GB2312"/>
          <w:sz w:val="32"/>
          <w:lang w:eastAsia="zh-CN"/>
        </w:rPr>
        <w:t>万元，资金来源为市级财政专项拨款。2025年度实际支出</w:t>
      </w:r>
      <w:r>
        <w:rPr>
          <w:rFonts w:hint="eastAsia" w:eastAsia="方正仿宋_GB2312"/>
          <w:sz w:val="32"/>
          <w:lang w:val="en-US" w:eastAsia="zh-CN"/>
        </w:rPr>
        <w:t>82.04</w:t>
      </w:r>
      <w:r>
        <w:rPr>
          <w:rFonts w:hint="eastAsia" w:eastAsia="方正仿宋_GB2312"/>
          <w:sz w:val="32"/>
          <w:lang w:eastAsia="zh-CN"/>
        </w:rPr>
        <w:t>万元，预算执行率</w:t>
      </w:r>
      <w:r>
        <w:rPr>
          <w:rFonts w:hint="eastAsia" w:eastAsia="方正仿宋_GB2312"/>
          <w:sz w:val="32"/>
          <w:lang w:val="en-US" w:eastAsia="zh-CN"/>
        </w:rPr>
        <w:t>100</w:t>
      </w:r>
      <w:r>
        <w:rPr>
          <w:rFonts w:hint="eastAsia" w:eastAsia="方正仿宋_GB2312"/>
          <w:sz w:val="32"/>
          <w:lang w:eastAsia="zh-CN"/>
        </w:rPr>
        <w:t>%。</w:t>
      </w:r>
    </w:p>
    <w:p w14:paraId="7C448D1D">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（二）项目绩效目标</w:t>
      </w:r>
    </w:p>
    <w:p w14:paraId="3B335C0B">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总体目标：通过落实高校毕业生补助政策，精准扶持高校毕业生来昆留昆就业创业，降低就业创业门槛，提升高校毕业生就业满意度和政策获得感；扩大五华区高校毕业生就业吸纳规模，吸引青年人才集聚，优化区域人才结构；完善高校毕业生就业扶持服务体系，提升公共就业服务专业化水平，推动辖区高校毕业生就业工作高质量发展，确保就业扶持政策落地及时、精准、高效。</w:t>
      </w:r>
    </w:p>
    <w:p w14:paraId="4625396B">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阶段性目标：202</w:t>
      </w:r>
      <w:r>
        <w:rPr>
          <w:rFonts w:hint="eastAsia" w:eastAsia="方正仿宋_GB2312"/>
          <w:sz w:val="32"/>
          <w:lang w:val="en-US" w:eastAsia="zh-CN"/>
        </w:rPr>
        <w:t>5</w:t>
      </w:r>
      <w:r>
        <w:rPr>
          <w:rFonts w:hint="eastAsia" w:eastAsia="方正仿宋_GB2312"/>
          <w:sz w:val="32"/>
          <w:lang w:eastAsia="zh-CN"/>
        </w:rPr>
        <w:t>年度目标为完成</w:t>
      </w:r>
      <w:r>
        <w:rPr>
          <w:rFonts w:hint="eastAsia" w:eastAsia="方正仿宋_GB2312"/>
          <w:sz w:val="32"/>
          <w:lang w:val="en-US" w:eastAsia="zh-CN"/>
        </w:rPr>
        <w:t>2024年度</w:t>
      </w:r>
      <w:r>
        <w:rPr>
          <w:rFonts w:hint="eastAsia" w:eastAsia="方正仿宋_GB2312"/>
          <w:sz w:val="32"/>
          <w:lang w:eastAsia="zh-CN"/>
        </w:rPr>
        <w:t>申报的高校毕业生各类补贴审核及全额支付，实现补贴审核准确率≥98%、资金支付及时率100%、实名登记高校毕业生就业率≥90%、政策知晓率≥90%、服务对象满意度≥90%。</w:t>
      </w:r>
    </w:p>
    <w:p w14:paraId="4E77F1D3">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（三）项目组织管理情况</w:t>
      </w:r>
    </w:p>
    <w:p w14:paraId="11EF50BE">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职责分工：明确昆明市五华区公共就业和人才服务中心为项目实施单位，负责补贴申报受理、资格审核、政策宣传、补贴对象沟通等工作，针对跨年支付问题，专人负责对接财政及补贴对象。</w:t>
      </w:r>
    </w:p>
    <w:p w14:paraId="57B034EC">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管理流程：2024年度按标准完成“申报受理—资格审核—社会公示—拟定支付计划”全流程工作，因财政资金未予保障，暂未完成资金拨付环节；2025年度启动跨年支付专项流程：一是对接财政部门跟进资金补拨进度，制定分批次支付计划；二是对2024年度审核资料进行复核，确保信息无变更、材料无缺失；三是资金到位后第一时间完成补贴兑付，直达高校毕业生社保卡或指定账户。</w:t>
      </w:r>
    </w:p>
    <w:p w14:paraId="3DE693DB">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3.</w:t>
      </w:r>
      <w:r>
        <w:rPr>
          <w:rFonts w:hint="eastAsia" w:eastAsia="方正仿宋_GB2312"/>
          <w:sz w:val="32"/>
          <w:lang w:eastAsia="zh-CN"/>
        </w:rPr>
        <w:t>组织实施：针对2024年度财政未保障导致的跨年支付问题，项目实施过程中重点做好三方面工作：一是持续与区级财政部门对接，多次报送资金需求申请，推动资金补拨到位；二是通过短信、微信、电话等方式向补贴对象说明跨年支付原因及推进进度，做好政策解释和情绪安抚，降低政策落地延迟的负面影响；三是资金到位后启动快速支付机制，压缩内部审批流程，确保资金及时兑付，最大限度弥补跨年支付带来的不利影响。</w:t>
      </w:r>
    </w:p>
    <w:p w14:paraId="7F94C943">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4.</w:t>
      </w:r>
      <w:r>
        <w:rPr>
          <w:rFonts w:hint="eastAsia" w:eastAsia="方正仿宋_GB2312"/>
          <w:sz w:val="32"/>
          <w:lang w:eastAsia="zh-CN"/>
        </w:rPr>
        <w:t>制度建设：严格执行《云南省就业补助资金管理办法》，明确资金对接、分批次支付、补贴对象沟通、台账管理等具体要求；完善资金使用管理制度、补贴审核公示制度、档案管理制度，同时建立问题整改机制，针对财政资金未保障导致的系列问题梳理整改措施，推动后续工作优化；建立预算执行动态监控机制，对2025年度补拨资金使用进度进行实时跟踪，及时解决支付过程中的堵点、难点问题。</w:t>
      </w:r>
    </w:p>
    <w:p w14:paraId="4BD82416">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r>
        <w:rPr>
          <w:rFonts w:hint="eastAsia" w:ascii="黑体" w:hAnsi="黑体" w:eastAsia="黑体" w:cs="黑体"/>
          <w:sz w:val="32"/>
          <w:lang w:eastAsia="zh-CN"/>
        </w:rPr>
        <w:t>二、绩效评价工作开展情况</w:t>
      </w:r>
    </w:p>
    <w:p w14:paraId="11FDEACD">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（一）绩效评价目的、对象和范围</w:t>
      </w:r>
    </w:p>
    <w:p w14:paraId="261AAF89">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评价目的：全面掌握高校毕业生补助经费项目的实施成效、资金使用效益及绩效目标完成情况，重点分析2024年度财政资金未予保障导致跨年支付的核心问题对项目实施、政策落地、服务对象体验的影响，梳理问题产生的后续连锁反应，总结项目实施中的经验做法，提出针对性整改及优化建议，推动财政资金保障常态化、项目实施流程规范化，为后续高校毕业生就业扶持政策落地及财政资金配置提供科学决策依据。</w:t>
      </w:r>
    </w:p>
    <w:p w14:paraId="65B897E9">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评价对象：2024年度审核通过的高校毕业生补贴跨年支付工作。</w:t>
      </w:r>
    </w:p>
    <w:p w14:paraId="369B1280">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3.</w:t>
      </w:r>
      <w:r>
        <w:rPr>
          <w:rFonts w:hint="eastAsia" w:eastAsia="方正仿宋_GB2312"/>
          <w:sz w:val="32"/>
          <w:lang w:eastAsia="zh-CN"/>
        </w:rPr>
        <w:t>评价范围：涵盖项目决策、资金管理、组织实施、产出效益、服务对象满意度等全维度，涉及202</w:t>
      </w:r>
      <w:r>
        <w:rPr>
          <w:rFonts w:hint="eastAsia" w:eastAsia="方正仿宋_GB2312"/>
          <w:sz w:val="32"/>
          <w:lang w:val="en-US" w:eastAsia="zh-CN"/>
        </w:rPr>
        <w:t>4</w:t>
      </w:r>
      <w:r>
        <w:rPr>
          <w:rFonts w:hint="eastAsia" w:eastAsia="方正仿宋_GB2312"/>
          <w:sz w:val="32"/>
          <w:lang w:eastAsia="zh-CN"/>
        </w:rPr>
        <w:t>年度财政补拨资金</w:t>
      </w:r>
      <w:r>
        <w:rPr>
          <w:rFonts w:hint="eastAsia" w:eastAsia="方正仿宋_GB2312"/>
          <w:sz w:val="32"/>
          <w:lang w:val="en-US" w:eastAsia="zh-CN"/>
        </w:rPr>
        <w:t>82.04</w:t>
      </w:r>
      <w:r>
        <w:rPr>
          <w:rFonts w:hint="eastAsia" w:eastAsia="方正仿宋_GB2312"/>
          <w:sz w:val="32"/>
          <w:lang w:eastAsia="zh-CN"/>
        </w:rPr>
        <w:t>万元，覆盖高校毕业生就业、落户、租房、购房四类补贴的审核、跨年支付及配套服务工作。</w:t>
      </w:r>
    </w:p>
    <w:p w14:paraId="4C01B761">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（二）绩效评价原则、依据、评价指标体系（附表说明）、评价方法、评价标准、评价抽样</w:t>
      </w:r>
    </w:p>
    <w:p w14:paraId="10B0CAC2">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评价原则：严格遵循科学规范、公正公开、绩效相关、实事求是、问题导向的原则，聚焦“2024年度财政未保障导致跨年支付”这一核心问题，客观评价项目实施成效、资金使用效益及问题带来的负面影响，确保评价结果真实、准确、全面反映项目实际情况。</w:t>
      </w:r>
    </w:p>
    <w:p w14:paraId="608CB03A">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评价依据：主要包括《五华区财政局关于开展2025年度预算支出绩效自评和部门评价工作的通知》、资金拨付凭证、补贴发放台账、绩效目标表及相关政策文件等。</w:t>
      </w:r>
    </w:p>
    <w:p w14:paraId="5A3AE995">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3.</w:t>
      </w:r>
      <w:r>
        <w:rPr>
          <w:rFonts w:hint="eastAsia" w:eastAsia="方正仿宋_GB2312"/>
          <w:sz w:val="32"/>
          <w:lang w:eastAsia="zh-CN"/>
        </w:rPr>
        <w:t>评价指标体系：围绕项目决策、过程、产出、效益四大核心维度构建评价指标体系，明确各维度评价要点，细化核心评价指标。</w:t>
      </w:r>
    </w:p>
    <w:p w14:paraId="56AF4A38">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4.</w:t>
      </w:r>
      <w:r>
        <w:rPr>
          <w:rFonts w:hint="eastAsia" w:eastAsia="方正仿宋_GB2312"/>
          <w:sz w:val="32"/>
          <w:lang w:eastAsia="zh-CN"/>
        </w:rPr>
        <w:t>评价方法：</w:t>
      </w:r>
      <w:r>
        <w:rPr>
          <w:rFonts w:hint="eastAsia" w:eastAsia="方正仿宋_GB2312"/>
          <w:color w:val="auto"/>
          <w:sz w:val="32"/>
          <w:lang w:eastAsia="zh-CN"/>
        </w:rPr>
        <w:t>采用比较法、因素分析法、公众评判法相结合</w:t>
      </w:r>
      <w:r>
        <w:rPr>
          <w:rFonts w:hint="eastAsia" w:eastAsia="方正仿宋_GB2312"/>
          <w:sz w:val="32"/>
          <w:lang w:eastAsia="zh-CN"/>
        </w:rPr>
        <w:t>的方式开展评价，通过数据比对、资料核查、实地核实、满意度调查等手段，全面梳理项目实施情况，客观分析绩效目标完成偏差及原因。</w:t>
      </w:r>
    </w:p>
    <w:p w14:paraId="027931E5">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5.</w:t>
      </w:r>
      <w:r>
        <w:rPr>
          <w:rFonts w:hint="eastAsia" w:eastAsia="方正仿宋_GB2312"/>
          <w:sz w:val="32"/>
          <w:lang w:eastAsia="zh-CN"/>
        </w:rPr>
        <w:t>评价标准：以项目年初设定的绩效目标为核心基准，结合财政资金管理规范、高校毕业生就业扶持政策要求，设定定量与定性相结合的评价标准，确保评价工作有章可循、评价结果有据可依。</w:t>
      </w:r>
    </w:p>
    <w:p w14:paraId="17AD01F9">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6.</w:t>
      </w:r>
      <w:r>
        <w:rPr>
          <w:rFonts w:hint="eastAsia" w:eastAsia="方正仿宋_GB2312"/>
          <w:sz w:val="32"/>
          <w:lang w:eastAsia="zh-CN"/>
        </w:rPr>
        <w:t>评价抽样：对项目受益对象采取全覆盖核查方式，逐一核实补贴发放资格及金额；对资金拨付流程、制度执行情况、资料归档情况进行全样本检查，全面掌握项目实施真实情况，保障评价结果精准可靠。</w:t>
      </w:r>
    </w:p>
    <w:p w14:paraId="0B18EA9C">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（三）绩效评价工作过程</w:t>
      </w:r>
    </w:p>
    <w:p w14:paraId="45005F53">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1.前期准备：成立由单位主要负责人牵头的绩效评价工作组，明确工作分工及职责；梳理项目相关政策文件、资金凭证、发放台账等资料，结合项目实际、明确评价指标、实施步骤及时间节点。</w:t>
      </w:r>
    </w:p>
    <w:p w14:paraId="420D1537">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数据采集：全面收集项目资金下达文件、资金拨付凭证、补贴申报材料、资格审核记录、公示文件、发放台账、满意度问卷等相关资料，实地对接各高校及部分受益毕业生，核实补贴发放人数、资金拨付进度、政策知晓度等相关数据。</w:t>
      </w:r>
    </w:p>
    <w:p w14:paraId="4827899D">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3.分析评价：评价工作组对照绩效评价指标体系及评价标准，逐项分析项目决策、资金管理、实施过程、产出效益等情况，梳理绩效目标完成偏差，深入分析偏差产生的原因，形成初步评价结论。</w:t>
      </w:r>
    </w:p>
    <w:p w14:paraId="62BE244C">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4.报告撰写：汇总评价数据及分析结果，梳理经验做法及存在问题，提出针对性改进建议，按照规范格式撰写绩效评价报告，经内部审核完善后，按程序报送区财政局。</w:t>
      </w:r>
    </w:p>
    <w:p w14:paraId="1A7FE91D">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2" w:name="heading_8"/>
      <w:r>
        <w:rPr>
          <w:rFonts w:hint="eastAsia" w:ascii="黑体" w:hAnsi="黑体" w:eastAsia="黑体" w:cs="黑体"/>
          <w:sz w:val="32"/>
          <w:lang w:eastAsia="zh-CN"/>
        </w:rPr>
        <w:t>三、综合评价情况及评价结论</w:t>
      </w:r>
      <w:bookmarkEnd w:id="2"/>
    </w:p>
    <w:p w14:paraId="1C574B22">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val="en-US" w:eastAsia="zh-CN"/>
        </w:rPr>
      </w:pPr>
      <w:bookmarkStart w:id="3" w:name="heading_9"/>
      <w:r>
        <w:rPr>
          <w:rFonts w:hint="eastAsia" w:ascii="方正楷体_GB2312" w:hAnsi="方正楷体_GB2312" w:eastAsia="方正楷体_GB2312" w:cs="方正楷体_GB2312"/>
          <w:sz w:val="32"/>
          <w:lang w:eastAsia="zh-CN"/>
        </w:rPr>
        <w:t>（一）绩效评价综合结论</w:t>
      </w:r>
      <w:bookmarkEnd w:id="3"/>
    </w:p>
    <w:p w14:paraId="7058A2A1">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项目综合得分90分，评价等次为“优”。整体来看，项目实施规范有序，政策执行精准高效，资金使用合规透明，在补贴对象精准识别、政策覆盖面拓展、服务对象满意度提升等方面成效突出，核心绩效目标全面达成并超额完成。尽管受2024年度财政库款保障不足影响，项目被迫实施跨年支付，资金拨付进度滞后于正常工作预期，但项目实施单位通过制定专项管理方案、加强财政对接、优化兑付流程等主动举措，最大限度压缩了资金滞留时间，降低了对政策效应的负面影响，未造成实质性工作阻碍。综合评价，本项目绩效等级为“优”，充分体现了高校毕业生就业扶持政策的民生价值和财政资金的使用效能。</w:t>
      </w:r>
    </w:p>
    <w:p w14:paraId="2DC2B388">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（二）绩效目标实现情况</w:t>
      </w:r>
    </w:p>
    <w:p w14:paraId="6A8C559E">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数量指标：2025年已完成2024年度审核通过的全部235名高校毕业生补贴兑付（就业补贴235人、落户补贴20人、租房补贴77人、购房补贴22人），实现政策覆盖无遗漏、应享尽享，完全达成数量维度绩效目标，政策精准落地成效显著。</w:t>
      </w:r>
    </w:p>
    <w:p w14:paraId="1B12A9BF">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时效指标：因2024年度财政库款保障不足，项目未能在当年完成兑付，2025年启动跨年支付后，经持续推进，截至年末预算执行率达</w:t>
      </w:r>
      <w:r>
        <w:rPr>
          <w:rFonts w:hint="eastAsia" w:eastAsia="方正仿宋_GB2312"/>
          <w:sz w:val="32"/>
          <w:lang w:val="en-US" w:eastAsia="zh-CN"/>
        </w:rPr>
        <w:t>100</w:t>
      </w:r>
      <w:r>
        <w:rPr>
          <w:rFonts w:hint="eastAsia" w:eastAsia="方正仿宋_GB2312"/>
          <w:sz w:val="32"/>
          <w:lang w:eastAsia="zh-CN"/>
        </w:rPr>
        <w:t>%。</w:t>
      </w:r>
    </w:p>
    <w:p w14:paraId="442010CB">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3.</w:t>
      </w:r>
      <w:r>
        <w:rPr>
          <w:rFonts w:hint="eastAsia" w:eastAsia="方正仿宋_GB2312"/>
          <w:sz w:val="32"/>
          <w:lang w:eastAsia="zh-CN"/>
        </w:rPr>
        <w:t>社会效益指标：项目通过发放多元化补贴，切实减轻了高校毕业生来昆留昆的生活成本和就业创业压力，有效提升了青年人才的扎根意愿，为辖区企业输送了优质人力资源，进一步稳定了高校毕业生就业局势，对优化区域人才结构、助力经济社会高质量发展发挥了重要支撑作用，政策扶持效应显著。</w:t>
      </w:r>
    </w:p>
    <w:p w14:paraId="2C0607B8">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4.</w:t>
      </w:r>
      <w:r>
        <w:rPr>
          <w:rFonts w:hint="eastAsia" w:eastAsia="方正仿宋_GB2312"/>
          <w:sz w:val="32"/>
          <w:lang w:eastAsia="zh-CN"/>
        </w:rPr>
        <w:t>服务对象满意度指标：通过对</w:t>
      </w:r>
      <w:r>
        <w:rPr>
          <w:rFonts w:hint="eastAsia" w:eastAsia="方正仿宋_GB2312"/>
          <w:sz w:val="32"/>
          <w:lang w:val="en-US" w:eastAsia="zh-CN"/>
        </w:rPr>
        <w:t>20</w:t>
      </w:r>
      <w:r>
        <w:rPr>
          <w:rFonts w:hint="eastAsia" w:eastAsia="方正仿宋_GB2312"/>
          <w:sz w:val="32"/>
          <w:lang w:eastAsia="zh-CN"/>
        </w:rPr>
        <w:t>名受益毕业生开展问卷调查，服务对象满意度达100%，超额完成90%的年度目标。受访毕业生对补贴政策的实用性、审核流程的规范性、工作人员的服务态度及进度反馈及时性均给予高度认可，充分体现了政策的高认可度和经办服务的高质量。</w:t>
      </w:r>
    </w:p>
    <w:p w14:paraId="4106A762">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r>
        <w:rPr>
          <w:rFonts w:hint="eastAsia" w:ascii="黑体" w:hAnsi="黑体" w:eastAsia="黑体" w:cs="黑体"/>
          <w:sz w:val="32"/>
          <w:lang w:eastAsia="zh-CN"/>
        </w:rPr>
        <w:t>四、绩效评价指标分析</w:t>
      </w:r>
    </w:p>
    <w:p w14:paraId="7B12C000">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（一）项目决策情况分析</w:t>
      </w:r>
    </w:p>
    <w:p w14:paraId="7FD4E6EF">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项目决策严格遵循国家、省、市稳就业、引人才政策导向，紧扣高校毕业生来昆留昆就业创业的核心需求，立项依据充分、现实意义明确；资金预算结合辖区符合条件毕业生规模及补贴标准精准测算，预算编制科学合理，资金分配与政策需求高度匹配；绩效目标设定贴合政策要求和工作实际，指标明确、可衡量、可考核，为项目实施提供了清晰的方向指引，决策环节无偏差。</w:t>
      </w:r>
    </w:p>
    <w:p w14:paraId="0CD01D3D">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（二）项目过程情况分析</w:t>
      </w:r>
    </w:p>
    <w:p w14:paraId="6F369FC5">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资金管理：项目资金使用严格遵循财政资金管理相关规定，拨付流程规范，审批手续齐全，未发现截留、挤占、挪用等违规使用情况，资金使用合规性良好；项目预算执行率达</w:t>
      </w:r>
      <w:r>
        <w:rPr>
          <w:rFonts w:hint="eastAsia" w:eastAsia="方正仿宋_GB2312"/>
          <w:sz w:val="32"/>
          <w:lang w:val="en-US" w:eastAsia="zh-CN"/>
        </w:rPr>
        <w:t>100</w:t>
      </w:r>
      <w:r>
        <w:rPr>
          <w:rFonts w:hint="eastAsia" w:eastAsia="方正仿宋_GB2312"/>
          <w:sz w:val="32"/>
          <w:lang w:eastAsia="zh-CN"/>
        </w:rPr>
        <w:t>%，整体资金使用效率较高，但受2024年度财政库款保障不足影响，资金未能在当年及时到位，导致跨年支付，资金拨付进度滞后于正常工作节奏。</w:t>
      </w:r>
    </w:p>
    <w:p w14:paraId="3BBE31A8">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流程管理：补贴申报、资格审核、社会公示等环节流程规范严谨，资格核查严格细致，公示内容完整、公示时限充足，主动接受社会监督，有效保障了政策实施的公平公正性。</w:t>
      </w:r>
    </w:p>
    <w:p w14:paraId="1D1F918A">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（三）项目产出情况分析</w:t>
      </w:r>
    </w:p>
    <w:p w14:paraId="428DE0F2">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数量产出：补贴发放覆盖全部2024年度审核通过的235名毕业生，完全实现政策预期覆盖规模，有效将就业扶持政策精准惠及目标群体，数量产出达标，政策落地精准度高。</w:t>
      </w:r>
    </w:p>
    <w:p w14:paraId="028E6D79">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时效产出：因外部财政库款保障不足，项目出现跨年度兑付的时效偏差，虽未影响最终政策覆盖效果，但一定程度上延缓了政策红利的落地速度，需在后续工作中通过强化资金保障协调加以优化。</w:t>
      </w:r>
    </w:p>
    <w:p w14:paraId="07FA699B">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r>
        <w:rPr>
          <w:rFonts w:hint="eastAsia" w:ascii="方正楷体_GB2312" w:hAnsi="方正楷体_GB2312" w:eastAsia="方正楷体_GB2312" w:cs="方正楷体_GB2312"/>
          <w:sz w:val="32"/>
          <w:lang w:eastAsia="zh-CN"/>
        </w:rPr>
        <w:t>（四）项目效益情况分析</w:t>
      </w:r>
    </w:p>
    <w:p w14:paraId="1C12F6CB">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社会效益：项目通过发放就业、落户、租房、购房等多元化补贴，切实降低了高校毕业生来昆留昆的生活成本和就业创业门槛，吸引了更多青年人才扎根五华，为辖区企业输送了新鲜血液，进一步稳定了高校毕业生就业形势，助力区域经济社会高质量发展，社会效益显著。</w:t>
      </w:r>
    </w:p>
    <w:p w14:paraId="4A35FC41">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满意度效益：服务对象满意度达100%，远超年度目标，充分体现了项目经办服务的高质量和就业扶持政策的高认可度。良好的政策体验和服务质量，不仅提升了毕业生的政策获得感，也增强了政府部门的公信力，为后续就业扶持政策的推广落实奠定了坚实基础。</w:t>
      </w:r>
    </w:p>
    <w:p w14:paraId="34B2A6C9">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r>
        <w:rPr>
          <w:rFonts w:hint="eastAsia" w:ascii="黑体" w:hAnsi="黑体" w:eastAsia="黑体" w:cs="黑体"/>
          <w:sz w:val="32"/>
          <w:lang w:eastAsia="zh-CN"/>
        </w:rPr>
        <w:t>五、主要经验及做法</w:t>
      </w:r>
    </w:p>
    <w:p w14:paraId="503D9567">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1.</w:t>
      </w:r>
      <w:r>
        <w:rPr>
          <w:rFonts w:hint="eastAsia" w:eastAsia="方正仿宋_GB2312"/>
          <w:sz w:val="32"/>
          <w:lang w:eastAsia="zh-CN"/>
        </w:rPr>
        <w:t>精准摸排扩面，实现应享尽享：加强与辖区各高校的对接协作，通过高校集中摸排、班级精准统计、个人线上申报相结合的方式，全面识别符合条件的高校毕业生，建立精准服务台账，确保政策无遗漏、补贴无错发，最大限度提升政策覆盖面和精准度。</w:t>
      </w:r>
    </w:p>
    <w:p w14:paraId="47E8605D">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2.</w:t>
      </w:r>
      <w:r>
        <w:rPr>
          <w:rFonts w:hint="eastAsia" w:eastAsia="方正仿宋_GB2312"/>
          <w:sz w:val="32"/>
          <w:lang w:eastAsia="zh-CN"/>
        </w:rPr>
        <w:t>规范公示流程，保障公平公正：严格执行“先公示、后拨付”的核心原则，在官方网站、微信公众号及各高校校园平台同步公示补贴对象名单、补贴标准、发放金额等关键信息，明确异议反馈渠道和时限，主动接受社会监督，确保政策实施公开透明、公平公正。</w:t>
      </w:r>
    </w:p>
    <w:p w14:paraId="28AAD059">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3.</w:t>
      </w:r>
      <w:r>
        <w:rPr>
          <w:rFonts w:hint="eastAsia" w:eastAsia="方正仿宋_GB2312"/>
          <w:sz w:val="32"/>
          <w:lang w:eastAsia="zh-CN"/>
        </w:rPr>
        <w:t>优化服务流程，提升经办效率：持续简化补贴申报材料、优化审核流程，推行“线上申报、线上审核、线上公示”的“不见面”服务模式，减少毕业生跑腿次数；同时通过政策宣讲会、线上推文、一对一咨询等方式，加强政策解读，及时解答毕业生疑问，提升经办服务效率和体验。</w:t>
      </w:r>
    </w:p>
    <w:p w14:paraId="38B64A9D">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4.</w:t>
      </w:r>
      <w:r>
        <w:rPr>
          <w:rFonts w:hint="eastAsia" w:eastAsia="方正仿宋_GB2312"/>
          <w:sz w:val="32"/>
          <w:lang w:eastAsia="zh-CN"/>
        </w:rPr>
        <w:t>严格资金监管，保障资金安全：建立项目资金使用专项台账，对资金拨付实行“双人审核、多级复核”，强化拨付前后的审核核查，严格把控资金使用全流程；定期开展资金使用自查，确保财政资金专款专用、规范高效，从源头防范资金使用风险。</w:t>
      </w:r>
    </w:p>
    <w:p w14:paraId="18B7E76E">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r>
        <w:rPr>
          <w:rFonts w:hint="eastAsia" w:ascii="黑体" w:hAnsi="黑体" w:eastAsia="黑体" w:cs="黑体"/>
          <w:sz w:val="32"/>
          <w:lang w:eastAsia="zh-CN"/>
        </w:rPr>
        <w:t>六、存在的问题及原因分析</w:t>
      </w:r>
    </w:p>
    <w:p w14:paraId="33B22330">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val="en-US" w:eastAsia="zh-CN"/>
        </w:rPr>
        <w:t>核心问题为资金拨付出现跨年度滞后，2024年度审核通过的补贴未能在当年兑付，直至2025年才完成资金拨付。经核查，核心原因是2024年度区级财政库款保障不足，项目专项补助资金未能及时足额到位，虽然项目实施单位多次与财政部门沟通协调、报送资金需求，但受财政资金调度整体安排影响，仍未能按正常工作节奏推进资金拨付，导致项目被迫启动跨年支付。此外，项目在应对财政资金保障波动的预判机制和应急措施方面存在不足，面对库款不足的突发情况，缺乏系统性的应对方案，一定程度上影响了问题解决的效率。</w:t>
      </w:r>
    </w:p>
    <w:p w14:paraId="21FDB525">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r>
        <w:rPr>
          <w:rFonts w:hint="eastAsia" w:ascii="黑体" w:hAnsi="黑体" w:eastAsia="黑体" w:cs="黑体"/>
          <w:sz w:val="32"/>
          <w:lang w:eastAsia="zh-CN"/>
        </w:rPr>
        <w:t>七、有关建议</w:t>
      </w:r>
    </w:p>
    <w:p w14:paraId="2A0060F9">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强化资金保障与拨付协调：建立与区级财政部门的常态化沟通对接机制，每年提前梳理项目资金需求，及时报送预算申请和资金使用计划，主动跟进财政资金调度情况；针对民生类补贴资金的特殊性，申请开通绿色支付通道，优化拨付审批流程，压缩拨付时限，确保补贴资金及时足额发放到位，避免跨年度兑付情况再次发生。</w:t>
      </w:r>
    </w:p>
    <w:p w14:paraId="4EAE87E7">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健全动态管控与应急机制：建立资金拨付进度动态监控机制，定期跟踪财政资金到位情况，提前预判可能出现的兑付延迟问题；制定资金支付受阻的应急处置预案，明确应对流程、责任分工和沟通渠道，提升对财政资金保障波动的快速响应和处置能力，最大限度降低时效偏差影响。</w:t>
      </w:r>
    </w:p>
    <w:p w14:paraId="64929550">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持续优化服务效能与政策宣传：进一步简化补贴申报流程、减少冗余申报材料，全面推行线上申报、审核、公示、查询全流程数字化服务，提升经办效率；通过高校就业指导中心、社区服务平台、新媒体矩阵等多渠道，开展政策宣传和解读，重点说明申报条件、流程、资金发放相关安排等关键信息，提升政策知晓率和毕业生申报便捷度。</w:t>
      </w:r>
    </w:p>
    <w:p w14:paraId="02FFC854">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r>
        <w:rPr>
          <w:rFonts w:hint="eastAsia" w:ascii="黑体" w:hAnsi="黑体" w:eastAsia="黑体" w:cs="黑体"/>
          <w:sz w:val="32"/>
          <w:lang w:eastAsia="zh-CN"/>
        </w:rPr>
        <w:t>八、其他需要说明的问题</w:t>
      </w:r>
    </w:p>
    <w:p w14:paraId="2EE82506">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区级财政库款保障能力是影响项目资金拨付时效的关键外部因素，后续我单位将持续关注财政资金调度情况，加强与财政部门的常态化沟通协调，提前预判可能出现的问题，主动采取应对措施，保障高校毕业生就业扶持政策平稳、高效落地。</w:t>
      </w:r>
    </w:p>
    <w:p w14:paraId="2BA0CB82">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p>
    <w:p w14:paraId="36ED6836">
      <w:pPr>
        <w:pStyle w:val="10"/>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p>
    <w:p w14:paraId="35CBBC4B">
      <w:pPr>
        <w:pStyle w:val="10"/>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eastAsia="方正仿宋_GB2312"/>
          <w:sz w:val="32"/>
          <w:lang w:eastAsia="zh-CN"/>
        </w:rPr>
      </w:pPr>
      <w:r>
        <w:rPr>
          <w:rFonts w:hint="eastAsia" w:eastAsia="方正仿宋_GB2312"/>
          <w:sz w:val="32"/>
          <w:lang w:eastAsia="zh-CN"/>
        </w:rPr>
        <w:t>昆明市五华区公共就业和人才服务中心</w:t>
      </w:r>
    </w:p>
    <w:p w14:paraId="1738DAA3">
      <w:pPr>
        <w:pStyle w:val="10"/>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eastAsia" w:eastAsia="方正仿宋_GB2312"/>
          <w:sz w:val="32"/>
          <w:lang w:val="en-US" w:eastAsia="zh-CN"/>
        </w:rPr>
      </w:pPr>
      <w:r>
        <w:rPr>
          <w:rFonts w:hint="eastAsia" w:eastAsia="方正仿宋_GB2312"/>
          <w:sz w:val="32"/>
          <w:lang w:eastAsia="zh-CN"/>
        </w:rPr>
        <w:t>2026年</w:t>
      </w:r>
      <w:r>
        <w:rPr>
          <w:rFonts w:hint="eastAsia" w:eastAsia="方正仿宋_GB2312"/>
          <w:sz w:val="32"/>
          <w:lang w:val="en-US" w:eastAsia="zh-CN"/>
        </w:rPr>
        <w:t>3月30日</w:t>
      </w:r>
    </w:p>
    <w:p w14:paraId="25BED2E7">
      <w:pPr>
        <w:pStyle w:val="10"/>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方正仿宋_GB2312"/>
          <w:sz w:val="32"/>
          <w:lang w:val="en-US" w:eastAsia="zh-CN"/>
        </w:rPr>
      </w:pPr>
    </w:p>
    <w:p w14:paraId="63190078">
      <w:pPr>
        <w:pStyle w:val="10"/>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eastAsia="方正仿宋_GB2312"/>
          <w:sz w:val="32"/>
          <w:lang w:val="en-US" w:eastAsia="zh-CN"/>
        </w:rPr>
      </w:pPr>
      <w:r>
        <w:rPr>
          <w:rFonts w:hint="eastAsia" w:eastAsia="方正仿宋_GB2312"/>
          <w:sz w:val="32"/>
          <w:lang w:val="en-US" w:eastAsia="zh-CN"/>
        </w:rPr>
        <w:t>附件9</w:t>
      </w:r>
    </w:p>
    <w:p w14:paraId="671976AE">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五华区公共就业和人才服务中心</w:t>
      </w:r>
      <w:r>
        <w:rPr>
          <w:rFonts w:hint="eastAsia" w:ascii="方正小标宋简体" w:hAnsi="方正小标宋简体" w:eastAsia="方正小标宋简体" w:cs="方正小标宋简体"/>
          <w:color w:val="auto"/>
          <w:sz w:val="44"/>
          <w:szCs w:val="44"/>
        </w:rPr>
        <w:t>高校毕业生补贴经费</w:t>
      </w:r>
      <w:r>
        <w:rPr>
          <w:rFonts w:hint="eastAsia" w:ascii="方正小标宋简体" w:hAnsi="方正小标宋简体" w:eastAsia="方正小标宋简体" w:cs="方正小标宋简体"/>
          <w:color w:val="auto"/>
          <w:sz w:val="44"/>
          <w:szCs w:val="44"/>
          <w:lang w:val="en-US" w:eastAsia="zh-CN"/>
        </w:rPr>
        <w:t>项目</w:t>
      </w:r>
      <w:r>
        <w:rPr>
          <w:rFonts w:hint="eastAsia" w:ascii="方正小标宋简体" w:hAnsi="方正小标宋简体" w:eastAsia="方正小标宋简体" w:cs="方正小标宋简体"/>
          <w:color w:val="auto"/>
          <w:sz w:val="44"/>
          <w:szCs w:val="44"/>
        </w:rPr>
        <w:t>绩效</w:t>
      </w:r>
      <w:r>
        <w:rPr>
          <w:rFonts w:hint="eastAsia" w:ascii="方正小标宋简体" w:hAnsi="方正小标宋简体" w:eastAsia="方正小标宋简体" w:cs="方正小标宋简体"/>
          <w:color w:val="auto"/>
          <w:sz w:val="44"/>
          <w:szCs w:val="44"/>
          <w:lang w:eastAsia="zh-CN"/>
        </w:rPr>
        <w:t>评价</w:t>
      </w:r>
      <w:r>
        <w:rPr>
          <w:rFonts w:hint="eastAsia" w:ascii="方正小标宋简体" w:hAnsi="方正小标宋简体" w:eastAsia="方正小标宋简体" w:cs="方正小标宋简体"/>
          <w:color w:val="auto"/>
          <w:sz w:val="44"/>
          <w:szCs w:val="44"/>
        </w:rPr>
        <w:t>问题清单</w:t>
      </w:r>
    </w:p>
    <w:tbl>
      <w:tblPr>
        <w:tblStyle w:val="11"/>
        <w:tblpPr w:leftFromText="180" w:rightFromText="180" w:vertAnchor="text" w:horzAnchor="page" w:tblpXSpec="center" w:tblpY="269"/>
        <w:tblOverlap w:val="never"/>
        <w:tblW w:w="9233" w:type="dxa"/>
        <w:jc w:val="center"/>
        <w:tblLayout w:type="fixed"/>
        <w:tblCellMar>
          <w:top w:w="0" w:type="dxa"/>
          <w:left w:w="108" w:type="dxa"/>
          <w:bottom w:w="0" w:type="dxa"/>
          <w:right w:w="108" w:type="dxa"/>
        </w:tblCellMar>
      </w:tblPr>
      <w:tblGrid>
        <w:gridCol w:w="2237"/>
        <w:gridCol w:w="1092"/>
        <w:gridCol w:w="1560"/>
        <w:gridCol w:w="4344"/>
      </w:tblGrid>
      <w:tr w14:paraId="3084A08F">
        <w:tblPrEx>
          <w:tblCellMar>
            <w:top w:w="0" w:type="dxa"/>
            <w:left w:w="108" w:type="dxa"/>
            <w:bottom w:w="0" w:type="dxa"/>
            <w:right w:w="108" w:type="dxa"/>
          </w:tblCellMar>
        </w:tblPrEx>
        <w:trPr>
          <w:trHeight w:val="722" w:hRule="atLeast"/>
          <w:jc w:val="center"/>
        </w:trPr>
        <w:tc>
          <w:tcPr>
            <w:tcW w:w="2237" w:type="dxa"/>
            <w:tcBorders>
              <w:top w:val="single" w:color="000000" w:sz="4" w:space="0"/>
              <w:left w:val="single" w:color="000000" w:sz="4" w:space="0"/>
              <w:bottom w:val="single" w:color="000000" w:sz="4" w:space="0"/>
              <w:right w:val="single" w:color="000000" w:sz="4" w:space="0"/>
            </w:tcBorders>
            <w:noWrap/>
            <w:vAlign w:val="center"/>
          </w:tcPr>
          <w:p w14:paraId="0111F393">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问题分类</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37678710">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1560" w:type="dxa"/>
            <w:tcBorders>
              <w:top w:val="single" w:color="000000" w:sz="4" w:space="0"/>
              <w:left w:val="single" w:color="000000" w:sz="4" w:space="0"/>
              <w:bottom w:val="single" w:color="000000" w:sz="4" w:space="0"/>
              <w:right w:val="single" w:color="000000" w:sz="4" w:space="0"/>
            </w:tcBorders>
            <w:noWrap/>
            <w:vAlign w:val="center"/>
          </w:tcPr>
          <w:p w14:paraId="47A53E67">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项目责任单位</w:t>
            </w:r>
          </w:p>
        </w:tc>
        <w:tc>
          <w:tcPr>
            <w:tcW w:w="4344" w:type="dxa"/>
            <w:tcBorders>
              <w:top w:val="single" w:color="000000" w:sz="4" w:space="0"/>
              <w:left w:val="single" w:color="000000" w:sz="4" w:space="0"/>
              <w:bottom w:val="single" w:color="000000" w:sz="4" w:space="0"/>
              <w:right w:val="single" w:color="000000" w:sz="4" w:space="0"/>
            </w:tcBorders>
            <w:noWrap/>
            <w:vAlign w:val="center"/>
          </w:tcPr>
          <w:p w14:paraId="719189FD">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问题描述</w:t>
            </w:r>
          </w:p>
        </w:tc>
      </w:tr>
      <w:tr w14:paraId="43C0DB26">
        <w:tblPrEx>
          <w:tblCellMar>
            <w:top w:w="0" w:type="dxa"/>
            <w:left w:w="108" w:type="dxa"/>
            <w:bottom w:w="0" w:type="dxa"/>
            <w:right w:w="108" w:type="dxa"/>
          </w:tblCellMar>
        </w:tblPrEx>
        <w:trPr>
          <w:trHeight w:val="792" w:hRule="atLeast"/>
          <w:jc w:val="center"/>
        </w:trPr>
        <w:tc>
          <w:tcPr>
            <w:tcW w:w="2237" w:type="dxa"/>
            <w:tcBorders>
              <w:top w:val="single" w:color="000000" w:sz="4" w:space="0"/>
              <w:left w:val="single" w:color="000000" w:sz="4" w:space="0"/>
              <w:bottom w:val="single" w:color="000000" w:sz="4" w:space="0"/>
              <w:right w:val="single" w:color="000000" w:sz="4" w:space="0"/>
            </w:tcBorders>
            <w:noWrap/>
            <w:vAlign w:val="center"/>
          </w:tcPr>
          <w:p w14:paraId="580AD36F">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项目立项存在的问题</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75F867F5">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1</w:t>
            </w:r>
          </w:p>
        </w:tc>
        <w:tc>
          <w:tcPr>
            <w:tcW w:w="1560" w:type="dxa"/>
            <w:vMerge w:val="restart"/>
            <w:tcBorders>
              <w:top w:val="single" w:color="000000" w:sz="4" w:space="0"/>
              <w:left w:val="single" w:color="000000" w:sz="4" w:space="0"/>
              <w:right w:val="single" w:color="000000" w:sz="4" w:space="0"/>
            </w:tcBorders>
            <w:noWrap/>
            <w:vAlign w:val="center"/>
          </w:tcPr>
          <w:p w14:paraId="0EFE21F4">
            <w:pPr>
              <w:spacing w:line="42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lang w:eastAsia="zh-CN"/>
              </w:rPr>
              <w:t>五华区公共就业和人才服务中心</w:t>
            </w:r>
          </w:p>
        </w:tc>
        <w:tc>
          <w:tcPr>
            <w:tcW w:w="4344" w:type="dxa"/>
            <w:tcBorders>
              <w:top w:val="single" w:color="000000" w:sz="4" w:space="0"/>
              <w:left w:val="single" w:color="000000" w:sz="4" w:space="0"/>
              <w:bottom w:val="single" w:color="000000" w:sz="4" w:space="0"/>
              <w:right w:val="single" w:color="000000" w:sz="4" w:space="0"/>
            </w:tcBorders>
            <w:noWrap/>
            <w:vAlign w:val="center"/>
          </w:tcPr>
          <w:p w14:paraId="1ADA29BA">
            <w:pPr>
              <w:spacing w:line="300" w:lineRule="exact"/>
              <w:ind w:left="0" w:leftChars="0" w:right="0" w:rightChars="0" w:firstLine="0" w:firstLineChars="0"/>
              <w:jc w:val="center"/>
              <w:rPr>
                <w:rFonts w:hint="eastAsia" w:ascii="方正仿宋_GB2312" w:hAnsi="方正仿宋_GB2312" w:eastAsia="方正仿宋_GB2312" w:cs="方正仿宋_GB2312"/>
                <w:color w:val="000000"/>
                <w:sz w:val="30"/>
                <w:szCs w:val="30"/>
              </w:rPr>
            </w:pPr>
            <w:r>
              <w:rPr>
                <w:rFonts w:hint="eastAsia" w:ascii="方正仿宋_GB2312" w:hAnsi="方正仿宋_GB2312" w:eastAsia="方正仿宋_GB2312" w:cs="方正仿宋_GB2312"/>
                <w:sz w:val="30"/>
                <w:szCs w:val="30"/>
                <w:lang w:val="en-US" w:eastAsia="zh-CN"/>
              </w:rPr>
              <w:t>无问题</w:t>
            </w:r>
          </w:p>
        </w:tc>
      </w:tr>
      <w:tr w14:paraId="717053D2">
        <w:tblPrEx>
          <w:tblCellMar>
            <w:top w:w="0" w:type="dxa"/>
            <w:left w:w="108" w:type="dxa"/>
            <w:bottom w:w="0" w:type="dxa"/>
            <w:right w:w="108" w:type="dxa"/>
          </w:tblCellMar>
        </w:tblPrEx>
        <w:trPr>
          <w:trHeight w:val="2434" w:hRule="atLeast"/>
          <w:jc w:val="center"/>
        </w:trPr>
        <w:tc>
          <w:tcPr>
            <w:tcW w:w="2237" w:type="dxa"/>
            <w:tcBorders>
              <w:top w:val="single" w:color="000000" w:sz="4" w:space="0"/>
              <w:left w:val="single" w:color="000000" w:sz="4" w:space="0"/>
              <w:bottom w:val="single" w:color="000000" w:sz="4" w:space="0"/>
              <w:right w:val="single" w:color="000000" w:sz="4" w:space="0"/>
            </w:tcBorders>
            <w:noWrap/>
            <w:vAlign w:val="center"/>
          </w:tcPr>
          <w:p w14:paraId="5F5C7D46">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资金管理存在的问题</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1108A4F3">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2</w:t>
            </w:r>
          </w:p>
        </w:tc>
        <w:tc>
          <w:tcPr>
            <w:tcW w:w="1560" w:type="dxa"/>
            <w:vMerge w:val="continue"/>
            <w:tcBorders>
              <w:left w:val="single" w:color="000000" w:sz="4" w:space="0"/>
              <w:right w:val="single" w:color="000000" w:sz="4" w:space="0"/>
            </w:tcBorders>
            <w:noWrap/>
            <w:vAlign w:val="center"/>
          </w:tcPr>
          <w:p w14:paraId="0EF50FA0">
            <w:pPr>
              <w:spacing w:line="420" w:lineRule="exact"/>
              <w:rPr>
                <w:rFonts w:hint="eastAsia" w:ascii="方正仿宋_GB2312" w:hAnsi="方正仿宋_GB2312" w:eastAsia="方正仿宋_GB2312" w:cs="方正仿宋_GB2312"/>
                <w:color w:val="000000"/>
                <w:sz w:val="24"/>
                <w:szCs w:val="24"/>
              </w:rPr>
            </w:pPr>
          </w:p>
        </w:tc>
        <w:tc>
          <w:tcPr>
            <w:tcW w:w="4344" w:type="dxa"/>
            <w:tcBorders>
              <w:top w:val="single" w:color="000000" w:sz="4" w:space="0"/>
              <w:left w:val="single" w:color="000000" w:sz="4" w:space="0"/>
              <w:bottom w:val="single" w:color="000000" w:sz="4" w:space="0"/>
              <w:right w:val="single" w:color="000000" w:sz="4" w:space="0"/>
            </w:tcBorders>
            <w:noWrap/>
            <w:vAlign w:val="center"/>
          </w:tcPr>
          <w:p w14:paraId="3A7A7DDF">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2024年度财政库款保障不足，导致当年审核通过的高校毕业生补贴未能及时兑付，2025年启动跨年支付，资金拨付出现跨年度滞后；项目预算执行虽整体达标，但受资金到位延迟影响，拨付进度滞后于正常工作节奏。</w:t>
            </w:r>
          </w:p>
        </w:tc>
      </w:tr>
      <w:tr w14:paraId="3BC9DDDE">
        <w:tblPrEx>
          <w:tblCellMar>
            <w:top w:w="0" w:type="dxa"/>
            <w:left w:w="108" w:type="dxa"/>
            <w:bottom w:w="0" w:type="dxa"/>
            <w:right w:w="108" w:type="dxa"/>
          </w:tblCellMar>
        </w:tblPrEx>
        <w:trPr>
          <w:trHeight w:val="742" w:hRule="atLeast"/>
          <w:jc w:val="center"/>
        </w:trPr>
        <w:tc>
          <w:tcPr>
            <w:tcW w:w="2237" w:type="dxa"/>
            <w:tcBorders>
              <w:top w:val="single" w:color="000000" w:sz="4" w:space="0"/>
              <w:left w:val="single" w:color="000000" w:sz="4" w:space="0"/>
              <w:bottom w:val="single" w:color="000000" w:sz="4" w:space="0"/>
              <w:right w:val="single" w:color="000000" w:sz="4" w:space="0"/>
            </w:tcBorders>
            <w:noWrap/>
            <w:vAlign w:val="center"/>
          </w:tcPr>
          <w:p w14:paraId="664D23A0">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业务管理存在的问题</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6C547A5B">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3</w:t>
            </w:r>
          </w:p>
        </w:tc>
        <w:tc>
          <w:tcPr>
            <w:tcW w:w="1560" w:type="dxa"/>
            <w:vMerge w:val="continue"/>
            <w:tcBorders>
              <w:left w:val="single" w:color="000000" w:sz="4" w:space="0"/>
              <w:right w:val="single" w:color="000000" w:sz="4" w:space="0"/>
            </w:tcBorders>
            <w:noWrap/>
            <w:vAlign w:val="center"/>
          </w:tcPr>
          <w:p w14:paraId="4BB970AA">
            <w:pPr>
              <w:spacing w:line="420" w:lineRule="exact"/>
              <w:rPr>
                <w:rFonts w:hint="eastAsia" w:ascii="方正仿宋_GB2312" w:hAnsi="方正仿宋_GB2312" w:eastAsia="方正仿宋_GB2312" w:cs="方正仿宋_GB2312"/>
                <w:color w:val="000000"/>
                <w:sz w:val="24"/>
                <w:szCs w:val="24"/>
              </w:rPr>
            </w:pPr>
          </w:p>
        </w:tc>
        <w:tc>
          <w:tcPr>
            <w:tcW w:w="4344" w:type="dxa"/>
            <w:tcBorders>
              <w:top w:val="single" w:color="000000" w:sz="4" w:space="0"/>
              <w:left w:val="single" w:color="000000" w:sz="4" w:space="0"/>
              <w:bottom w:val="single" w:color="000000" w:sz="4" w:space="0"/>
              <w:right w:val="single" w:color="000000" w:sz="4" w:space="0"/>
            </w:tcBorders>
            <w:noWrap/>
            <w:vAlign w:val="center"/>
          </w:tcPr>
          <w:p w14:paraId="42DA33EE">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val="en-US" w:eastAsia="zh-CN"/>
              </w:rPr>
            </w:pPr>
            <w:r>
              <w:rPr>
                <w:rFonts w:hint="eastAsia" w:ascii="方正仿宋_GB2312" w:hAnsi="方正仿宋_GB2312" w:eastAsia="方正仿宋_GB2312" w:cs="方正仿宋_GB2312"/>
                <w:color w:val="000000"/>
                <w:kern w:val="0"/>
                <w:sz w:val="24"/>
                <w:szCs w:val="24"/>
              </w:rPr>
              <w:t>应对财政资金保障波动的预判机制和应急措施不完善，面对库款不足导致的兑付延迟，缺乏系统性应对方案，与财政部门沟通协调的针对性和效率有待提升。</w:t>
            </w:r>
          </w:p>
        </w:tc>
      </w:tr>
      <w:tr w14:paraId="26511E08">
        <w:tblPrEx>
          <w:tblCellMar>
            <w:top w:w="0" w:type="dxa"/>
            <w:left w:w="108" w:type="dxa"/>
            <w:bottom w:w="0" w:type="dxa"/>
            <w:right w:w="108" w:type="dxa"/>
          </w:tblCellMar>
        </w:tblPrEx>
        <w:trPr>
          <w:trHeight w:val="1786" w:hRule="atLeast"/>
          <w:jc w:val="center"/>
        </w:trPr>
        <w:tc>
          <w:tcPr>
            <w:tcW w:w="2237" w:type="dxa"/>
            <w:tcBorders>
              <w:top w:val="single" w:color="000000" w:sz="4" w:space="0"/>
              <w:left w:val="single" w:color="000000" w:sz="4" w:space="0"/>
              <w:bottom w:val="single" w:color="000000" w:sz="4" w:space="0"/>
              <w:right w:val="single" w:color="000000" w:sz="4" w:space="0"/>
            </w:tcBorders>
            <w:noWrap/>
            <w:vAlign w:val="center"/>
          </w:tcPr>
          <w:p w14:paraId="26DE3522">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项目产出存在的问题</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7A0658B1">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4</w:t>
            </w:r>
          </w:p>
        </w:tc>
        <w:tc>
          <w:tcPr>
            <w:tcW w:w="1560" w:type="dxa"/>
            <w:vMerge w:val="continue"/>
            <w:tcBorders>
              <w:left w:val="single" w:color="000000" w:sz="4" w:space="0"/>
              <w:right w:val="single" w:color="000000" w:sz="4" w:space="0"/>
            </w:tcBorders>
            <w:noWrap/>
            <w:vAlign w:val="center"/>
          </w:tcPr>
          <w:p w14:paraId="5421FCBD">
            <w:pPr>
              <w:spacing w:line="420" w:lineRule="exact"/>
              <w:rPr>
                <w:rFonts w:hint="eastAsia" w:ascii="方正仿宋_GB2312" w:hAnsi="方正仿宋_GB2312" w:eastAsia="方正仿宋_GB2312" w:cs="方正仿宋_GB2312"/>
                <w:color w:val="000000"/>
                <w:sz w:val="24"/>
                <w:szCs w:val="24"/>
              </w:rPr>
            </w:pPr>
          </w:p>
        </w:tc>
        <w:tc>
          <w:tcPr>
            <w:tcW w:w="4344" w:type="dxa"/>
            <w:tcBorders>
              <w:top w:val="single" w:color="000000" w:sz="4" w:space="0"/>
              <w:left w:val="single" w:color="000000" w:sz="4" w:space="0"/>
              <w:bottom w:val="single" w:color="000000" w:sz="4" w:space="0"/>
              <w:right w:val="single" w:color="000000" w:sz="4" w:space="0"/>
            </w:tcBorders>
            <w:noWrap/>
            <w:vAlign w:val="center"/>
          </w:tcPr>
          <w:p w14:paraId="0E1FA0E3">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val="en-US" w:eastAsia="zh-CN"/>
              </w:rPr>
            </w:pPr>
            <w:r>
              <w:rPr>
                <w:rFonts w:hint="eastAsia" w:ascii="方正仿宋_GB2312" w:hAnsi="方正仿宋_GB2312" w:eastAsia="方正仿宋_GB2312" w:cs="方正仿宋_GB2312"/>
                <w:color w:val="000000"/>
                <w:kern w:val="0"/>
                <w:sz w:val="24"/>
                <w:szCs w:val="24"/>
              </w:rPr>
              <w:t>因资金跨年度拨付，项目产出时效存在偏差，政策红利落地速度延缓，未能在审核通过当年实现补贴兑付，一定程度上影响了政策实施的及时性。</w:t>
            </w:r>
          </w:p>
        </w:tc>
      </w:tr>
      <w:tr w14:paraId="48FC2ED5">
        <w:tblPrEx>
          <w:tblCellMar>
            <w:top w:w="0" w:type="dxa"/>
            <w:left w:w="108" w:type="dxa"/>
            <w:bottom w:w="0" w:type="dxa"/>
            <w:right w:w="108" w:type="dxa"/>
          </w:tblCellMar>
        </w:tblPrEx>
        <w:trPr>
          <w:trHeight w:val="634" w:hRule="atLeast"/>
          <w:jc w:val="center"/>
        </w:trPr>
        <w:tc>
          <w:tcPr>
            <w:tcW w:w="2237" w:type="dxa"/>
            <w:tcBorders>
              <w:top w:val="single" w:color="000000" w:sz="4" w:space="0"/>
              <w:left w:val="single" w:color="000000" w:sz="4" w:space="0"/>
              <w:bottom w:val="single" w:color="000000" w:sz="4" w:space="0"/>
              <w:right w:val="single" w:color="000000" w:sz="4" w:space="0"/>
            </w:tcBorders>
            <w:noWrap/>
            <w:vAlign w:val="center"/>
          </w:tcPr>
          <w:p w14:paraId="27AFE62E">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项目效益存在的问题</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60086E2B">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5</w:t>
            </w:r>
          </w:p>
        </w:tc>
        <w:tc>
          <w:tcPr>
            <w:tcW w:w="1560" w:type="dxa"/>
            <w:vMerge w:val="continue"/>
            <w:tcBorders>
              <w:left w:val="single" w:color="000000" w:sz="4" w:space="0"/>
              <w:right w:val="single" w:color="000000" w:sz="4" w:space="0"/>
            </w:tcBorders>
            <w:noWrap/>
            <w:vAlign w:val="center"/>
          </w:tcPr>
          <w:p w14:paraId="73717401">
            <w:pPr>
              <w:spacing w:line="420" w:lineRule="exact"/>
              <w:rPr>
                <w:rFonts w:hint="eastAsia" w:ascii="方正仿宋_GB2312" w:hAnsi="方正仿宋_GB2312" w:eastAsia="方正仿宋_GB2312" w:cs="方正仿宋_GB2312"/>
                <w:color w:val="000000"/>
                <w:sz w:val="24"/>
                <w:szCs w:val="24"/>
              </w:rPr>
            </w:pPr>
          </w:p>
        </w:tc>
        <w:tc>
          <w:tcPr>
            <w:tcW w:w="4344" w:type="dxa"/>
            <w:tcBorders>
              <w:top w:val="single" w:color="000000" w:sz="4" w:space="0"/>
              <w:left w:val="single" w:color="000000" w:sz="4" w:space="0"/>
              <w:bottom w:val="single" w:color="000000" w:sz="4" w:space="0"/>
              <w:right w:val="single" w:color="000000" w:sz="4" w:space="0"/>
            </w:tcBorders>
            <w:noWrap/>
            <w:vAlign w:val="center"/>
          </w:tcPr>
          <w:p w14:paraId="19966184">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val="en-US" w:eastAsia="zh-CN"/>
              </w:rPr>
            </w:pPr>
            <w:r>
              <w:rPr>
                <w:rFonts w:hint="eastAsia" w:ascii="方正仿宋_GB2312" w:hAnsi="方正仿宋_GB2312" w:eastAsia="方正仿宋_GB2312" w:cs="方正仿宋_GB2312"/>
                <w:color w:val="000000"/>
                <w:kern w:val="0"/>
                <w:sz w:val="24"/>
                <w:szCs w:val="24"/>
                <w:lang w:val="en-US" w:eastAsia="zh-CN"/>
              </w:rPr>
              <w:t>无问题</w:t>
            </w:r>
          </w:p>
        </w:tc>
      </w:tr>
      <w:tr w14:paraId="3467C98C">
        <w:tblPrEx>
          <w:tblCellMar>
            <w:top w:w="0" w:type="dxa"/>
            <w:left w:w="108" w:type="dxa"/>
            <w:bottom w:w="0" w:type="dxa"/>
            <w:right w:w="108" w:type="dxa"/>
          </w:tblCellMar>
        </w:tblPrEx>
        <w:trPr>
          <w:trHeight w:val="612" w:hRule="atLeast"/>
          <w:jc w:val="center"/>
        </w:trPr>
        <w:tc>
          <w:tcPr>
            <w:tcW w:w="2237" w:type="dxa"/>
            <w:tcBorders>
              <w:top w:val="single" w:color="000000" w:sz="4" w:space="0"/>
              <w:left w:val="single" w:color="000000" w:sz="4" w:space="0"/>
              <w:bottom w:val="nil"/>
              <w:right w:val="single" w:color="000000" w:sz="4" w:space="0"/>
            </w:tcBorders>
            <w:noWrap/>
            <w:vAlign w:val="center"/>
          </w:tcPr>
          <w:p w14:paraId="24C7F233">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其他问题</w:t>
            </w:r>
          </w:p>
        </w:tc>
        <w:tc>
          <w:tcPr>
            <w:tcW w:w="1092" w:type="dxa"/>
            <w:tcBorders>
              <w:top w:val="single" w:color="000000" w:sz="4" w:space="0"/>
              <w:left w:val="single" w:color="000000" w:sz="4" w:space="0"/>
              <w:bottom w:val="single" w:color="000000" w:sz="4" w:space="0"/>
              <w:right w:val="single" w:color="000000" w:sz="4" w:space="0"/>
            </w:tcBorders>
            <w:noWrap/>
            <w:vAlign w:val="center"/>
          </w:tcPr>
          <w:p w14:paraId="0FE0F1E1">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6</w:t>
            </w:r>
          </w:p>
        </w:tc>
        <w:tc>
          <w:tcPr>
            <w:tcW w:w="1560" w:type="dxa"/>
            <w:vMerge w:val="continue"/>
            <w:tcBorders>
              <w:left w:val="single" w:color="000000" w:sz="4" w:space="0"/>
              <w:bottom w:val="single" w:color="000000" w:sz="4" w:space="0"/>
              <w:right w:val="single" w:color="000000" w:sz="4" w:space="0"/>
            </w:tcBorders>
            <w:noWrap/>
            <w:vAlign w:val="center"/>
          </w:tcPr>
          <w:p w14:paraId="37197462">
            <w:pPr>
              <w:spacing w:line="420" w:lineRule="exact"/>
              <w:rPr>
                <w:rFonts w:hint="eastAsia" w:ascii="方正仿宋_GB2312" w:hAnsi="方正仿宋_GB2312" w:eastAsia="方正仿宋_GB2312" w:cs="方正仿宋_GB2312"/>
                <w:color w:val="000000"/>
                <w:sz w:val="24"/>
                <w:szCs w:val="24"/>
              </w:rPr>
            </w:pPr>
          </w:p>
        </w:tc>
        <w:tc>
          <w:tcPr>
            <w:tcW w:w="4344" w:type="dxa"/>
            <w:tcBorders>
              <w:top w:val="single" w:color="000000" w:sz="4" w:space="0"/>
              <w:left w:val="single" w:color="000000" w:sz="4" w:space="0"/>
              <w:bottom w:val="single" w:color="000000" w:sz="4" w:space="0"/>
              <w:right w:val="single" w:color="000000" w:sz="4" w:space="0"/>
            </w:tcBorders>
            <w:noWrap/>
            <w:vAlign w:val="center"/>
          </w:tcPr>
          <w:p w14:paraId="50978013">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val="en-US" w:eastAsia="zh-CN"/>
              </w:rPr>
            </w:pPr>
            <w:r>
              <w:rPr>
                <w:rFonts w:hint="eastAsia" w:ascii="方正仿宋_GB2312" w:hAnsi="方正仿宋_GB2312" w:eastAsia="方正仿宋_GB2312" w:cs="方正仿宋_GB2312"/>
                <w:color w:val="000000"/>
                <w:kern w:val="0"/>
                <w:sz w:val="24"/>
                <w:szCs w:val="24"/>
                <w:lang w:val="en-US" w:eastAsia="zh-CN"/>
              </w:rPr>
              <w:t>无问题</w:t>
            </w:r>
          </w:p>
        </w:tc>
      </w:tr>
      <w:tr w14:paraId="5027C5D8">
        <w:tblPrEx>
          <w:tblCellMar>
            <w:top w:w="0" w:type="dxa"/>
            <w:left w:w="108" w:type="dxa"/>
            <w:bottom w:w="0" w:type="dxa"/>
            <w:right w:w="108" w:type="dxa"/>
          </w:tblCellMar>
        </w:tblPrEx>
        <w:trPr>
          <w:trHeight w:val="886" w:hRule="exact"/>
          <w:jc w:val="center"/>
        </w:trPr>
        <w:tc>
          <w:tcPr>
            <w:tcW w:w="9233" w:type="dxa"/>
            <w:gridSpan w:val="4"/>
            <w:tcBorders>
              <w:top w:val="single" w:color="000000" w:sz="4" w:space="0"/>
              <w:left w:val="single" w:color="000000" w:sz="4" w:space="0"/>
              <w:bottom w:val="single" w:color="000000" w:sz="4" w:space="0"/>
              <w:right w:val="single" w:color="000000" w:sz="4" w:space="0"/>
            </w:tcBorders>
            <w:noWrap/>
            <w:vAlign w:val="top"/>
          </w:tcPr>
          <w:p w14:paraId="4BBEAC0D">
            <w:pPr>
              <w:spacing w:line="420" w:lineRule="exact"/>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备注</w:t>
            </w:r>
            <w:r>
              <w:rPr>
                <w:rFonts w:hint="eastAsia" w:ascii="方正仿宋_GB2312" w:hAnsi="方正仿宋_GB2312" w:eastAsia="方正仿宋_GB2312" w:cs="方正仿宋_GB2312"/>
                <w:color w:val="000000"/>
                <w:kern w:val="0"/>
                <w:sz w:val="24"/>
                <w:szCs w:val="24"/>
                <w:lang w:eastAsia="zh-CN"/>
              </w:rPr>
              <w:t>：</w:t>
            </w:r>
          </w:p>
          <w:p w14:paraId="7454E763">
            <w:pPr>
              <w:spacing w:line="420" w:lineRule="exact"/>
              <w:rPr>
                <w:rFonts w:hint="eastAsia" w:ascii="方正仿宋_GB2312" w:hAnsi="方正仿宋_GB2312" w:eastAsia="方正仿宋_GB2312" w:cs="方正仿宋_GB2312"/>
                <w:color w:val="000000"/>
                <w:kern w:val="0"/>
                <w:sz w:val="24"/>
                <w:szCs w:val="24"/>
              </w:rPr>
            </w:pPr>
          </w:p>
        </w:tc>
      </w:tr>
    </w:tbl>
    <w:p w14:paraId="201EE2F0">
      <w:pPr>
        <w:spacing w:line="300" w:lineRule="exact"/>
        <w:ind w:left="0" w:leftChars="0" w:right="0" w:rightChars="0" w:firstLine="0" w:firstLineChars="0"/>
        <w:jc w:val="both"/>
        <w:rPr>
          <w:rFonts w:hint="eastAsia" w:ascii="方正仿宋_GB2312" w:hAnsi="方正仿宋_GB2312" w:eastAsia="方正仿宋_GB2312" w:cs="方正仿宋_GB2312"/>
          <w:sz w:val="24"/>
          <w:szCs w:val="24"/>
        </w:rPr>
      </w:pPr>
    </w:p>
    <w:sectPr>
      <w:headerReference r:id="rId3" w:type="default"/>
      <w:footerReference r:id="rId4" w:type="default"/>
      <w:footerReference r:id="rId5" w:type="even"/>
      <w:pgSz w:w="11906" w:h="16838"/>
      <w:pgMar w:top="1984" w:right="1474" w:bottom="181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98BBC4-EC11-43C4-9D55-B631976BCA0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7836A3A2-5CD0-4CF0-ADB6-04D255A46345}"/>
  </w:font>
  <w:font w:name="Wingdings 2">
    <w:panose1 w:val="05020102010507070707"/>
    <w:charset w:val="00"/>
    <w:family w:val="auto"/>
    <w:pitch w:val="default"/>
    <w:sig w:usb0="00000000" w:usb1="00000000" w:usb2="00000000" w:usb3="00000000" w:csb0="80000000" w:csb1="00000000"/>
    <w:embedRegular r:id="rId3" w:fontKey="{C1895F03-8F72-4103-8BC4-372F3DB73499}"/>
  </w:font>
  <w:font w:name="仿宋_GB2312">
    <w:panose1 w:val="02010609030101010101"/>
    <w:charset w:val="86"/>
    <w:family w:val="modern"/>
    <w:pitch w:val="default"/>
    <w:sig w:usb0="00000001" w:usb1="080E0000" w:usb2="00000000" w:usb3="00000000" w:csb0="00040000" w:csb1="00000000"/>
    <w:embedRegular r:id="rId4" w:fontKey="{ABFE9253-5757-4691-BC37-1A70F5C42442}"/>
  </w:font>
  <w:font w:name="方正楷体_GB2312">
    <w:panose1 w:val="02000000000000000000"/>
    <w:charset w:val="86"/>
    <w:family w:val="auto"/>
    <w:pitch w:val="default"/>
    <w:sig w:usb0="A00002BF" w:usb1="184F6CFA" w:usb2="00000012" w:usb3="00000000" w:csb0="00040001" w:csb1="00000000"/>
    <w:embedRegular r:id="rId5" w:fontKey="{7EDCAF4C-F7D6-44ED-A379-0684346CEF38}"/>
  </w:font>
  <w:font w:name="方正仿宋_GB2312">
    <w:panose1 w:val="02000000000000000000"/>
    <w:charset w:val="86"/>
    <w:family w:val="auto"/>
    <w:pitch w:val="default"/>
    <w:sig w:usb0="A00002BF" w:usb1="184F6CFA" w:usb2="00000012" w:usb3="00000000" w:csb0="00040001" w:csb1="00000000"/>
    <w:embedRegular r:id="rId6" w:fontKey="{90E45133-FAC0-4FB1-B168-77D3FDA16F98}"/>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7E61F">
    <w:pPr>
      <w:pStyle w:val="7"/>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p>
  <w:p w14:paraId="2E94773E">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9C2AA">
    <w:pPr>
      <w:pStyle w:val="7"/>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5656A81C">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E10CD">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73AF1"/>
    <w:rsid w:val="07C02B9C"/>
    <w:rsid w:val="1025011E"/>
    <w:rsid w:val="14DD6852"/>
    <w:rsid w:val="162C145E"/>
    <w:rsid w:val="17413808"/>
    <w:rsid w:val="1884396E"/>
    <w:rsid w:val="19E90626"/>
    <w:rsid w:val="1EDB5F9F"/>
    <w:rsid w:val="1F1541C9"/>
    <w:rsid w:val="2B8F19DA"/>
    <w:rsid w:val="30CB1766"/>
    <w:rsid w:val="36B22973"/>
    <w:rsid w:val="3C3278DC"/>
    <w:rsid w:val="3C4A342B"/>
    <w:rsid w:val="4E1F271F"/>
    <w:rsid w:val="5258222B"/>
    <w:rsid w:val="5732516C"/>
    <w:rsid w:val="646F4C26"/>
    <w:rsid w:val="67B73AF1"/>
    <w:rsid w:val="6DDE0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line="560" w:lineRule="exact"/>
      <w:ind w:firstLine="640"/>
      <w:outlineLvl w:val="1"/>
    </w:pPr>
    <w:rPr>
      <w:rFonts w:eastAsia="黑体"/>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style>
  <w:style w:type="paragraph" w:styleId="6">
    <w:name w:val="Body Text"/>
    <w:basedOn w:val="1"/>
    <w:qFormat/>
    <w:uiPriority w:val="0"/>
    <w:rPr>
      <w:rFonts w:ascii="Calibri" w:hAnsi="Calibri" w:eastAsia="宋体" w:cs="Times New Roman"/>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6"/>
    <w:qFormat/>
    <w:uiPriority w:val="0"/>
    <w:pPr>
      <w:snapToGrid/>
      <w:spacing w:line="520" w:lineRule="exact"/>
      <w:ind w:firstLine="0" w:firstLineChars="0"/>
      <w:jc w:val="center"/>
    </w:pPr>
    <w:rPr>
      <w:rFonts w:ascii="Times New Roman" w:hAnsi="Times New Roman"/>
      <w:sz w:val="24"/>
      <w:szCs w:val="20"/>
    </w:rPr>
  </w:style>
  <w:style w:type="character" w:styleId="13">
    <w:name w:val="Strong"/>
    <w:basedOn w:val="12"/>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42302528-ef2e-4e45-9ca9-809fef1c4536</errorID>
      <errorWord>、</errorWord>
      <group>L1_Punc</group>
      <groupName>标点问题</groupName>
      <ability>L2_Punc</ability>
      <abilityName>标点符号检查</abilityName>
      <candidateList>
        <item>，</item>
      </candidateList>
      <explain/>
      <paraID>54E0ECEA</paraID>
      <start>30</start>
      <end>31</end>
      <status>ignored</status>
      <modifiedWord/>
      <trackRevisions>false</trackRevisions>
    </reviewItem>
    <reviewItem>
      <errorID>dafa5d6f-4b59-4700-8c16-10b0425a3024</errorID>
      <errorWord>、</errorWord>
      <group>L1_Punc</group>
      <groupName>标点问题</groupName>
      <ability>L2_Punc</ability>
      <abilityName>标点符号检查</abilityName>
      <candidateList>
        <item>，</item>
      </candidateList>
      <explain/>
      <paraID>54E0ECEA</paraID>
      <start>38</start>
      <end>39</end>
      <status>ignored</status>
      <modifiedWord/>
      <trackRevisions>false</trackRevisions>
    </reviewItem>
    <reviewItem>
      <errorID>b99a0a76-23fa-4c14-af43-20574df6ecca</errorID>
      <errorWord>、</errorWord>
      <group>L1_Punc</group>
      <groupName>标点问题</groupName>
      <ability>L2_Punc</ability>
      <abilityName>标点符号检查</abilityName>
      <candidateList>
        <item>，</item>
      </candidateList>
      <explain/>
      <paraID>45005F53</paraID>
      <start>68</start>
      <end>69</end>
      <status>ignored</status>
      <modifiedWord/>
      <trackRevisions>false</trackRevisions>
    </reviewItem>
    <reviewItem>
      <errorID>29975e35-298a-469e-a4b7-7ee2d9b20d0c</errorID>
      <errorWord>虽</errorWord>
      <group>L1_Word</group>
      <groupName>字词问题</groupName>
      <ability>L2_Typo</ability>
      <abilityName>字词错误</abilityName>
      <candidateList>
        <item>虽然</item>
      </candidateList>
      <explain/>
      <paraID>33B22330</paraID>
      <start>96</start>
      <end>98</end>
      <status>modified</status>
      <modifiedWord>虽然</modifiedWord>
      <trackRevisions>false</trackRevisions>
    </reviewItem>
  </reviewItems>
  <config/>
</contractReview>
</file>

<file path=customXml/itemProps1.xml><?xml version="1.0" encoding="utf-8"?>
<ds:datastoreItem xmlns:ds="http://schemas.openxmlformats.org/officeDocument/2006/customXml" ds:itemID="{205bcd4f-bf05-4081-a544-71317854a960}">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14</Pages>
  <Words>7200</Words>
  <Characters>7556</Characters>
  <Lines>0</Lines>
  <Paragraphs>0</Paragraphs>
  <TotalTime>37</TotalTime>
  <ScaleCrop>false</ScaleCrop>
  <LinksUpToDate>false</LinksUpToDate>
  <CharactersWithSpaces>7557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2026-02-06T01:00:00Z</dcterms:created>
  <dc:creator>尤粉华</dc:creator>
  <cp:lastModifiedBy>凡</cp:lastModifiedBy>
  <cp:lastPrinted>2026-03-30T08:27:00Z</cp:lastPrinted>
  <dcterms:modified xsi:type="dcterms:W3CDTF">2026-07-23T06:35:01Z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DAE15F0F04C940A58CD8D731DB0EFFCF_13</vt:lpwstr>
  </property>
  <property fmtid="{D5CDD505-2E9C-101B-9397-08002B2CF9AE}" pid="4" name="KSOTemplateDocerSaveRecord">
    <vt:lpwstr>eyJoZGlkIjoiNzhmN2E1M2VjZTEyNWQ1NjE5ZDA4OGM1ZDdhNGEwZGQiLCJ1c2VySWQiOiIzOTM1OTAzNDMifQ==</vt:lpwstr>
  </property>
</Properties>
</file>