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137742">
      <w:pPr>
        <w:snapToGrid w:val="0"/>
        <w:spacing w:line="570" w:lineRule="exact"/>
        <w:jc w:val="both"/>
        <w:rPr>
          <w:rFonts w:hint="default" w:ascii="仿宋_GB2312" w:hAnsi="仿宋_GB2312" w:eastAsia="仿宋_GB2312" w:cs="仿宋_GB2312"/>
          <w:spacing w:val="14"/>
          <w:sz w:val="32"/>
          <w:szCs w:val="32"/>
          <w:lang w:val="en-US" w:eastAsia="zh-CN"/>
        </w:rPr>
      </w:pPr>
      <w:r>
        <w:rPr>
          <w:rFonts w:hint="eastAsia" w:ascii="仿宋_GB2312" w:hAnsi="仿宋_GB2312" w:eastAsia="仿宋_GB2312" w:cs="仿宋_GB2312"/>
          <w:spacing w:val="14"/>
          <w:sz w:val="32"/>
          <w:szCs w:val="32"/>
          <w:lang w:val="en-US" w:eastAsia="zh-CN"/>
        </w:rPr>
        <w:t>附件4-3</w:t>
      </w:r>
    </w:p>
    <w:p w14:paraId="5658FC8E">
      <w:pPr>
        <w:snapToGrid w:val="0"/>
        <w:spacing w:line="570" w:lineRule="exact"/>
        <w:jc w:val="center"/>
        <w:rPr>
          <w:rFonts w:hint="eastAsia" w:ascii="方正小标宋简体" w:hAnsi="Times New Roman" w:eastAsia="方正小标宋简体" w:cs="Times New Roman"/>
          <w:sz w:val="36"/>
          <w:szCs w:val="36"/>
          <w:lang w:val="en-US" w:eastAsia="zh-CN"/>
        </w:rPr>
      </w:pPr>
      <w:r>
        <w:rPr>
          <w:rFonts w:hint="eastAsia" w:ascii="方正小标宋简体" w:hAnsi="Times New Roman" w:eastAsia="方正小标宋简体" w:cs="Times New Roman"/>
          <w:sz w:val="36"/>
          <w:szCs w:val="36"/>
        </w:rPr>
        <w:t>昆明市五华区卫生健康局</w:t>
      </w:r>
      <w:r>
        <w:rPr>
          <w:rFonts w:hint="eastAsia" w:ascii="方正小标宋简体" w:hAnsi="Times New Roman" w:eastAsia="方正小标宋简体" w:cs="Times New Roman"/>
          <w:sz w:val="36"/>
          <w:szCs w:val="36"/>
          <w:lang w:eastAsia="zh-CN"/>
        </w:rPr>
        <w:t>（</w:t>
      </w:r>
      <w:r>
        <w:rPr>
          <w:rFonts w:hint="eastAsia" w:ascii="方正小标宋简体" w:hAnsi="Times New Roman" w:eastAsia="方正小标宋简体" w:cs="Times New Roman"/>
          <w:sz w:val="36"/>
          <w:szCs w:val="36"/>
          <w:lang w:val="en-US" w:eastAsia="zh-CN"/>
        </w:rPr>
        <w:t>本级</w:t>
      </w:r>
      <w:r>
        <w:rPr>
          <w:rFonts w:hint="eastAsia" w:ascii="方正小标宋简体" w:hAnsi="Times New Roman" w:eastAsia="方正小标宋简体" w:cs="Times New Roman"/>
          <w:sz w:val="36"/>
          <w:szCs w:val="36"/>
          <w:lang w:eastAsia="zh-CN"/>
        </w:rPr>
        <w:t>）</w:t>
      </w:r>
    </w:p>
    <w:p w14:paraId="3847ED88">
      <w:pPr>
        <w:snapToGrid w:val="0"/>
        <w:spacing w:line="570" w:lineRule="exact"/>
        <w:jc w:val="center"/>
        <w:rPr>
          <w:rFonts w:hint="eastAsia" w:ascii="方正小标宋简体" w:hAnsi="Times New Roman" w:eastAsia="方正小标宋简体" w:cs="Times New Roman"/>
          <w:sz w:val="36"/>
          <w:szCs w:val="36"/>
          <w:lang w:val="en-US" w:eastAsia="zh-CN"/>
        </w:rPr>
      </w:pPr>
      <w:r>
        <w:rPr>
          <w:rFonts w:hint="eastAsia" w:ascii="方正小标宋简体" w:hAnsi="Times New Roman" w:eastAsia="方正小标宋简体" w:cs="Times New Roman"/>
          <w:sz w:val="36"/>
          <w:szCs w:val="36"/>
          <w:lang w:val="en-US" w:eastAsia="zh-CN"/>
        </w:rPr>
        <w:t>2026</w:t>
      </w:r>
      <w:r>
        <w:rPr>
          <w:rFonts w:hint="eastAsia" w:ascii="方正小标宋简体" w:hAnsi="Times New Roman" w:eastAsia="方正小标宋简体" w:cs="Times New Roman"/>
          <w:sz w:val="36"/>
          <w:szCs w:val="36"/>
        </w:rPr>
        <w:t>年基本公共卫生</w:t>
      </w:r>
      <w:r>
        <w:rPr>
          <w:rFonts w:hint="eastAsia" w:ascii="方正小标宋简体" w:hAnsi="Times New Roman" w:eastAsia="方正小标宋简体" w:cs="Times New Roman"/>
          <w:sz w:val="36"/>
          <w:szCs w:val="36"/>
          <w:lang w:val="en-US" w:eastAsia="zh-CN"/>
        </w:rPr>
        <w:t>服务</w:t>
      </w:r>
      <w:r>
        <w:rPr>
          <w:rFonts w:hint="eastAsia" w:ascii="方正小标宋简体" w:hAnsi="Times New Roman" w:eastAsia="方正小标宋简体" w:cs="Times New Roman"/>
          <w:sz w:val="36"/>
          <w:szCs w:val="36"/>
        </w:rPr>
        <w:t>项目经费</w:t>
      </w:r>
      <w:r>
        <w:rPr>
          <w:rFonts w:hint="eastAsia" w:ascii="方正小标宋简体" w:hAnsi="Times New Roman" w:eastAsia="方正小标宋简体" w:cs="Times New Roman"/>
          <w:sz w:val="36"/>
          <w:szCs w:val="36"/>
          <w:lang w:val="en-US" w:eastAsia="zh-CN"/>
        </w:rPr>
        <w:t>项目</w:t>
      </w:r>
    </w:p>
    <w:p w14:paraId="12B7F9C1">
      <w:pPr>
        <w:snapToGrid w:val="0"/>
        <w:spacing w:line="570" w:lineRule="exact"/>
        <w:jc w:val="center"/>
        <w:rPr>
          <w:rFonts w:hint="eastAsia" w:ascii="方正小标宋简体" w:hAnsi="华文中宋" w:eastAsia="方正小标宋简体"/>
          <w:spacing w:val="14"/>
          <w:sz w:val="44"/>
          <w:szCs w:val="44"/>
        </w:rPr>
      </w:pPr>
    </w:p>
    <w:p w14:paraId="5402894C">
      <w:pPr>
        <w:widowControl/>
        <w:numPr>
          <w:ilvl w:val="0"/>
          <w:numId w:val="1"/>
        </w:numPr>
        <w:ind w:firstLine="600" w:firstLineChars="200"/>
        <w:jc w:val="left"/>
        <w:rPr>
          <w:rFonts w:hint="eastAsia" w:ascii="黑体" w:hAnsi="黑体" w:eastAsia="黑体"/>
          <w:kern w:val="0"/>
          <w:sz w:val="30"/>
          <w:szCs w:val="30"/>
        </w:rPr>
      </w:pPr>
      <w:r>
        <w:rPr>
          <w:rFonts w:hint="eastAsia" w:ascii="黑体" w:hAnsi="黑体" w:eastAsia="黑体"/>
          <w:kern w:val="0"/>
          <w:sz w:val="30"/>
          <w:szCs w:val="30"/>
        </w:rPr>
        <w:t>项目名称</w:t>
      </w:r>
    </w:p>
    <w:p w14:paraId="33E51445">
      <w:pPr>
        <w:keepNext w:val="0"/>
        <w:keepLines w:val="0"/>
        <w:pageBreakBefore w:val="0"/>
        <w:widowControl/>
        <w:kinsoku/>
        <w:wordWrap/>
        <w:overflowPunct/>
        <w:topLinePunct w:val="0"/>
        <w:autoSpaceDE/>
        <w:autoSpaceDN/>
        <w:bidi w:val="0"/>
        <w:adjustRightInd/>
        <w:spacing w:line="582" w:lineRule="exact"/>
        <w:ind w:firstLine="600" w:firstLineChars="200"/>
        <w:jc w:val="both"/>
        <w:textAlignment w:val="auto"/>
        <w:rPr>
          <w:rFonts w:hint="default" w:ascii="Times New Roman" w:hAnsi="Times New Roman" w:eastAsia="仿宋_GB2312" w:cs="Times New Roman"/>
          <w:b w:val="0"/>
          <w:bCs w:val="0"/>
          <w:kern w:val="0"/>
          <w:sz w:val="30"/>
          <w:szCs w:val="30"/>
          <w:lang w:val="en-US" w:eastAsia="zh-CN"/>
        </w:rPr>
      </w:pPr>
      <w:r>
        <w:rPr>
          <w:rFonts w:hint="default" w:ascii="Times New Roman" w:hAnsi="Times New Roman" w:eastAsia="仿宋_GB2312" w:cs="Times New Roman"/>
          <w:b w:val="0"/>
          <w:bCs w:val="0"/>
          <w:kern w:val="0"/>
          <w:sz w:val="30"/>
          <w:szCs w:val="30"/>
        </w:rPr>
        <w:t>基本公共卫生</w:t>
      </w:r>
      <w:r>
        <w:rPr>
          <w:rFonts w:hint="eastAsia" w:ascii="Times New Roman" w:hAnsi="Times New Roman" w:eastAsia="仿宋_GB2312" w:cs="Times New Roman"/>
          <w:b w:val="0"/>
          <w:bCs w:val="0"/>
          <w:kern w:val="0"/>
          <w:sz w:val="30"/>
          <w:szCs w:val="30"/>
          <w:lang w:val="en-US" w:eastAsia="zh-CN"/>
        </w:rPr>
        <w:t>服务</w:t>
      </w:r>
      <w:r>
        <w:rPr>
          <w:rFonts w:hint="default" w:ascii="Times New Roman" w:hAnsi="Times New Roman" w:eastAsia="仿宋_GB2312" w:cs="Times New Roman"/>
          <w:b w:val="0"/>
          <w:bCs w:val="0"/>
          <w:kern w:val="0"/>
          <w:sz w:val="30"/>
          <w:szCs w:val="30"/>
        </w:rPr>
        <w:t>项目经</w:t>
      </w:r>
      <w:r>
        <w:rPr>
          <w:rFonts w:hint="default" w:ascii="Times New Roman" w:hAnsi="Times New Roman" w:eastAsia="仿宋_GB2312" w:cs="Times New Roman"/>
          <w:b w:val="0"/>
          <w:bCs w:val="0"/>
          <w:kern w:val="0"/>
          <w:sz w:val="30"/>
          <w:szCs w:val="30"/>
          <w:lang w:val="en-US" w:eastAsia="zh-CN"/>
        </w:rPr>
        <w:t>费</w:t>
      </w:r>
    </w:p>
    <w:p w14:paraId="2FA0DF52">
      <w:pPr>
        <w:widowControl/>
        <w:numPr>
          <w:ilvl w:val="0"/>
          <w:numId w:val="1"/>
        </w:numPr>
        <w:ind w:firstLine="600" w:firstLineChars="200"/>
        <w:jc w:val="left"/>
        <w:rPr>
          <w:rFonts w:hint="eastAsia" w:ascii="黑体" w:hAnsi="黑体" w:eastAsia="黑体" w:cs="黑体"/>
          <w:kern w:val="0"/>
          <w:sz w:val="30"/>
          <w:szCs w:val="30"/>
        </w:rPr>
      </w:pPr>
      <w:r>
        <w:rPr>
          <w:rFonts w:hint="eastAsia" w:ascii="黑体" w:hAnsi="黑体" w:eastAsia="黑体" w:cs="黑体"/>
          <w:kern w:val="0"/>
          <w:sz w:val="30"/>
          <w:szCs w:val="30"/>
        </w:rPr>
        <w:t>立项依据</w:t>
      </w:r>
    </w:p>
    <w:p w14:paraId="473DD53C">
      <w:pPr>
        <w:keepNext w:val="0"/>
        <w:keepLines w:val="0"/>
        <w:pageBreakBefore w:val="0"/>
        <w:widowControl/>
        <w:kinsoku/>
        <w:wordWrap/>
        <w:overflowPunct/>
        <w:topLinePunct w:val="0"/>
        <w:autoSpaceDE/>
        <w:autoSpaceDN/>
        <w:bidi w:val="0"/>
        <w:adjustRightInd/>
        <w:spacing w:line="582" w:lineRule="exact"/>
        <w:ind w:firstLine="600" w:firstLineChars="200"/>
        <w:jc w:val="both"/>
        <w:textAlignment w:val="auto"/>
        <w:rPr>
          <w:rFonts w:hint="default" w:ascii="Times New Roman" w:hAnsi="Times New Roman" w:eastAsia="仿宋_GB2312" w:cs="Times New Roman"/>
          <w:b w:val="0"/>
          <w:bCs w:val="0"/>
          <w:kern w:val="0"/>
          <w:sz w:val="30"/>
          <w:szCs w:val="30"/>
        </w:rPr>
      </w:pPr>
      <w:r>
        <w:rPr>
          <w:rFonts w:hint="default" w:ascii="Times New Roman" w:hAnsi="Times New Roman" w:eastAsia="仿宋_GB2312" w:cs="Times New Roman"/>
          <w:b w:val="0"/>
          <w:bCs w:val="0"/>
          <w:kern w:val="0"/>
          <w:sz w:val="30"/>
          <w:szCs w:val="30"/>
        </w:rPr>
        <w:t>依据《昆明市卫生健康委员会昆明市财政局关于做好2024年基本公共卫生服务项目工作的通知》</w:t>
      </w:r>
      <w:r>
        <w:rPr>
          <w:rFonts w:hint="default" w:ascii="Times New Roman" w:hAnsi="Times New Roman" w:eastAsia="仿宋_GB2312" w:cs="Times New Roman"/>
          <w:b w:val="0"/>
          <w:bCs w:val="0"/>
          <w:kern w:val="0"/>
          <w:sz w:val="30"/>
          <w:szCs w:val="30"/>
          <w:lang w:eastAsia="zh-CN"/>
        </w:rPr>
        <w:t>（昆卫基层发〔2024〕4号）</w:t>
      </w:r>
      <w:r>
        <w:rPr>
          <w:rFonts w:hint="default" w:ascii="Times New Roman" w:hAnsi="Times New Roman" w:eastAsia="仿宋_GB2312" w:cs="Times New Roman"/>
          <w:b w:val="0"/>
          <w:bCs w:val="0"/>
          <w:kern w:val="0"/>
          <w:sz w:val="30"/>
          <w:szCs w:val="30"/>
        </w:rPr>
        <w:t>。</w:t>
      </w:r>
    </w:p>
    <w:p w14:paraId="3A8ACA5E">
      <w:pPr>
        <w:widowControl/>
        <w:numPr>
          <w:ilvl w:val="0"/>
          <w:numId w:val="1"/>
        </w:numPr>
        <w:ind w:firstLine="600" w:firstLineChars="200"/>
        <w:jc w:val="left"/>
        <w:rPr>
          <w:rFonts w:hint="eastAsia" w:ascii="黑体" w:hAnsi="黑体" w:eastAsia="黑体" w:cs="黑体"/>
          <w:kern w:val="0"/>
          <w:sz w:val="30"/>
          <w:szCs w:val="30"/>
        </w:rPr>
      </w:pPr>
      <w:r>
        <w:rPr>
          <w:rFonts w:hint="eastAsia" w:ascii="黑体" w:hAnsi="黑体" w:eastAsia="黑体" w:cs="黑体"/>
          <w:kern w:val="0"/>
          <w:sz w:val="30"/>
          <w:szCs w:val="30"/>
        </w:rPr>
        <w:t>项目实施单位</w:t>
      </w:r>
    </w:p>
    <w:p w14:paraId="51196F21">
      <w:pPr>
        <w:keepNext w:val="0"/>
        <w:keepLines w:val="0"/>
        <w:pageBreakBefore w:val="0"/>
        <w:widowControl/>
        <w:kinsoku/>
        <w:wordWrap/>
        <w:overflowPunct/>
        <w:topLinePunct w:val="0"/>
        <w:autoSpaceDE/>
        <w:autoSpaceDN/>
        <w:bidi w:val="0"/>
        <w:adjustRightInd/>
        <w:spacing w:line="582" w:lineRule="exact"/>
        <w:ind w:firstLine="600" w:firstLineChars="200"/>
        <w:jc w:val="both"/>
        <w:textAlignment w:val="auto"/>
        <w:rPr>
          <w:rFonts w:hint="default" w:ascii="Times New Roman" w:hAnsi="Times New Roman" w:eastAsia="仿宋_GB2312" w:cs="Times New Roman"/>
          <w:b w:val="0"/>
          <w:bCs w:val="0"/>
          <w:kern w:val="0"/>
          <w:sz w:val="30"/>
          <w:szCs w:val="30"/>
        </w:rPr>
      </w:pPr>
      <w:r>
        <w:rPr>
          <w:rFonts w:hint="default" w:ascii="Times New Roman" w:hAnsi="Times New Roman" w:eastAsia="仿宋_GB2312" w:cs="Times New Roman"/>
          <w:b w:val="0"/>
          <w:bCs w:val="0"/>
          <w:kern w:val="0"/>
          <w:sz w:val="30"/>
          <w:szCs w:val="30"/>
        </w:rPr>
        <w:t>单位名称：昆明市五华区卫生健康局</w:t>
      </w:r>
    </w:p>
    <w:p w14:paraId="0AF3AC55">
      <w:pPr>
        <w:keepNext w:val="0"/>
        <w:keepLines w:val="0"/>
        <w:pageBreakBefore w:val="0"/>
        <w:widowControl/>
        <w:kinsoku/>
        <w:wordWrap/>
        <w:overflowPunct/>
        <w:topLinePunct w:val="0"/>
        <w:autoSpaceDE/>
        <w:autoSpaceDN/>
        <w:bidi w:val="0"/>
        <w:adjustRightInd/>
        <w:spacing w:line="582" w:lineRule="exact"/>
        <w:ind w:firstLine="600" w:firstLineChars="200"/>
        <w:jc w:val="both"/>
        <w:textAlignment w:val="auto"/>
        <w:rPr>
          <w:rFonts w:hint="default" w:ascii="Times New Roman" w:hAnsi="Times New Roman" w:eastAsia="仿宋_GB2312" w:cs="Times New Roman"/>
          <w:b w:val="0"/>
          <w:bCs w:val="0"/>
          <w:kern w:val="0"/>
          <w:sz w:val="30"/>
          <w:szCs w:val="30"/>
        </w:rPr>
      </w:pPr>
      <w:r>
        <w:rPr>
          <w:rFonts w:hint="default" w:ascii="Times New Roman" w:hAnsi="Times New Roman" w:eastAsia="仿宋_GB2312" w:cs="Times New Roman"/>
          <w:b w:val="0"/>
          <w:bCs w:val="0"/>
          <w:kern w:val="0"/>
          <w:sz w:val="30"/>
          <w:szCs w:val="30"/>
        </w:rPr>
        <w:t>组织机构代码：11530102MB0R820125</w:t>
      </w:r>
    </w:p>
    <w:p w14:paraId="02F9964F">
      <w:pPr>
        <w:keepNext w:val="0"/>
        <w:keepLines w:val="0"/>
        <w:pageBreakBefore w:val="0"/>
        <w:widowControl/>
        <w:kinsoku/>
        <w:wordWrap/>
        <w:overflowPunct/>
        <w:topLinePunct w:val="0"/>
        <w:autoSpaceDE/>
        <w:autoSpaceDN/>
        <w:bidi w:val="0"/>
        <w:adjustRightInd/>
        <w:spacing w:line="582" w:lineRule="exact"/>
        <w:ind w:firstLine="600" w:firstLineChars="200"/>
        <w:jc w:val="both"/>
        <w:textAlignment w:val="auto"/>
        <w:rPr>
          <w:rFonts w:hint="default" w:ascii="Times New Roman" w:hAnsi="Times New Roman" w:eastAsia="仿宋_GB2312" w:cs="Times New Roman"/>
          <w:b w:val="0"/>
          <w:bCs w:val="0"/>
          <w:kern w:val="0"/>
          <w:sz w:val="30"/>
          <w:szCs w:val="30"/>
        </w:rPr>
      </w:pPr>
      <w:r>
        <w:rPr>
          <w:rFonts w:hint="default" w:ascii="Times New Roman" w:hAnsi="Times New Roman" w:eastAsia="仿宋_GB2312" w:cs="Times New Roman"/>
          <w:b w:val="0"/>
          <w:bCs w:val="0"/>
          <w:kern w:val="0"/>
          <w:sz w:val="30"/>
          <w:szCs w:val="30"/>
        </w:rPr>
        <w:t>地址：昆明市五华区人民中路66号办公室</w:t>
      </w:r>
    </w:p>
    <w:p w14:paraId="2AEA92EB">
      <w:pPr>
        <w:keepNext w:val="0"/>
        <w:keepLines w:val="0"/>
        <w:pageBreakBefore w:val="0"/>
        <w:widowControl/>
        <w:kinsoku/>
        <w:wordWrap/>
        <w:overflowPunct/>
        <w:topLinePunct w:val="0"/>
        <w:autoSpaceDE/>
        <w:autoSpaceDN/>
        <w:bidi w:val="0"/>
        <w:adjustRightInd/>
        <w:spacing w:line="582" w:lineRule="exact"/>
        <w:ind w:firstLine="600" w:firstLineChars="200"/>
        <w:jc w:val="both"/>
        <w:textAlignment w:val="auto"/>
        <w:rPr>
          <w:rFonts w:hint="default" w:ascii="Times New Roman" w:hAnsi="Times New Roman" w:eastAsia="仿宋_GB2312" w:cs="Times New Roman"/>
          <w:b w:val="0"/>
          <w:bCs w:val="0"/>
          <w:kern w:val="0"/>
          <w:sz w:val="30"/>
          <w:szCs w:val="30"/>
          <w:lang w:val="en-US" w:eastAsia="zh-CN"/>
        </w:rPr>
      </w:pPr>
      <w:r>
        <w:rPr>
          <w:rFonts w:hint="default" w:ascii="Times New Roman" w:hAnsi="Times New Roman" w:eastAsia="仿宋_GB2312" w:cs="Times New Roman"/>
          <w:b w:val="0"/>
          <w:bCs w:val="0"/>
          <w:kern w:val="0"/>
          <w:sz w:val="30"/>
          <w:szCs w:val="30"/>
        </w:rPr>
        <w:t>联系电话：</w:t>
      </w:r>
      <w:r>
        <w:rPr>
          <w:rFonts w:hint="eastAsia" w:ascii="Times New Roman" w:hAnsi="Times New Roman" w:eastAsia="仿宋_GB2312" w:cs="Times New Roman"/>
          <w:b w:val="0"/>
          <w:bCs w:val="0"/>
          <w:kern w:val="0"/>
          <w:sz w:val="30"/>
          <w:szCs w:val="30"/>
          <w:lang w:val="en-US" w:eastAsia="zh-CN"/>
        </w:rPr>
        <w:t>63638681</w:t>
      </w:r>
    </w:p>
    <w:p w14:paraId="3ED6685F">
      <w:pPr>
        <w:keepNext w:val="0"/>
        <w:keepLines w:val="0"/>
        <w:pageBreakBefore w:val="0"/>
        <w:widowControl/>
        <w:kinsoku/>
        <w:wordWrap/>
        <w:overflowPunct/>
        <w:topLinePunct w:val="0"/>
        <w:autoSpaceDE/>
        <w:autoSpaceDN/>
        <w:bidi w:val="0"/>
        <w:adjustRightInd/>
        <w:spacing w:line="582" w:lineRule="exact"/>
        <w:ind w:firstLine="600" w:firstLineChars="200"/>
        <w:jc w:val="both"/>
        <w:textAlignment w:val="auto"/>
        <w:rPr>
          <w:rFonts w:hint="default" w:ascii="Times New Roman" w:hAnsi="Times New Roman" w:eastAsia="仿宋_GB2312" w:cs="Times New Roman"/>
          <w:b w:val="0"/>
          <w:bCs w:val="0"/>
          <w:kern w:val="0"/>
          <w:sz w:val="30"/>
          <w:szCs w:val="30"/>
          <w:lang w:val="en-US" w:eastAsia="zh-CN"/>
        </w:rPr>
      </w:pPr>
      <w:r>
        <w:rPr>
          <w:rFonts w:hint="default" w:ascii="Times New Roman" w:hAnsi="Times New Roman" w:eastAsia="仿宋_GB2312" w:cs="Times New Roman"/>
          <w:b w:val="0"/>
          <w:bCs w:val="0"/>
          <w:kern w:val="0"/>
          <w:sz w:val="30"/>
          <w:szCs w:val="30"/>
        </w:rPr>
        <w:t>法人代表：</w:t>
      </w:r>
      <w:r>
        <w:rPr>
          <w:rFonts w:hint="eastAsia" w:ascii="Times New Roman" w:hAnsi="Times New Roman" w:eastAsia="仿宋_GB2312" w:cs="Times New Roman"/>
          <w:kern w:val="0"/>
          <w:sz w:val="30"/>
          <w:szCs w:val="30"/>
          <w:highlight w:val="none"/>
          <w:lang w:val="en-US" w:eastAsia="zh-CN"/>
        </w:rPr>
        <w:t>方建丹</w:t>
      </w:r>
    </w:p>
    <w:p w14:paraId="579DD7F4">
      <w:pPr>
        <w:keepNext w:val="0"/>
        <w:keepLines w:val="0"/>
        <w:pageBreakBefore w:val="0"/>
        <w:widowControl/>
        <w:kinsoku/>
        <w:wordWrap/>
        <w:overflowPunct/>
        <w:topLinePunct w:val="0"/>
        <w:autoSpaceDE/>
        <w:autoSpaceDN/>
        <w:bidi w:val="0"/>
        <w:adjustRightInd/>
        <w:spacing w:line="582" w:lineRule="exact"/>
        <w:ind w:firstLine="600" w:firstLineChars="200"/>
        <w:jc w:val="both"/>
        <w:textAlignment w:val="auto"/>
        <w:rPr>
          <w:rFonts w:hint="default" w:ascii="Times New Roman" w:hAnsi="Times New Roman" w:eastAsia="仿宋_GB2312" w:cs="Times New Roman"/>
          <w:b w:val="0"/>
          <w:bCs w:val="0"/>
          <w:kern w:val="0"/>
          <w:sz w:val="30"/>
          <w:szCs w:val="30"/>
        </w:rPr>
      </w:pPr>
      <w:r>
        <w:rPr>
          <w:rFonts w:hint="default" w:ascii="Times New Roman" w:hAnsi="Times New Roman" w:eastAsia="仿宋_GB2312" w:cs="Times New Roman"/>
          <w:b w:val="0"/>
          <w:bCs w:val="0"/>
          <w:kern w:val="0"/>
          <w:sz w:val="30"/>
          <w:szCs w:val="30"/>
        </w:rPr>
        <w:t>经费来源：财政拨款收入</w:t>
      </w:r>
    </w:p>
    <w:p w14:paraId="1718E880">
      <w:pPr>
        <w:keepNext w:val="0"/>
        <w:keepLines w:val="0"/>
        <w:pageBreakBefore w:val="0"/>
        <w:widowControl/>
        <w:kinsoku/>
        <w:wordWrap/>
        <w:overflowPunct/>
        <w:topLinePunct w:val="0"/>
        <w:autoSpaceDE/>
        <w:autoSpaceDN/>
        <w:bidi w:val="0"/>
        <w:adjustRightInd/>
        <w:spacing w:line="582" w:lineRule="exact"/>
        <w:ind w:firstLine="600" w:firstLineChars="200"/>
        <w:jc w:val="both"/>
        <w:textAlignment w:val="auto"/>
        <w:rPr>
          <w:rFonts w:hint="default" w:ascii="Times New Roman" w:hAnsi="Times New Roman" w:eastAsia="仿宋_GB2312" w:cs="Times New Roman"/>
          <w:b w:val="0"/>
          <w:bCs w:val="0"/>
          <w:kern w:val="0"/>
          <w:sz w:val="30"/>
          <w:szCs w:val="30"/>
        </w:rPr>
      </w:pPr>
      <w:r>
        <w:rPr>
          <w:rFonts w:hint="default" w:ascii="Times New Roman" w:hAnsi="Times New Roman" w:eastAsia="仿宋_GB2312" w:cs="Times New Roman"/>
          <w:b w:val="0"/>
          <w:bCs w:val="0"/>
          <w:kern w:val="0"/>
          <w:sz w:val="30"/>
          <w:szCs w:val="30"/>
          <w:lang w:eastAsia="zh-CN"/>
        </w:rPr>
        <w:t>单位</w:t>
      </w:r>
      <w:r>
        <w:rPr>
          <w:rFonts w:hint="default" w:ascii="Times New Roman" w:hAnsi="Times New Roman" w:eastAsia="仿宋_GB2312" w:cs="Times New Roman"/>
          <w:b w:val="0"/>
          <w:bCs w:val="0"/>
          <w:kern w:val="0"/>
          <w:sz w:val="30"/>
          <w:szCs w:val="30"/>
        </w:rPr>
        <w:t>概况：1</w:t>
      </w:r>
      <w:r>
        <w:rPr>
          <w:rFonts w:hint="default" w:ascii="Times New Roman" w:hAnsi="Times New Roman" w:eastAsia="仿宋_GB2312" w:cs="Times New Roman"/>
          <w:b w:val="0"/>
          <w:bCs w:val="0"/>
          <w:kern w:val="0"/>
          <w:sz w:val="30"/>
          <w:szCs w:val="30"/>
          <w:lang w:val="en-US" w:eastAsia="zh-CN"/>
        </w:rPr>
        <w:t>.</w:t>
      </w:r>
      <w:r>
        <w:rPr>
          <w:rFonts w:hint="default" w:ascii="Times New Roman" w:hAnsi="Times New Roman" w:eastAsia="仿宋_GB2312" w:cs="Times New Roman"/>
          <w:b w:val="0"/>
          <w:bCs w:val="0"/>
          <w:kern w:val="0"/>
          <w:sz w:val="30"/>
          <w:szCs w:val="30"/>
        </w:rPr>
        <w:t>贯彻执行国家、省、市有关卫生健康事业发展的法律法规和方针政策，组织拟订区健康工作措施并组织实施。统筹规划卫生健康资源配置，指导区域卫生规划的编制和实施。加强卫生健康人才队伍建设。制定并组织实施推进卫生健康基本公共服务均等化、普惠化、便携化和公共资源向基层延伸等政策措施。</w:t>
      </w:r>
    </w:p>
    <w:p w14:paraId="2255F935">
      <w:pPr>
        <w:keepNext w:val="0"/>
        <w:keepLines w:val="0"/>
        <w:pageBreakBefore w:val="0"/>
        <w:widowControl/>
        <w:kinsoku/>
        <w:wordWrap/>
        <w:overflowPunct/>
        <w:topLinePunct w:val="0"/>
        <w:autoSpaceDE/>
        <w:autoSpaceDN/>
        <w:bidi w:val="0"/>
        <w:adjustRightInd/>
        <w:spacing w:line="582" w:lineRule="exact"/>
        <w:ind w:firstLine="600" w:firstLineChars="200"/>
        <w:jc w:val="both"/>
        <w:textAlignment w:val="auto"/>
        <w:rPr>
          <w:rFonts w:hint="default" w:ascii="Times New Roman" w:hAnsi="Times New Roman" w:eastAsia="仿宋_GB2312" w:cs="Times New Roman"/>
          <w:b w:val="0"/>
          <w:bCs w:val="0"/>
          <w:kern w:val="0"/>
          <w:sz w:val="30"/>
          <w:szCs w:val="30"/>
        </w:rPr>
      </w:pPr>
      <w:r>
        <w:rPr>
          <w:rFonts w:hint="default" w:ascii="Times New Roman" w:hAnsi="Times New Roman" w:eastAsia="仿宋_GB2312" w:cs="Times New Roman"/>
          <w:b w:val="0"/>
          <w:bCs w:val="0"/>
          <w:kern w:val="0"/>
          <w:sz w:val="30"/>
          <w:szCs w:val="30"/>
        </w:rPr>
        <w:t>2</w:t>
      </w:r>
      <w:r>
        <w:rPr>
          <w:rFonts w:hint="default" w:ascii="Times New Roman" w:hAnsi="Times New Roman" w:eastAsia="仿宋_GB2312" w:cs="Times New Roman"/>
          <w:b w:val="0"/>
          <w:bCs w:val="0"/>
          <w:kern w:val="0"/>
          <w:sz w:val="30"/>
          <w:szCs w:val="30"/>
          <w:lang w:val="en-US" w:eastAsia="zh-CN"/>
        </w:rPr>
        <w:t>.</w:t>
      </w:r>
      <w:r>
        <w:rPr>
          <w:rFonts w:hint="default" w:ascii="Times New Roman" w:hAnsi="Times New Roman" w:eastAsia="仿宋_GB2312" w:cs="Times New Roman"/>
          <w:b w:val="0"/>
          <w:bCs w:val="0"/>
          <w:kern w:val="0"/>
          <w:sz w:val="30"/>
          <w:szCs w:val="30"/>
        </w:rPr>
        <w:t>协调推进深化医药卫生</w:t>
      </w:r>
      <w:bookmarkStart w:id="0" w:name="_GoBack"/>
      <w:bookmarkEnd w:id="0"/>
      <w:r>
        <w:rPr>
          <w:rFonts w:hint="eastAsia" w:ascii="Times New Roman" w:hAnsi="Times New Roman" w:eastAsia="仿宋_GB2312" w:cs="Times New Roman"/>
          <w:b w:val="0"/>
          <w:bCs w:val="0"/>
          <w:kern w:val="0"/>
          <w:sz w:val="30"/>
          <w:szCs w:val="30"/>
          <w:lang w:eastAsia="zh-CN"/>
        </w:rPr>
        <w:t>体制改革</w:t>
      </w:r>
      <w:r>
        <w:rPr>
          <w:rFonts w:hint="default" w:ascii="Times New Roman" w:hAnsi="Times New Roman" w:eastAsia="仿宋_GB2312" w:cs="Times New Roman"/>
          <w:b w:val="0"/>
          <w:bCs w:val="0"/>
          <w:kern w:val="0"/>
          <w:sz w:val="30"/>
          <w:szCs w:val="30"/>
        </w:rPr>
        <w:t>，落实深化医药卫生</w:t>
      </w:r>
      <w:r>
        <w:rPr>
          <w:rFonts w:hint="eastAsia" w:ascii="Times New Roman" w:hAnsi="Times New Roman" w:eastAsia="仿宋_GB2312" w:cs="Times New Roman"/>
          <w:b w:val="0"/>
          <w:bCs w:val="0"/>
          <w:kern w:val="0"/>
          <w:sz w:val="30"/>
          <w:szCs w:val="30"/>
          <w:lang w:eastAsia="zh-CN"/>
        </w:rPr>
        <w:t>体制改革</w:t>
      </w:r>
      <w:r>
        <w:rPr>
          <w:rFonts w:hint="default" w:ascii="Times New Roman" w:hAnsi="Times New Roman" w:eastAsia="仿宋_GB2312" w:cs="Times New Roman"/>
          <w:b w:val="0"/>
          <w:bCs w:val="0"/>
          <w:kern w:val="0"/>
          <w:sz w:val="30"/>
          <w:szCs w:val="30"/>
        </w:rPr>
        <w:t>政策、措施。组织深化公立医院综合改革，推进管办分离，健全现代医院管理制度。组织实施推动卫生健康公共服务提供多元化、提供方式多样化的政策措施，提出医疗服务价格政策的建议。</w:t>
      </w:r>
    </w:p>
    <w:p w14:paraId="1ED86578">
      <w:pPr>
        <w:keepNext w:val="0"/>
        <w:keepLines w:val="0"/>
        <w:pageBreakBefore w:val="0"/>
        <w:widowControl/>
        <w:kinsoku/>
        <w:wordWrap/>
        <w:overflowPunct/>
        <w:topLinePunct w:val="0"/>
        <w:autoSpaceDE/>
        <w:autoSpaceDN/>
        <w:bidi w:val="0"/>
        <w:adjustRightInd/>
        <w:spacing w:line="582" w:lineRule="exact"/>
        <w:ind w:firstLine="600" w:firstLineChars="200"/>
        <w:jc w:val="both"/>
        <w:textAlignment w:val="auto"/>
        <w:rPr>
          <w:rFonts w:hint="default" w:ascii="Times New Roman" w:hAnsi="Times New Roman" w:eastAsia="仿宋_GB2312" w:cs="Times New Roman"/>
          <w:b w:val="0"/>
          <w:bCs w:val="0"/>
          <w:kern w:val="0"/>
          <w:sz w:val="30"/>
          <w:szCs w:val="30"/>
        </w:rPr>
      </w:pPr>
      <w:r>
        <w:rPr>
          <w:rFonts w:hint="default" w:ascii="Times New Roman" w:hAnsi="Times New Roman" w:eastAsia="仿宋_GB2312" w:cs="Times New Roman"/>
          <w:b w:val="0"/>
          <w:bCs w:val="0"/>
          <w:kern w:val="0"/>
          <w:sz w:val="30"/>
          <w:szCs w:val="30"/>
        </w:rPr>
        <w:t>3</w:t>
      </w:r>
      <w:r>
        <w:rPr>
          <w:rFonts w:hint="default" w:ascii="Times New Roman" w:hAnsi="Times New Roman" w:eastAsia="仿宋_GB2312" w:cs="Times New Roman"/>
          <w:b w:val="0"/>
          <w:bCs w:val="0"/>
          <w:kern w:val="0"/>
          <w:sz w:val="30"/>
          <w:szCs w:val="30"/>
          <w:lang w:val="en-US" w:eastAsia="zh-CN"/>
        </w:rPr>
        <w:t>.</w:t>
      </w:r>
      <w:r>
        <w:rPr>
          <w:rFonts w:hint="default" w:ascii="Times New Roman" w:hAnsi="Times New Roman" w:eastAsia="仿宋_GB2312" w:cs="Times New Roman"/>
          <w:b w:val="0"/>
          <w:bCs w:val="0"/>
          <w:kern w:val="0"/>
          <w:sz w:val="30"/>
          <w:szCs w:val="30"/>
        </w:rPr>
        <w:t>组织落实疾病预防控制规划，国家免疫规划以及严重危害人民健康公共卫生问题的干预措施。负责卫生应急工作，组织指导突发公共卫生事件的预防控制和各类突发公共事件的医疗卫生救援。及时报告法定传染疫情信息。组织开展食品安全风险监督评估工作。</w:t>
      </w:r>
    </w:p>
    <w:p w14:paraId="7637229C">
      <w:pPr>
        <w:keepNext w:val="0"/>
        <w:keepLines w:val="0"/>
        <w:pageBreakBefore w:val="0"/>
        <w:widowControl/>
        <w:kinsoku/>
        <w:wordWrap/>
        <w:overflowPunct/>
        <w:topLinePunct w:val="0"/>
        <w:autoSpaceDE/>
        <w:autoSpaceDN/>
        <w:bidi w:val="0"/>
        <w:adjustRightInd/>
        <w:spacing w:line="582" w:lineRule="exact"/>
        <w:ind w:firstLine="600" w:firstLineChars="200"/>
        <w:jc w:val="both"/>
        <w:textAlignment w:val="auto"/>
        <w:rPr>
          <w:rFonts w:hint="default" w:ascii="Times New Roman" w:hAnsi="Times New Roman" w:eastAsia="仿宋_GB2312" w:cs="Times New Roman"/>
          <w:b w:val="0"/>
          <w:bCs w:val="0"/>
          <w:kern w:val="0"/>
          <w:sz w:val="30"/>
          <w:szCs w:val="30"/>
        </w:rPr>
      </w:pPr>
      <w:r>
        <w:rPr>
          <w:rFonts w:hint="default" w:ascii="Times New Roman" w:hAnsi="Times New Roman" w:eastAsia="仿宋_GB2312" w:cs="Times New Roman"/>
          <w:b w:val="0"/>
          <w:bCs w:val="0"/>
          <w:kern w:val="0"/>
          <w:sz w:val="30"/>
          <w:szCs w:val="30"/>
        </w:rPr>
        <w:t>4</w:t>
      </w:r>
      <w:r>
        <w:rPr>
          <w:rFonts w:hint="default" w:ascii="Times New Roman" w:hAnsi="Times New Roman" w:eastAsia="仿宋_GB2312" w:cs="Times New Roman"/>
          <w:b w:val="0"/>
          <w:bCs w:val="0"/>
          <w:kern w:val="0"/>
          <w:sz w:val="30"/>
          <w:szCs w:val="30"/>
          <w:lang w:val="en-US" w:eastAsia="zh-CN"/>
        </w:rPr>
        <w:t>.</w:t>
      </w:r>
      <w:r>
        <w:rPr>
          <w:rFonts w:hint="default" w:ascii="Times New Roman" w:hAnsi="Times New Roman" w:eastAsia="仿宋_GB2312" w:cs="Times New Roman"/>
          <w:b w:val="0"/>
          <w:bCs w:val="0"/>
          <w:kern w:val="0"/>
          <w:sz w:val="30"/>
          <w:szCs w:val="30"/>
        </w:rPr>
        <w:t>组织拟订并协调落实应对人口老龄化政策措施，负责推进老年健康服务体系建设和医养结合工作。</w:t>
      </w:r>
    </w:p>
    <w:p w14:paraId="511AB6A6">
      <w:pPr>
        <w:keepNext w:val="0"/>
        <w:keepLines w:val="0"/>
        <w:pageBreakBefore w:val="0"/>
        <w:widowControl/>
        <w:kinsoku/>
        <w:wordWrap/>
        <w:overflowPunct/>
        <w:topLinePunct w:val="0"/>
        <w:autoSpaceDE/>
        <w:autoSpaceDN/>
        <w:bidi w:val="0"/>
        <w:adjustRightInd/>
        <w:spacing w:line="582" w:lineRule="exact"/>
        <w:ind w:firstLine="600" w:firstLineChars="200"/>
        <w:jc w:val="both"/>
        <w:textAlignment w:val="auto"/>
        <w:rPr>
          <w:rFonts w:hint="default" w:ascii="Times New Roman" w:hAnsi="Times New Roman" w:eastAsia="仿宋_GB2312" w:cs="Times New Roman"/>
          <w:b w:val="0"/>
          <w:bCs w:val="0"/>
          <w:kern w:val="0"/>
          <w:sz w:val="30"/>
          <w:szCs w:val="30"/>
        </w:rPr>
      </w:pPr>
      <w:r>
        <w:rPr>
          <w:rFonts w:hint="default" w:ascii="Times New Roman" w:hAnsi="Times New Roman" w:eastAsia="仿宋_GB2312" w:cs="Times New Roman"/>
          <w:b w:val="0"/>
          <w:bCs w:val="0"/>
          <w:kern w:val="0"/>
          <w:sz w:val="30"/>
          <w:szCs w:val="30"/>
        </w:rPr>
        <w:t>5</w:t>
      </w:r>
      <w:r>
        <w:rPr>
          <w:rFonts w:hint="default" w:ascii="Times New Roman" w:hAnsi="Times New Roman" w:eastAsia="仿宋_GB2312" w:cs="Times New Roman"/>
          <w:b w:val="0"/>
          <w:bCs w:val="0"/>
          <w:kern w:val="0"/>
          <w:sz w:val="30"/>
          <w:szCs w:val="30"/>
          <w:lang w:val="en-US" w:eastAsia="zh-CN"/>
        </w:rPr>
        <w:t>.</w:t>
      </w:r>
      <w:r>
        <w:rPr>
          <w:rFonts w:hint="default" w:ascii="Times New Roman" w:hAnsi="Times New Roman" w:eastAsia="仿宋_GB2312" w:cs="Times New Roman"/>
          <w:b w:val="0"/>
          <w:bCs w:val="0"/>
          <w:kern w:val="0"/>
          <w:sz w:val="30"/>
          <w:szCs w:val="30"/>
        </w:rPr>
        <w:t>组织实施国家药物政策和国家基本药物制度有关呢政策措施，开展药品使用监测、临床综合评价和短缺药品预警，提出药品价格政策和药品生产鼓励扶持政策的建议。按照要求组织开展食品安全风险监督评估。</w:t>
      </w:r>
    </w:p>
    <w:p w14:paraId="343D2FE6">
      <w:pPr>
        <w:keepNext w:val="0"/>
        <w:keepLines w:val="0"/>
        <w:pageBreakBefore w:val="0"/>
        <w:widowControl/>
        <w:kinsoku/>
        <w:wordWrap/>
        <w:overflowPunct/>
        <w:topLinePunct w:val="0"/>
        <w:autoSpaceDE/>
        <w:autoSpaceDN/>
        <w:bidi w:val="0"/>
        <w:adjustRightInd/>
        <w:spacing w:line="582" w:lineRule="exact"/>
        <w:ind w:firstLine="600" w:firstLineChars="200"/>
        <w:jc w:val="both"/>
        <w:textAlignment w:val="auto"/>
        <w:rPr>
          <w:rFonts w:hint="default" w:ascii="Times New Roman" w:hAnsi="Times New Roman" w:eastAsia="仿宋_GB2312" w:cs="Times New Roman"/>
          <w:b w:val="0"/>
          <w:bCs w:val="0"/>
          <w:kern w:val="0"/>
          <w:sz w:val="30"/>
          <w:szCs w:val="30"/>
        </w:rPr>
      </w:pPr>
      <w:r>
        <w:rPr>
          <w:rFonts w:hint="default" w:ascii="Times New Roman" w:hAnsi="Times New Roman" w:eastAsia="仿宋_GB2312" w:cs="Times New Roman"/>
          <w:b w:val="0"/>
          <w:bCs w:val="0"/>
          <w:kern w:val="0"/>
          <w:sz w:val="30"/>
          <w:szCs w:val="30"/>
        </w:rPr>
        <w:t>6</w:t>
      </w:r>
      <w:r>
        <w:rPr>
          <w:rFonts w:hint="default" w:ascii="Times New Roman" w:hAnsi="Times New Roman" w:eastAsia="仿宋_GB2312" w:cs="Times New Roman"/>
          <w:b w:val="0"/>
          <w:bCs w:val="0"/>
          <w:kern w:val="0"/>
          <w:sz w:val="30"/>
          <w:szCs w:val="30"/>
          <w:lang w:val="en-US" w:eastAsia="zh-CN"/>
        </w:rPr>
        <w:t>.</w:t>
      </w:r>
      <w:r>
        <w:rPr>
          <w:rFonts w:hint="default" w:ascii="Times New Roman" w:hAnsi="Times New Roman" w:eastAsia="仿宋_GB2312" w:cs="Times New Roman"/>
          <w:b w:val="0"/>
          <w:bCs w:val="0"/>
          <w:kern w:val="0"/>
          <w:sz w:val="30"/>
          <w:szCs w:val="30"/>
        </w:rPr>
        <w:t>完善卫生健康综合监督执法体系，加强综合监督执法机构和队伍建设。负责职责范围内的职业卫生、放射卫生、环境卫生、学校卫生、公共场所卫生、饮用水卫生等公共卫生的安全健康监督管理，负责传染病防治监督，健全卫生健康综合监督体系。牵头《烟草控制框架公约》履约工作。负责本行业领域的安全生产监管工作。</w:t>
      </w:r>
    </w:p>
    <w:p w14:paraId="014F8E9F">
      <w:pPr>
        <w:keepNext w:val="0"/>
        <w:keepLines w:val="0"/>
        <w:pageBreakBefore w:val="0"/>
        <w:widowControl/>
        <w:kinsoku/>
        <w:wordWrap/>
        <w:overflowPunct/>
        <w:topLinePunct w:val="0"/>
        <w:autoSpaceDE/>
        <w:autoSpaceDN/>
        <w:bidi w:val="0"/>
        <w:adjustRightInd/>
        <w:spacing w:line="582" w:lineRule="exact"/>
        <w:ind w:firstLine="600" w:firstLineChars="200"/>
        <w:jc w:val="both"/>
        <w:textAlignment w:val="auto"/>
        <w:rPr>
          <w:rFonts w:hint="default" w:ascii="Times New Roman" w:hAnsi="Times New Roman" w:eastAsia="仿宋_GB2312" w:cs="Times New Roman"/>
          <w:b w:val="0"/>
          <w:bCs w:val="0"/>
          <w:kern w:val="0"/>
          <w:sz w:val="30"/>
          <w:szCs w:val="30"/>
        </w:rPr>
      </w:pPr>
      <w:r>
        <w:rPr>
          <w:rFonts w:hint="default" w:ascii="Times New Roman" w:hAnsi="Times New Roman" w:eastAsia="仿宋_GB2312" w:cs="Times New Roman"/>
          <w:b w:val="0"/>
          <w:bCs w:val="0"/>
          <w:kern w:val="0"/>
          <w:sz w:val="30"/>
          <w:szCs w:val="30"/>
        </w:rPr>
        <w:t>7</w:t>
      </w:r>
      <w:r>
        <w:rPr>
          <w:rFonts w:hint="default" w:ascii="Times New Roman" w:hAnsi="Times New Roman" w:eastAsia="仿宋_GB2312" w:cs="Times New Roman"/>
          <w:b w:val="0"/>
          <w:bCs w:val="0"/>
          <w:kern w:val="0"/>
          <w:sz w:val="30"/>
          <w:szCs w:val="30"/>
          <w:lang w:val="en-US" w:eastAsia="zh-CN"/>
        </w:rPr>
        <w:t>.</w:t>
      </w:r>
      <w:r>
        <w:rPr>
          <w:rFonts w:hint="default" w:ascii="Times New Roman" w:hAnsi="Times New Roman" w:eastAsia="仿宋_GB2312" w:cs="Times New Roman"/>
          <w:b w:val="0"/>
          <w:bCs w:val="0"/>
          <w:kern w:val="0"/>
          <w:sz w:val="30"/>
          <w:szCs w:val="30"/>
        </w:rPr>
        <w:t>组织制定全区医疗机构、医疗服务行业管理措施并监督实施，逐步建立医疗服务评价和监督管理体系。会同有关部门贯彻执行卫生健康专业技术人员资格标准。组织实施医疗服务规范、标准和卫生专业技术人员职业规则、服务规范。</w:t>
      </w:r>
    </w:p>
    <w:p w14:paraId="46774474">
      <w:pPr>
        <w:keepNext w:val="0"/>
        <w:keepLines w:val="0"/>
        <w:pageBreakBefore w:val="0"/>
        <w:widowControl/>
        <w:kinsoku/>
        <w:wordWrap/>
        <w:overflowPunct/>
        <w:topLinePunct w:val="0"/>
        <w:autoSpaceDE/>
        <w:autoSpaceDN/>
        <w:bidi w:val="0"/>
        <w:adjustRightInd/>
        <w:spacing w:line="582" w:lineRule="exact"/>
        <w:ind w:firstLine="600" w:firstLineChars="200"/>
        <w:jc w:val="both"/>
        <w:textAlignment w:val="auto"/>
        <w:rPr>
          <w:rFonts w:hint="default" w:ascii="Times New Roman" w:hAnsi="Times New Roman" w:eastAsia="仿宋_GB2312" w:cs="Times New Roman"/>
          <w:b w:val="0"/>
          <w:bCs w:val="0"/>
          <w:kern w:val="0"/>
          <w:sz w:val="30"/>
          <w:szCs w:val="30"/>
        </w:rPr>
      </w:pPr>
      <w:r>
        <w:rPr>
          <w:rFonts w:hint="default" w:ascii="Times New Roman" w:hAnsi="Times New Roman" w:eastAsia="仿宋_GB2312" w:cs="Times New Roman"/>
          <w:b w:val="0"/>
          <w:bCs w:val="0"/>
          <w:kern w:val="0"/>
          <w:sz w:val="30"/>
          <w:szCs w:val="30"/>
        </w:rPr>
        <w:t>8</w:t>
      </w:r>
      <w:r>
        <w:rPr>
          <w:rFonts w:hint="default" w:ascii="Times New Roman" w:hAnsi="Times New Roman" w:eastAsia="仿宋_GB2312" w:cs="Times New Roman"/>
          <w:b w:val="0"/>
          <w:bCs w:val="0"/>
          <w:kern w:val="0"/>
          <w:sz w:val="30"/>
          <w:szCs w:val="30"/>
          <w:lang w:val="en-US" w:eastAsia="zh-CN"/>
        </w:rPr>
        <w:t>.</w:t>
      </w:r>
      <w:r>
        <w:rPr>
          <w:rFonts w:hint="default" w:ascii="Times New Roman" w:hAnsi="Times New Roman" w:eastAsia="仿宋_GB2312" w:cs="Times New Roman"/>
          <w:b w:val="0"/>
          <w:bCs w:val="0"/>
          <w:kern w:val="0"/>
          <w:sz w:val="30"/>
          <w:szCs w:val="30"/>
        </w:rPr>
        <w:t>负责计划生育管理和服务工作，开展人口监测预警，研究提出人口与家庭发展有关政策建议，完善计划生育政策。</w:t>
      </w:r>
    </w:p>
    <w:p w14:paraId="62B811FE">
      <w:pPr>
        <w:keepNext w:val="0"/>
        <w:keepLines w:val="0"/>
        <w:pageBreakBefore w:val="0"/>
        <w:widowControl/>
        <w:kinsoku/>
        <w:wordWrap/>
        <w:overflowPunct/>
        <w:topLinePunct w:val="0"/>
        <w:autoSpaceDE/>
        <w:autoSpaceDN/>
        <w:bidi w:val="0"/>
        <w:adjustRightInd/>
        <w:spacing w:line="582" w:lineRule="exact"/>
        <w:ind w:firstLine="600" w:firstLineChars="200"/>
        <w:jc w:val="both"/>
        <w:textAlignment w:val="auto"/>
        <w:rPr>
          <w:rFonts w:hint="default" w:ascii="Times New Roman" w:hAnsi="Times New Roman" w:eastAsia="仿宋_GB2312" w:cs="Times New Roman"/>
          <w:b w:val="0"/>
          <w:bCs w:val="0"/>
          <w:kern w:val="0"/>
          <w:sz w:val="30"/>
          <w:szCs w:val="30"/>
        </w:rPr>
      </w:pPr>
      <w:r>
        <w:rPr>
          <w:rFonts w:hint="default" w:ascii="Times New Roman" w:hAnsi="Times New Roman" w:eastAsia="仿宋_GB2312" w:cs="Times New Roman"/>
          <w:b w:val="0"/>
          <w:bCs w:val="0"/>
          <w:kern w:val="0"/>
          <w:sz w:val="30"/>
          <w:szCs w:val="30"/>
        </w:rPr>
        <w:t>9</w:t>
      </w:r>
      <w:r>
        <w:rPr>
          <w:rFonts w:hint="default" w:ascii="Times New Roman" w:hAnsi="Times New Roman" w:eastAsia="仿宋_GB2312" w:cs="Times New Roman"/>
          <w:b w:val="0"/>
          <w:bCs w:val="0"/>
          <w:kern w:val="0"/>
          <w:sz w:val="30"/>
          <w:szCs w:val="30"/>
          <w:lang w:val="en-US" w:eastAsia="zh-CN"/>
        </w:rPr>
        <w:t>.</w:t>
      </w:r>
      <w:r>
        <w:rPr>
          <w:rFonts w:hint="default" w:ascii="Times New Roman" w:hAnsi="Times New Roman" w:eastAsia="仿宋_GB2312" w:cs="Times New Roman"/>
          <w:b w:val="0"/>
          <w:bCs w:val="0"/>
          <w:kern w:val="0"/>
          <w:sz w:val="30"/>
          <w:szCs w:val="30"/>
        </w:rPr>
        <w:t>指导推进全区卫生健康工作，指导基层医疗卫生、妇幼健康服务体系和全科医生队伍建设。推进卫生健康科技创新发展。</w:t>
      </w:r>
    </w:p>
    <w:p w14:paraId="12B1B635">
      <w:pPr>
        <w:keepNext w:val="0"/>
        <w:keepLines w:val="0"/>
        <w:pageBreakBefore w:val="0"/>
        <w:widowControl/>
        <w:kinsoku/>
        <w:wordWrap/>
        <w:overflowPunct/>
        <w:topLinePunct w:val="0"/>
        <w:autoSpaceDE/>
        <w:autoSpaceDN/>
        <w:bidi w:val="0"/>
        <w:adjustRightInd/>
        <w:spacing w:line="582" w:lineRule="exact"/>
        <w:ind w:firstLine="600" w:firstLineChars="200"/>
        <w:jc w:val="both"/>
        <w:textAlignment w:val="auto"/>
        <w:rPr>
          <w:rFonts w:hint="default" w:ascii="Times New Roman" w:hAnsi="Times New Roman" w:eastAsia="仿宋_GB2312" w:cs="Times New Roman"/>
          <w:b w:val="0"/>
          <w:bCs w:val="0"/>
          <w:kern w:val="0"/>
          <w:sz w:val="30"/>
          <w:szCs w:val="30"/>
        </w:rPr>
      </w:pPr>
      <w:r>
        <w:rPr>
          <w:rFonts w:hint="default" w:ascii="Times New Roman" w:hAnsi="Times New Roman" w:eastAsia="仿宋_GB2312" w:cs="Times New Roman"/>
          <w:b w:val="0"/>
          <w:bCs w:val="0"/>
          <w:kern w:val="0"/>
          <w:sz w:val="30"/>
          <w:szCs w:val="30"/>
        </w:rPr>
        <w:t>10</w:t>
      </w:r>
      <w:r>
        <w:rPr>
          <w:rFonts w:hint="default" w:ascii="Times New Roman" w:hAnsi="Times New Roman" w:eastAsia="仿宋_GB2312" w:cs="Times New Roman"/>
          <w:b w:val="0"/>
          <w:bCs w:val="0"/>
          <w:kern w:val="0"/>
          <w:sz w:val="30"/>
          <w:szCs w:val="30"/>
          <w:lang w:val="en-US" w:eastAsia="zh-CN"/>
        </w:rPr>
        <w:t>.</w:t>
      </w:r>
      <w:r>
        <w:rPr>
          <w:rFonts w:hint="default" w:ascii="Times New Roman" w:hAnsi="Times New Roman" w:eastAsia="仿宋_GB2312" w:cs="Times New Roman"/>
          <w:b w:val="0"/>
          <w:bCs w:val="0"/>
          <w:kern w:val="0"/>
          <w:sz w:val="30"/>
          <w:szCs w:val="30"/>
        </w:rPr>
        <w:t>贯彻落实国家、省、市中药法律法规、规章政策，地方性法规。组织拟订全区中医药发展总规划和目标，负责综合管理中医（含中西医结合、民族医）医疗、教育、科研等工作。参与拟订中医药产业发展政策。</w:t>
      </w:r>
    </w:p>
    <w:p w14:paraId="23CC1E3C">
      <w:pPr>
        <w:keepNext w:val="0"/>
        <w:keepLines w:val="0"/>
        <w:pageBreakBefore w:val="0"/>
        <w:widowControl/>
        <w:kinsoku/>
        <w:wordWrap/>
        <w:overflowPunct/>
        <w:topLinePunct w:val="0"/>
        <w:autoSpaceDE/>
        <w:autoSpaceDN/>
        <w:bidi w:val="0"/>
        <w:adjustRightInd/>
        <w:spacing w:line="582" w:lineRule="exact"/>
        <w:ind w:firstLine="600" w:firstLineChars="200"/>
        <w:jc w:val="both"/>
        <w:textAlignment w:val="auto"/>
        <w:rPr>
          <w:rFonts w:hint="default" w:ascii="Times New Roman" w:hAnsi="Times New Roman" w:eastAsia="仿宋_GB2312" w:cs="Times New Roman"/>
          <w:b w:val="0"/>
          <w:bCs w:val="0"/>
          <w:kern w:val="0"/>
          <w:sz w:val="30"/>
          <w:szCs w:val="30"/>
        </w:rPr>
      </w:pPr>
      <w:r>
        <w:rPr>
          <w:rFonts w:hint="default" w:ascii="Times New Roman" w:hAnsi="Times New Roman" w:eastAsia="仿宋_GB2312" w:cs="Times New Roman"/>
          <w:b w:val="0"/>
          <w:bCs w:val="0"/>
          <w:kern w:val="0"/>
          <w:sz w:val="30"/>
          <w:szCs w:val="30"/>
        </w:rPr>
        <w:t>11</w:t>
      </w:r>
      <w:r>
        <w:rPr>
          <w:rFonts w:hint="default" w:ascii="Times New Roman" w:hAnsi="Times New Roman" w:eastAsia="仿宋_GB2312" w:cs="Times New Roman"/>
          <w:b w:val="0"/>
          <w:bCs w:val="0"/>
          <w:kern w:val="0"/>
          <w:sz w:val="30"/>
          <w:szCs w:val="30"/>
          <w:lang w:val="en-US" w:eastAsia="zh-CN"/>
        </w:rPr>
        <w:t>.</w:t>
      </w:r>
      <w:r>
        <w:rPr>
          <w:rFonts w:hint="default" w:ascii="Times New Roman" w:hAnsi="Times New Roman" w:eastAsia="仿宋_GB2312" w:cs="Times New Roman"/>
          <w:b w:val="0"/>
          <w:bCs w:val="0"/>
          <w:kern w:val="0"/>
          <w:sz w:val="30"/>
          <w:szCs w:val="30"/>
        </w:rPr>
        <w:t>建立健全艾滋病防治工作机制，加强宣传教育，采取行为干预和关怀救助等措施，综合防治艾滋病。</w:t>
      </w:r>
    </w:p>
    <w:p w14:paraId="4B4B0F55">
      <w:pPr>
        <w:keepNext w:val="0"/>
        <w:keepLines w:val="0"/>
        <w:pageBreakBefore w:val="0"/>
        <w:widowControl/>
        <w:kinsoku/>
        <w:wordWrap/>
        <w:overflowPunct/>
        <w:topLinePunct w:val="0"/>
        <w:autoSpaceDE/>
        <w:autoSpaceDN/>
        <w:bidi w:val="0"/>
        <w:adjustRightInd/>
        <w:spacing w:line="582" w:lineRule="exact"/>
        <w:ind w:firstLine="600" w:firstLineChars="200"/>
        <w:jc w:val="both"/>
        <w:textAlignment w:val="auto"/>
        <w:rPr>
          <w:rFonts w:hint="default" w:ascii="Times New Roman" w:hAnsi="Times New Roman" w:eastAsia="仿宋_GB2312" w:cs="Times New Roman"/>
          <w:b w:val="0"/>
          <w:bCs w:val="0"/>
          <w:kern w:val="0"/>
          <w:sz w:val="30"/>
          <w:szCs w:val="30"/>
        </w:rPr>
      </w:pPr>
      <w:r>
        <w:rPr>
          <w:rFonts w:hint="default" w:ascii="Times New Roman" w:hAnsi="Times New Roman" w:eastAsia="仿宋_GB2312" w:cs="Times New Roman"/>
          <w:b w:val="0"/>
          <w:bCs w:val="0"/>
          <w:kern w:val="0"/>
          <w:sz w:val="30"/>
          <w:szCs w:val="30"/>
        </w:rPr>
        <w:t>12</w:t>
      </w:r>
      <w:r>
        <w:rPr>
          <w:rFonts w:hint="default" w:ascii="Times New Roman" w:hAnsi="Times New Roman" w:eastAsia="仿宋_GB2312" w:cs="Times New Roman"/>
          <w:b w:val="0"/>
          <w:bCs w:val="0"/>
          <w:kern w:val="0"/>
          <w:sz w:val="30"/>
          <w:szCs w:val="30"/>
          <w:lang w:val="en-US" w:eastAsia="zh-CN"/>
        </w:rPr>
        <w:t>.</w:t>
      </w:r>
      <w:r>
        <w:rPr>
          <w:rFonts w:hint="default" w:ascii="Times New Roman" w:hAnsi="Times New Roman" w:eastAsia="仿宋_GB2312" w:cs="Times New Roman"/>
          <w:b w:val="0"/>
          <w:bCs w:val="0"/>
          <w:kern w:val="0"/>
          <w:sz w:val="30"/>
          <w:szCs w:val="30"/>
        </w:rPr>
        <w:t>组织实施全区健康项目和推进健康产业发展，统筹推进医养结合、医体融合等健康政策。</w:t>
      </w:r>
    </w:p>
    <w:p w14:paraId="5104A05C">
      <w:pPr>
        <w:keepNext w:val="0"/>
        <w:keepLines w:val="0"/>
        <w:pageBreakBefore w:val="0"/>
        <w:widowControl/>
        <w:kinsoku/>
        <w:wordWrap/>
        <w:overflowPunct/>
        <w:topLinePunct w:val="0"/>
        <w:autoSpaceDE/>
        <w:autoSpaceDN/>
        <w:bidi w:val="0"/>
        <w:adjustRightInd/>
        <w:spacing w:line="582" w:lineRule="exact"/>
        <w:ind w:firstLine="600" w:firstLineChars="200"/>
        <w:jc w:val="both"/>
        <w:textAlignment w:val="auto"/>
        <w:rPr>
          <w:rFonts w:hint="default" w:ascii="Times New Roman" w:hAnsi="Times New Roman" w:eastAsia="仿宋_GB2312" w:cs="Times New Roman"/>
          <w:b w:val="0"/>
          <w:bCs w:val="0"/>
          <w:kern w:val="0"/>
          <w:sz w:val="30"/>
          <w:szCs w:val="30"/>
        </w:rPr>
      </w:pPr>
      <w:r>
        <w:rPr>
          <w:rFonts w:hint="default" w:ascii="Times New Roman" w:hAnsi="Times New Roman" w:eastAsia="仿宋_GB2312" w:cs="Times New Roman"/>
          <w:b w:val="0"/>
          <w:bCs w:val="0"/>
          <w:kern w:val="0"/>
          <w:sz w:val="30"/>
          <w:szCs w:val="30"/>
        </w:rPr>
        <w:t>13</w:t>
      </w:r>
      <w:r>
        <w:rPr>
          <w:rFonts w:hint="default" w:ascii="Times New Roman" w:hAnsi="Times New Roman" w:eastAsia="仿宋_GB2312" w:cs="Times New Roman"/>
          <w:b w:val="0"/>
          <w:bCs w:val="0"/>
          <w:kern w:val="0"/>
          <w:sz w:val="30"/>
          <w:szCs w:val="30"/>
          <w:lang w:val="en-US" w:eastAsia="zh-CN"/>
        </w:rPr>
        <w:t>.</w:t>
      </w:r>
      <w:r>
        <w:rPr>
          <w:rFonts w:hint="default" w:ascii="Times New Roman" w:hAnsi="Times New Roman" w:eastAsia="仿宋_GB2312" w:cs="Times New Roman"/>
          <w:b w:val="0"/>
          <w:bCs w:val="0"/>
          <w:kern w:val="0"/>
          <w:sz w:val="30"/>
          <w:szCs w:val="30"/>
        </w:rPr>
        <w:t>负责重要会议与重大活动的医疗卫生保障工作。</w:t>
      </w:r>
    </w:p>
    <w:p w14:paraId="436208F1">
      <w:pPr>
        <w:keepNext w:val="0"/>
        <w:keepLines w:val="0"/>
        <w:pageBreakBefore w:val="0"/>
        <w:widowControl/>
        <w:kinsoku/>
        <w:wordWrap/>
        <w:overflowPunct/>
        <w:topLinePunct w:val="0"/>
        <w:autoSpaceDE/>
        <w:autoSpaceDN/>
        <w:bidi w:val="0"/>
        <w:adjustRightInd/>
        <w:spacing w:line="582" w:lineRule="exact"/>
        <w:ind w:firstLine="600" w:firstLineChars="200"/>
        <w:jc w:val="both"/>
        <w:textAlignment w:val="auto"/>
        <w:rPr>
          <w:rFonts w:hint="default" w:ascii="Times New Roman" w:hAnsi="Times New Roman" w:eastAsia="仿宋_GB2312" w:cs="Times New Roman"/>
          <w:b w:val="0"/>
          <w:bCs w:val="0"/>
          <w:kern w:val="0"/>
          <w:sz w:val="30"/>
          <w:szCs w:val="30"/>
        </w:rPr>
      </w:pPr>
      <w:r>
        <w:rPr>
          <w:rFonts w:hint="default" w:ascii="Times New Roman" w:hAnsi="Times New Roman" w:eastAsia="仿宋_GB2312" w:cs="Times New Roman"/>
          <w:b w:val="0"/>
          <w:bCs w:val="0"/>
          <w:kern w:val="0"/>
          <w:sz w:val="30"/>
          <w:szCs w:val="30"/>
        </w:rPr>
        <w:t>14</w:t>
      </w:r>
      <w:r>
        <w:rPr>
          <w:rFonts w:hint="default" w:ascii="Times New Roman" w:hAnsi="Times New Roman" w:eastAsia="仿宋_GB2312" w:cs="Times New Roman"/>
          <w:b w:val="0"/>
          <w:bCs w:val="0"/>
          <w:kern w:val="0"/>
          <w:sz w:val="30"/>
          <w:szCs w:val="30"/>
          <w:lang w:val="en-US" w:eastAsia="zh-CN"/>
        </w:rPr>
        <w:t>.</w:t>
      </w:r>
      <w:r>
        <w:rPr>
          <w:rFonts w:hint="default" w:ascii="Times New Roman" w:hAnsi="Times New Roman" w:eastAsia="仿宋_GB2312" w:cs="Times New Roman"/>
          <w:b w:val="0"/>
          <w:bCs w:val="0"/>
          <w:kern w:val="0"/>
          <w:sz w:val="30"/>
          <w:szCs w:val="30"/>
        </w:rPr>
        <w:t>指导所属“两新”组织抓好党的建设工作。</w:t>
      </w:r>
    </w:p>
    <w:p w14:paraId="2B8BEAF0">
      <w:pPr>
        <w:keepNext w:val="0"/>
        <w:keepLines w:val="0"/>
        <w:pageBreakBefore w:val="0"/>
        <w:widowControl/>
        <w:kinsoku/>
        <w:wordWrap/>
        <w:overflowPunct/>
        <w:topLinePunct w:val="0"/>
        <w:autoSpaceDE/>
        <w:autoSpaceDN/>
        <w:bidi w:val="0"/>
        <w:adjustRightInd/>
        <w:spacing w:line="582" w:lineRule="exact"/>
        <w:ind w:firstLine="600" w:firstLineChars="200"/>
        <w:jc w:val="both"/>
        <w:textAlignment w:val="auto"/>
        <w:rPr>
          <w:rFonts w:hint="default" w:ascii="Times New Roman" w:hAnsi="Times New Roman" w:eastAsia="仿宋_GB2312" w:cs="Times New Roman"/>
          <w:b w:val="0"/>
          <w:bCs w:val="0"/>
          <w:kern w:val="0"/>
          <w:sz w:val="30"/>
          <w:szCs w:val="30"/>
        </w:rPr>
      </w:pPr>
      <w:r>
        <w:rPr>
          <w:rFonts w:hint="default" w:ascii="Times New Roman" w:hAnsi="Times New Roman" w:eastAsia="仿宋_GB2312" w:cs="Times New Roman"/>
          <w:b w:val="0"/>
          <w:bCs w:val="0"/>
          <w:kern w:val="0"/>
          <w:sz w:val="30"/>
          <w:szCs w:val="30"/>
        </w:rPr>
        <w:t>15</w:t>
      </w:r>
      <w:r>
        <w:rPr>
          <w:rFonts w:hint="default" w:ascii="Times New Roman" w:hAnsi="Times New Roman" w:eastAsia="仿宋_GB2312" w:cs="Times New Roman"/>
          <w:b w:val="0"/>
          <w:bCs w:val="0"/>
          <w:kern w:val="0"/>
          <w:sz w:val="30"/>
          <w:szCs w:val="30"/>
          <w:lang w:val="en-US" w:eastAsia="zh-CN"/>
        </w:rPr>
        <w:t>.</w:t>
      </w:r>
      <w:r>
        <w:rPr>
          <w:rFonts w:hint="default" w:ascii="Times New Roman" w:hAnsi="Times New Roman" w:eastAsia="仿宋_GB2312" w:cs="Times New Roman"/>
          <w:b w:val="0"/>
          <w:bCs w:val="0"/>
          <w:kern w:val="0"/>
          <w:sz w:val="30"/>
          <w:szCs w:val="30"/>
        </w:rPr>
        <w:t>指导昆明市五华区五计划生育协会的业务工作。</w:t>
      </w:r>
    </w:p>
    <w:p w14:paraId="6112B42E">
      <w:pPr>
        <w:keepNext w:val="0"/>
        <w:keepLines w:val="0"/>
        <w:pageBreakBefore w:val="0"/>
        <w:widowControl/>
        <w:kinsoku/>
        <w:wordWrap/>
        <w:overflowPunct/>
        <w:topLinePunct w:val="0"/>
        <w:autoSpaceDE/>
        <w:autoSpaceDN/>
        <w:bidi w:val="0"/>
        <w:adjustRightInd/>
        <w:spacing w:line="582" w:lineRule="exact"/>
        <w:ind w:firstLine="600" w:firstLineChars="200"/>
        <w:jc w:val="both"/>
        <w:textAlignment w:val="auto"/>
        <w:rPr>
          <w:rFonts w:hint="default" w:ascii="Times New Roman" w:hAnsi="Times New Roman" w:eastAsia="仿宋_GB2312" w:cs="Times New Roman"/>
          <w:b w:val="0"/>
          <w:bCs w:val="0"/>
          <w:kern w:val="0"/>
          <w:sz w:val="30"/>
          <w:szCs w:val="30"/>
        </w:rPr>
      </w:pPr>
      <w:r>
        <w:rPr>
          <w:rFonts w:hint="default" w:ascii="Times New Roman" w:hAnsi="Times New Roman" w:eastAsia="仿宋_GB2312" w:cs="Times New Roman"/>
          <w:b w:val="0"/>
          <w:bCs w:val="0"/>
          <w:kern w:val="0"/>
          <w:sz w:val="30"/>
          <w:szCs w:val="30"/>
        </w:rPr>
        <w:t>16</w:t>
      </w:r>
      <w:r>
        <w:rPr>
          <w:rFonts w:hint="default" w:ascii="Times New Roman" w:hAnsi="Times New Roman" w:eastAsia="仿宋_GB2312" w:cs="Times New Roman"/>
          <w:b w:val="0"/>
          <w:bCs w:val="0"/>
          <w:kern w:val="0"/>
          <w:sz w:val="30"/>
          <w:szCs w:val="30"/>
          <w:lang w:val="en-US" w:eastAsia="zh-CN"/>
        </w:rPr>
        <w:t>.</w:t>
      </w:r>
      <w:r>
        <w:rPr>
          <w:rFonts w:hint="default" w:ascii="Times New Roman" w:hAnsi="Times New Roman" w:eastAsia="仿宋_GB2312" w:cs="Times New Roman"/>
          <w:b w:val="0"/>
          <w:bCs w:val="0"/>
          <w:kern w:val="0"/>
          <w:sz w:val="30"/>
          <w:szCs w:val="30"/>
        </w:rPr>
        <w:t>完成区委、区政府交办的其他任务。</w:t>
      </w:r>
    </w:p>
    <w:p w14:paraId="30E395B2">
      <w:pPr>
        <w:keepNext w:val="0"/>
        <w:keepLines w:val="0"/>
        <w:pageBreakBefore w:val="0"/>
        <w:widowControl/>
        <w:kinsoku/>
        <w:wordWrap/>
        <w:overflowPunct/>
        <w:topLinePunct w:val="0"/>
        <w:autoSpaceDE/>
        <w:autoSpaceDN/>
        <w:bidi w:val="0"/>
        <w:adjustRightInd/>
        <w:spacing w:line="582" w:lineRule="exact"/>
        <w:ind w:firstLine="600" w:firstLineChars="200"/>
        <w:jc w:val="both"/>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b w:val="0"/>
          <w:bCs w:val="0"/>
          <w:kern w:val="0"/>
          <w:sz w:val="30"/>
          <w:szCs w:val="30"/>
        </w:rPr>
        <w:t>17</w:t>
      </w:r>
      <w:r>
        <w:rPr>
          <w:rFonts w:hint="default" w:ascii="Times New Roman" w:hAnsi="Times New Roman" w:eastAsia="仿宋_GB2312" w:cs="Times New Roman"/>
          <w:b w:val="0"/>
          <w:bCs w:val="0"/>
          <w:kern w:val="0"/>
          <w:sz w:val="30"/>
          <w:szCs w:val="30"/>
          <w:lang w:val="en-US" w:eastAsia="zh-CN"/>
        </w:rPr>
        <w:t>.</w:t>
      </w:r>
      <w:r>
        <w:rPr>
          <w:rFonts w:hint="default" w:ascii="Times New Roman" w:hAnsi="Times New Roman" w:eastAsia="仿宋_GB2312" w:cs="Times New Roman"/>
          <w:b w:val="0"/>
          <w:bCs w:val="0"/>
          <w:kern w:val="0"/>
          <w:sz w:val="30"/>
          <w:szCs w:val="30"/>
        </w:rPr>
        <w:t>职能转变。昆明市五华区卫生健康局应当牢固树立卫生健康理念，以改革创新为动力，以促健康、转模式、强基层、重保障为着力点，把以治病为中心转变到以人民健康为中心，为人民群众提供全方位周期健康服务。</w:t>
      </w:r>
    </w:p>
    <w:p w14:paraId="60EAEBB9">
      <w:pPr>
        <w:widowControl/>
        <w:numPr>
          <w:ilvl w:val="0"/>
          <w:numId w:val="1"/>
        </w:numPr>
        <w:ind w:firstLine="600" w:firstLineChars="200"/>
        <w:jc w:val="left"/>
        <w:rPr>
          <w:rFonts w:hint="eastAsia" w:ascii="黑体" w:hAnsi="黑体" w:eastAsia="黑体" w:cs="黑体"/>
          <w:kern w:val="0"/>
          <w:sz w:val="30"/>
          <w:szCs w:val="30"/>
        </w:rPr>
      </w:pPr>
      <w:r>
        <w:rPr>
          <w:rFonts w:hint="eastAsia" w:ascii="黑体" w:hAnsi="黑体" w:eastAsia="黑体" w:cs="黑体"/>
          <w:kern w:val="0"/>
          <w:sz w:val="30"/>
          <w:szCs w:val="30"/>
        </w:rPr>
        <w:t>项目基本概况</w:t>
      </w:r>
    </w:p>
    <w:p w14:paraId="1286A58A">
      <w:pPr>
        <w:keepNext w:val="0"/>
        <w:keepLines w:val="0"/>
        <w:pageBreakBefore w:val="0"/>
        <w:widowControl/>
        <w:kinsoku/>
        <w:wordWrap/>
        <w:overflowPunct/>
        <w:topLinePunct w:val="0"/>
        <w:autoSpaceDE/>
        <w:autoSpaceDN/>
        <w:bidi w:val="0"/>
        <w:adjustRightInd/>
        <w:spacing w:line="582" w:lineRule="exact"/>
        <w:ind w:firstLine="600" w:firstLineChars="200"/>
        <w:jc w:val="both"/>
        <w:textAlignment w:val="auto"/>
        <w:rPr>
          <w:rFonts w:hint="default" w:ascii="Times New Roman" w:hAnsi="Times New Roman" w:eastAsia="仿宋_GB2312" w:cs="Times New Roman"/>
          <w:b w:val="0"/>
          <w:bCs w:val="0"/>
          <w:kern w:val="0"/>
          <w:sz w:val="30"/>
          <w:szCs w:val="30"/>
        </w:rPr>
      </w:pPr>
      <w:r>
        <w:rPr>
          <w:rFonts w:hint="default" w:ascii="Times New Roman" w:hAnsi="Times New Roman" w:eastAsia="仿宋_GB2312" w:cs="Times New Roman"/>
          <w:b w:val="0"/>
          <w:bCs w:val="0"/>
          <w:kern w:val="0"/>
          <w:sz w:val="30"/>
          <w:szCs w:val="30"/>
          <w:lang w:val="en-US" w:eastAsia="zh-CN"/>
        </w:rPr>
        <w:t>实施基本公共卫生服务项目是促进</w:t>
      </w:r>
      <w:r>
        <w:rPr>
          <w:rFonts w:hint="eastAsia" w:ascii="Times New Roman" w:hAnsi="Times New Roman" w:eastAsia="仿宋_GB2312" w:cs="Times New Roman"/>
          <w:b w:val="0"/>
          <w:bCs w:val="0"/>
          <w:kern w:val="0"/>
          <w:sz w:val="30"/>
          <w:szCs w:val="30"/>
          <w:lang w:val="en-US" w:eastAsia="zh-CN"/>
        </w:rPr>
        <w:t>五华区</w:t>
      </w:r>
      <w:r>
        <w:rPr>
          <w:rFonts w:hint="default" w:ascii="Times New Roman" w:hAnsi="Times New Roman" w:eastAsia="仿宋_GB2312" w:cs="Times New Roman"/>
          <w:b w:val="0"/>
          <w:bCs w:val="0"/>
          <w:kern w:val="0"/>
          <w:sz w:val="30"/>
          <w:szCs w:val="30"/>
          <w:lang w:val="en-US" w:eastAsia="zh-CN"/>
        </w:rPr>
        <w:t>基本公共卫生服务逐步均等化的重</w:t>
      </w:r>
      <w:r>
        <w:rPr>
          <w:rFonts w:hint="eastAsia" w:ascii="Times New Roman" w:hAnsi="Times New Roman" w:eastAsia="仿宋_GB2312" w:cs="Times New Roman"/>
          <w:b w:val="0"/>
          <w:bCs w:val="0"/>
          <w:kern w:val="0"/>
          <w:sz w:val="30"/>
          <w:szCs w:val="30"/>
          <w:lang w:val="en-US" w:eastAsia="zh-CN"/>
        </w:rPr>
        <w:t>要内容，是公共卫生制度建设的重要组成部分。</w:t>
      </w:r>
      <w:r>
        <w:rPr>
          <w:rFonts w:hint="default" w:ascii="Times New Roman" w:hAnsi="Times New Roman" w:eastAsia="仿宋_GB2312" w:cs="Times New Roman"/>
          <w:b w:val="0"/>
          <w:bCs w:val="0"/>
          <w:kern w:val="0"/>
          <w:sz w:val="30"/>
          <w:szCs w:val="30"/>
        </w:rPr>
        <w:t>是</w:t>
      </w:r>
      <w:r>
        <w:rPr>
          <w:rFonts w:hint="eastAsia" w:ascii="Times New Roman" w:hAnsi="Times New Roman" w:eastAsia="仿宋_GB2312" w:cs="Times New Roman"/>
          <w:b w:val="0"/>
          <w:bCs w:val="0"/>
          <w:kern w:val="0"/>
          <w:sz w:val="30"/>
          <w:szCs w:val="30"/>
          <w:lang w:val="en-US" w:eastAsia="zh-CN"/>
        </w:rPr>
        <w:t>五华区</w:t>
      </w:r>
      <w:r>
        <w:rPr>
          <w:rFonts w:hint="default" w:ascii="Times New Roman" w:hAnsi="Times New Roman" w:eastAsia="仿宋_GB2312" w:cs="Times New Roman"/>
          <w:b w:val="0"/>
          <w:bCs w:val="0"/>
          <w:kern w:val="0"/>
          <w:sz w:val="30"/>
          <w:szCs w:val="30"/>
        </w:rPr>
        <w:t>促进基本公共卫生服务逐步均等化的重要内容，是深化医药卫生体制改革的重要工作。是针对当前城乡居民存在的主要健康问题，以儿童、孕产妇、老年人、慢性疾病患者为重点人群，面向全体居民免费提供的最基本的公共卫生服务。</w:t>
      </w:r>
    </w:p>
    <w:p w14:paraId="67491E58">
      <w:pPr>
        <w:keepNext w:val="0"/>
        <w:keepLines w:val="0"/>
        <w:pageBreakBefore w:val="0"/>
        <w:widowControl/>
        <w:kinsoku/>
        <w:wordWrap/>
        <w:overflowPunct/>
        <w:topLinePunct w:val="0"/>
        <w:autoSpaceDE/>
        <w:autoSpaceDN/>
        <w:bidi w:val="0"/>
        <w:adjustRightInd/>
        <w:spacing w:line="582" w:lineRule="exact"/>
        <w:ind w:firstLine="600" w:firstLineChars="200"/>
        <w:jc w:val="both"/>
        <w:textAlignment w:val="auto"/>
        <w:rPr>
          <w:rFonts w:hint="eastAsia" w:ascii="Times New Roman" w:hAnsi="Times New Roman" w:eastAsia="仿宋_GB2312" w:cs="Times New Roman"/>
          <w:b w:val="0"/>
          <w:bCs w:val="0"/>
          <w:kern w:val="0"/>
          <w:sz w:val="30"/>
          <w:szCs w:val="30"/>
          <w:lang w:val="en-US" w:eastAsia="zh-CN"/>
        </w:rPr>
      </w:pPr>
      <w:r>
        <w:rPr>
          <w:rFonts w:hint="default" w:ascii="Times New Roman" w:hAnsi="Times New Roman" w:eastAsia="仿宋_GB2312" w:cs="Times New Roman"/>
          <w:b w:val="0"/>
          <w:bCs w:val="0"/>
          <w:kern w:val="0"/>
          <w:sz w:val="30"/>
          <w:szCs w:val="30"/>
          <w:lang w:val="en-US" w:eastAsia="zh-CN"/>
        </w:rPr>
        <w:t>基本公共卫生服务项目补助标准</w:t>
      </w:r>
      <w:r>
        <w:rPr>
          <w:rFonts w:hint="eastAsia" w:ascii="Times New Roman" w:hAnsi="Times New Roman" w:eastAsia="仿宋_GB2312" w:cs="Times New Roman"/>
          <w:b w:val="0"/>
          <w:bCs w:val="0"/>
          <w:kern w:val="0"/>
          <w:sz w:val="30"/>
          <w:szCs w:val="30"/>
          <w:lang w:val="en-US" w:eastAsia="zh-CN"/>
        </w:rPr>
        <w:t>按照国家人均标注进行补助</w:t>
      </w:r>
      <w:r>
        <w:rPr>
          <w:rFonts w:hint="default" w:ascii="Times New Roman" w:hAnsi="Times New Roman" w:eastAsia="仿宋_GB2312" w:cs="Times New Roman"/>
          <w:b w:val="0"/>
          <w:bCs w:val="0"/>
          <w:kern w:val="0"/>
          <w:sz w:val="30"/>
          <w:szCs w:val="30"/>
          <w:lang w:val="en-US" w:eastAsia="zh-CN"/>
        </w:rPr>
        <w:t>，</w:t>
      </w:r>
      <w:r>
        <w:rPr>
          <w:rFonts w:hint="default" w:ascii="Times New Roman" w:hAnsi="Times New Roman" w:eastAsia="仿宋_GB2312" w:cs="Times New Roman"/>
          <w:b w:val="0"/>
          <w:bCs w:val="0"/>
          <w:kern w:val="0"/>
          <w:sz w:val="30"/>
          <w:szCs w:val="30"/>
        </w:rPr>
        <w:t>用于开展预防接种、0—6岁儿童健康管理等国家基本公共卫生服务 12类项目和地方病防治、职业病防治等 16类项目。扩大国家基本公共卫生服务 12类项目和农村妇女“两癌筛查”检查受益人群覆盖面，做深做实服务内容，重点支持优化老年人、慢病患者的分类分级健康服务，开展慢性阻塞性肺疾病患者健康服务；落实“体重管理年”，加强城乡居民体重管理健康教育和重点人群体重管理，加强传染病及突发公共卫生事件报告和处理，加快推进居民电子健康档案向本人开放等务实应用；做好优化生育政策相关服务内容等工作</w:t>
      </w:r>
      <w:r>
        <w:rPr>
          <w:rFonts w:hint="eastAsia" w:ascii="Times New Roman" w:hAnsi="Times New Roman" w:eastAsia="仿宋_GB2312" w:cs="Times New Roman"/>
          <w:b w:val="0"/>
          <w:bCs w:val="0"/>
          <w:kern w:val="0"/>
          <w:sz w:val="30"/>
          <w:szCs w:val="30"/>
          <w:lang w:eastAsia="zh-CN"/>
        </w:rPr>
        <w:t>。</w:t>
      </w:r>
    </w:p>
    <w:p w14:paraId="5873786C">
      <w:pPr>
        <w:widowControl/>
        <w:numPr>
          <w:ilvl w:val="0"/>
          <w:numId w:val="1"/>
        </w:numPr>
        <w:ind w:firstLine="600" w:firstLineChars="200"/>
        <w:jc w:val="left"/>
        <w:rPr>
          <w:rFonts w:hint="eastAsia" w:ascii="黑体" w:hAnsi="黑体" w:eastAsia="黑体" w:cs="黑体"/>
          <w:kern w:val="0"/>
          <w:sz w:val="30"/>
          <w:szCs w:val="30"/>
        </w:rPr>
      </w:pPr>
      <w:r>
        <w:rPr>
          <w:rFonts w:hint="eastAsia" w:ascii="黑体" w:hAnsi="黑体" w:eastAsia="黑体" w:cs="黑体"/>
          <w:kern w:val="0"/>
          <w:sz w:val="30"/>
          <w:szCs w:val="30"/>
        </w:rPr>
        <w:t>项目实施内容</w:t>
      </w:r>
    </w:p>
    <w:p w14:paraId="2BE558C4">
      <w:pPr>
        <w:keepNext w:val="0"/>
        <w:keepLines w:val="0"/>
        <w:pageBreakBefore w:val="0"/>
        <w:widowControl/>
        <w:kinsoku/>
        <w:wordWrap/>
        <w:overflowPunct/>
        <w:topLinePunct w:val="0"/>
        <w:autoSpaceDE/>
        <w:autoSpaceDN/>
        <w:bidi w:val="0"/>
        <w:adjustRightInd/>
        <w:spacing w:line="582" w:lineRule="exact"/>
        <w:ind w:firstLine="600" w:firstLineChars="200"/>
        <w:jc w:val="both"/>
        <w:textAlignment w:val="auto"/>
        <w:rPr>
          <w:rFonts w:hint="default" w:ascii="Times New Roman" w:hAnsi="Times New Roman" w:eastAsia="仿宋_GB2312" w:cs="Times New Roman"/>
          <w:b w:val="0"/>
          <w:bCs w:val="0"/>
          <w:kern w:val="0"/>
          <w:sz w:val="30"/>
          <w:szCs w:val="30"/>
          <w:lang w:val="en-US" w:eastAsia="zh-CN"/>
        </w:rPr>
      </w:pPr>
      <w:r>
        <w:rPr>
          <w:rFonts w:hint="default" w:ascii="Times New Roman" w:hAnsi="Times New Roman" w:eastAsia="仿宋_GB2312" w:cs="Times New Roman"/>
          <w:b w:val="0"/>
          <w:bCs w:val="0"/>
          <w:kern w:val="0"/>
          <w:sz w:val="30"/>
          <w:szCs w:val="30"/>
          <w:lang w:val="en-US" w:eastAsia="zh-CN"/>
        </w:rPr>
        <w:t>（一）国家基本公共卫生服务12类项目。</w:t>
      </w:r>
    </w:p>
    <w:p w14:paraId="051FB2AD">
      <w:pPr>
        <w:keepNext w:val="0"/>
        <w:keepLines w:val="0"/>
        <w:pageBreakBefore w:val="0"/>
        <w:widowControl/>
        <w:kinsoku/>
        <w:wordWrap/>
        <w:overflowPunct/>
        <w:topLinePunct w:val="0"/>
        <w:autoSpaceDE/>
        <w:autoSpaceDN/>
        <w:bidi w:val="0"/>
        <w:adjustRightInd/>
        <w:spacing w:line="582" w:lineRule="exact"/>
        <w:ind w:firstLine="600" w:firstLineChars="200"/>
        <w:jc w:val="both"/>
        <w:textAlignment w:val="auto"/>
        <w:rPr>
          <w:rFonts w:hint="default" w:ascii="Times New Roman" w:hAnsi="Times New Roman" w:eastAsia="仿宋_GB2312" w:cs="Times New Roman"/>
          <w:b w:val="0"/>
          <w:bCs w:val="0"/>
          <w:kern w:val="0"/>
          <w:sz w:val="30"/>
          <w:szCs w:val="30"/>
          <w:lang w:val="en-US" w:eastAsia="zh-CN"/>
        </w:rPr>
      </w:pPr>
      <w:r>
        <w:rPr>
          <w:rFonts w:hint="default" w:ascii="Times New Roman" w:hAnsi="Times New Roman" w:eastAsia="仿宋_GB2312" w:cs="Times New Roman"/>
          <w:b w:val="0"/>
          <w:bCs w:val="0"/>
          <w:kern w:val="0"/>
          <w:sz w:val="30"/>
          <w:szCs w:val="30"/>
          <w:lang w:val="en-US" w:eastAsia="zh-CN"/>
        </w:rPr>
        <w:t>（二）确保贫困人口农村妇女“两癌”检查目标人群覆盖率达45%以上，免费孕前优生健康检查目标人群覆盖率达80%以上，综合节育率达到80%以上，农村妇女增补叶酸服用率达到90%以上，营养包目标人群覆盖率达到80%以上，地中海贫血筛查任务完成率、地中海贫血基因检测率达到80%以上。</w:t>
      </w:r>
    </w:p>
    <w:p w14:paraId="4746EC51">
      <w:pPr>
        <w:keepNext w:val="0"/>
        <w:keepLines w:val="0"/>
        <w:pageBreakBefore w:val="0"/>
        <w:widowControl/>
        <w:kinsoku/>
        <w:wordWrap/>
        <w:overflowPunct/>
        <w:topLinePunct w:val="0"/>
        <w:autoSpaceDE/>
        <w:autoSpaceDN/>
        <w:bidi w:val="0"/>
        <w:adjustRightInd/>
        <w:spacing w:line="582" w:lineRule="exact"/>
        <w:ind w:firstLine="600" w:firstLineChars="200"/>
        <w:jc w:val="both"/>
        <w:textAlignment w:val="auto"/>
        <w:rPr>
          <w:rFonts w:hint="default" w:ascii="Times New Roman" w:hAnsi="Times New Roman" w:eastAsia="仿宋_GB2312" w:cs="Times New Roman"/>
          <w:b w:val="0"/>
          <w:bCs w:val="0"/>
          <w:kern w:val="0"/>
          <w:sz w:val="30"/>
          <w:szCs w:val="30"/>
          <w:lang w:val="en-US" w:eastAsia="zh-CN"/>
        </w:rPr>
      </w:pPr>
      <w:r>
        <w:rPr>
          <w:rFonts w:hint="default" w:ascii="Times New Roman" w:hAnsi="Times New Roman" w:eastAsia="仿宋_GB2312" w:cs="Times New Roman"/>
          <w:b w:val="0"/>
          <w:bCs w:val="0"/>
          <w:kern w:val="0"/>
          <w:sz w:val="30"/>
          <w:szCs w:val="30"/>
          <w:lang w:val="en-US" w:eastAsia="zh-CN"/>
        </w:rPr>
        <w:t>（三）监测流感活动水平和流行动态，及时发现毒株变异情况，进一步提高网络实验室和哨点医院工作质量。</w:t>
      </w:r>
    </w:p>
    <w:p w14:paraId="409F2FD7">
      <w:pPr>
        <w:keepNext w:val="0"/>
        <w:keepLines w:val="0"/>
        <w:pageBreakBefore w:val="0"/>
        <w:widowControl/>
        <w:kinsoku/>
        <w:wordWrap/>
        <w:overflowPunct/>
        <w:topLinePunct w:val="0"/>
        <w:autoSpaceDE/>
        <w:autoSpaceDN/>
        <w:bidi w:val="0"/>
        <w:adjustRightInd/>
        <w:spacing w:line="582" w:lineRule="exact"/>
        <w:ind w:firstLine="600" w:firstLineChars="200"/>
        <w:jc w:val="both"/>
        <w:textAlignment w:val="auto"/>
        <w:rPr>
          <w:rFonts w:hint="default" w:ascii="Times New Roman" w:hAnsi="Times New Roman" w:eastAsia="仿宋_GB2312" w:cs="Times New Roman"/>
          <w:b w:val="0"/>
          <w:bCs w:val="0"/>
          <w:kern w:val="0"/>
          <w:sz w:val="30"/>
          <w:szCs w:val="30"/>
          <w:lang w:val="en-US" w:eastAsia="zh-CN"/>
        </w:rPr>
      </w:pPr>
      <w:r>
        <w:rPr>
          <w:rFonts w:hint="default" w:ascii="Times New Roman" w:hAnsi="Times New Roman" w:eastAsia="仿宋_GB2312" w:cs="Times New Roman"/>
          <w:b w:val="0"/>
          <w:bCs w:val="0"/>
          <w:kern w:val="0"/>
          <w:sz w:val="30"/>
          <w:szCs w:val="30"/>
          <w:lang w:val="en-US" w:eastAsia="zh-CN"/>
        </w:rPr>
        <w:t>（四）按照国家卫生健康委安排部署，结合我省实际做好食品安全国家标准和地方标准跟踪评价工作，通过开展食品安全国家标准和地方标准跟踪评价，了解掌握标准执行情况及需求情况，发现标准存在的问题，为标准修订、清理和完善提供科学依据。</w:t>
      </w:r>
    </w:p>
    <w:p w14:paraId="35D9297E">
      <w:pPr>
        <w:keepNext w:val="0"/>
        <w:keepLines w:val="0"/>
        <w:pageBreakBefore w:val="0"/>
        <w:widowControl/>
        <w:kinsoku/>
        <w:wordWrap/>
        <w:overflowPunct/>
        <w:topLinePunct w:val="0"/>
        <w:autoSpaceDE/>
        <w:autoSpaceDN/>
        <w:bidi w:val="0"/>
        <w:adjustRightInd/>
        <w:spacing w:line="582" w:lineRule="exact"/>
        <w:ind w:firstLine="600" w:firstLineChars="200"/>
        <w:jc w:val="both"/>
        <w:textAlignment w:val="auto"/>
        <w:rPr>
          <w:rFonts w:hint="default" w:ascii="Times New Roman" w:hAnsi="Times New Roman" w:eastAsia="仿宋_GB2312" w:cs="Times New Roman"/>
          <w:b w:val="0"/>
          <w:bCs w:val="0"/>
          <w:kern w:val="0"/>
          <w:sz w:val="30"/>
          <w:szCs w:val="30"/>
          <w:lang w:val="en-US" w:eastAsia="zh-CN"/>
        </w:rPr>
      </w:pPr>
      <w:r>
        <w:rPr>
          <w:rFonts w:hint="default" w:ascii="Times New Roman" w:hAnsi="Times New Roman" w:eastAsia="仿宋_GB2312" w:cs="Times New Roman"/>
          <w:b w:val="0"/>
          <w:bCs w:val="0"/>
          <w:kern w:val="0"/>
          <w:sz w:val="30"/>
          <w:szCs w:val="30"/>
          <w:lang w:val="en-US" w:eastAsia="zh-CN"/>
        </w:rPr>
        <w:t>（五）按照国家及省卫生健康委安排部署，认真完成好卫生健康国家随机监督抽查计划任务及其他卫生监督管理任务。</w:t>
      </w:r>
    </w:p>
    <w:p w14:paraId="441D320F">
      <w:pPr>
        <w:keepNext w:val="0"/>
        <w:keepLines w:val="0"/>
        <w:pageBreakBefore w:val="0"/>
        <w:widowControl/>
        <w:kinsoku/>
        <w:wordWrap/>
        <w:overflowPunct/>
        <w:topLinePunct w:val="0"/>
        <w:autoSpaceDE/>
        <w:autoSpaceDN/>
        <w:bidi w:val="0"/>
        <w:adjustRightInd/>
        <w:spacing w:line="582" w:lineRule="exact"/>
        <w:ind w:firstLine="600" w:firstLineChars="200"/>
        <w:jc w:val="both"/>
        <w:textAlignment w:val="auto"/>
        <w:rPr>
          <w:rFonts w:hint="default" w:ascii="Times New Roman" w:hAnsi="Times New Roman" w:eastAsia="仿宋_GB2312" w:cs="Times New Roman"/>
          <w:b w:val="0"/>
          <w:bCs w:val="0"/>
          <w:kern w:val="0"/>
          <w:sz w:val="30"/>
          <w:szCs w:val="30"/>
          <w:lang w:val="en-US" w:eastAsia="zh-CN"/>
        </w:rPr>
      </w:pPr>
      <w:r>
        <w:rPr>
          <w:rFonts w:hint="default" w:ascii="Times New Roman" w:hAnsi="Times New Roman" w:eastAsia="仿宋_GB2312" w:cs="Times New Roman"/>
          <w:b w:val="0"/>
          <w:bCs w:val="0"/>
          <w:kern w:val="0"/>
          <w:sz w:val="30"/>
          <w:szCs w:val="30"/>
          <w:lang w:val="en-US" w:eastAsia="zh-CN"/>
        </w:rPr>
        <w:t>（六）监测工作的考核评估以区县为单位的优良率达到80%以上，按时组织完成孕产妇死亡评审和医疗机构死亡新生儿评审，监测人的“三基”考核合格率。</w:t>
      </w:r>
    </w:p>
    <w:p w14:paraId="16701B87">
      <w:pPr>
        <w:widowControl/>
        <w:numPr>
          <w:ilvl w:val="0"/>
          <w:numId w:val="1"/>
        </w:numPr>
        <w:ind w:firstLine="600" w:firstLineChars="200"/>
        <w:jc w:val="left"/>
        <w:rPr>
          <w:rFonts w:hint="eastAsia" w:ascii="黑体" w:hAnsi="黑体" w:eastAsia="黑体" w:cs="黑体"/>
          <w:kern w:val="0"/>
          <w:sz w:val="30"/>
          <w:szCs w:val="30"/>
        </w:rPr>
      </w:pPr>
      <w:r>
        <w:rPr>
          <w:rFonts w:hint="eastAsia" w:ascii="黑体" w:hAnsi="黑体" w:eastAsia="黑体" w:cs="黑体"/>
          <w:kern w:val="0"/>
          <w:sz w:val="30"/>
          <w:szCs w:val="30"/>
        </w:rPr>
        <w:t>资金安排情况</w:t>
      </w:r>
    </w:p>
    <w:p w14:paraId="37CD55E5">
      <w:pPr>
        <w:keepNext w:val="0"/>
        <w:keepLines w:val="0"/>
        <w:pageBreakBefore w:val="0"/>
        <w:widowControl/>
        <w:kinsoku/>
        <w:wordWrap/>
        <w:overflowPunct/>
        <w:topLinePunct w:val="0"/>
        <w:autoSpaceDE/>
        <w:autoSpaceDN/>
        <w:bidi w:val="0"/>
        <w:adjustRightInd/>
        <w:spacing w:line="582" w:lineRule="exact"/>
        <w:ind w:firstLine="600" w:firstLineChars="200"/>
        <w:jc w:val="both"/>
        <w:textAlignment w:val="auto"/>
        <w:rPr>
          <w:rFonts w:hint="default" w:ascii="Times New Roman" w:hAnsi="Times New Roman" w:eastAsia="仿宋_GB2312" w:cs="Times New Roman"/>
          <w:b w:val="0"/>
          <w:bCs w:val="0"/>
          <w:kern w:val="0"/>
          <w:sz w:val="32"/>
          <w:szCs w:val="32"/>
        </w:rPr>
      </w:pPr>
      <w:r>
        <w:rPr>
          <w:rFonts w:hint="default" w:ascii="Times New Roman" w:hAnsi="Times New Roman" w:eastAsia="仿宋_GB2312" w:cs="Times New Roman"/>
          <w:b w:val="0"/>
          <w:bCs w:val="0"/>
          <w:kern w:val="0"/>
          <w:sz w:val="30"/>
          <w:szCs w:val="30"/>
          <w:lang w:val="en-US" w:eastAsia="zh-CN"/>
        </w:rPr>
        <w:t>基本公共卫生服务项目经费合计14,977,036.84元。</w:t>
      </w:r>
    </w:p>
    <w:p w14:paraId="53B43B8E">
      <w:pPr>
        <w:widowControl/>
        <w:numPr>
          <w:ilvl w:val="0"/>
          <w:numId w:val="1"/>
        </w:numPr>
        <w:ind w:firstLine="600" w:firstLineChars="200"/>
        <w:jc w:val="left"/>
        <w:rPr>
          <w:rFonts w:hint="eastAsia" w:ascii="黑体" w:hAnsi="黑体" w:eastAsia="黑体" w:cs="黑体"/>
          <w:kern w:val="0"/>
          <w:sz w:val="30"/>
          <w:szCs w:val="30"/>
        </w:rPr>
      </w:pPr>
      <w:r>
        <w:rPr>
          <w:rFonts w:hint="eastAsia" w:ascii="黑体" w:hAnsi="黑体" w:eastAsia="黑体" w:cs="黑体"/>
          <w:kern w:val="0"/>
          <w:sz w:val="30"/>
          <w:szCs w:val="30"/>
        </w:rPr>
        <w:t>项目实施计划</w:t>
      </w:r>
    </w:p>
    <w:p w14:paraId="2892CA96">
      <w:pPr>
        <w:keepNext w:val="0"/>
        <w:keepLines w:val="0"/>
        <w:pageBreakBefore w:val="0"/>
        <w:widowControl/>
        <w:kinsoku/>
        <w:wordWrap/>
        <w:overflowPunct/>
        <w:topLinePunct w:val="0"/>
        <w:autoSpaceDE/>
        <w:autoSpaceDN/>
        <w:bidi w:val="0"/>
        <w:adjustRightInd/>
        <w:spacing w:line="582" w:lineRule="exact"/>
        <w:ind w:firstLine="600" w:firstLineChars="200"/>
        <w:jc w:val="both"/>
        <w:textAlignment w:val="auto"/>
        <w:rPr>
          <w:rFonts w:hint="default" w:ascii="Times New Roman" w:hAnsi="Times New Roman" w:eastAsia="仿宋_GB2312" w:cs="Times New Roman"/>
          <w:b w:val="0"/>
          <w:bCs w:val="0"/>
          <w:kern w:val="0"/>
          <w:sz w:val="30"/>
          <w:szCs w:val="30"/>
          <w:lang w:val="en-US" w:eastAsia="zh-CN"/>
        </w:rPr>
      </w:pPr>
      <w:r>
        <w:rPr>
          <w:rFonts w:hint="eastAsia" w:ascii="Times New Roman" w:hAnsi="Times New Roman" w:eastAsia="仿宋_GB2312" w:cs="Times New Roman"/>
          <w:b w:val="0"/>
          <w:bCs w:val="0"/>
          <w:kern w:val="0"/>
          <w:sz w:val="30"/>
          <w:szCs w:val="30"/>
          <w:lang w:val="en-US" w:eastAsia="zh-CN"/>
        </w:rPr>
        <w:t>（一）</w:t>
      </w:r>
      <w:r>
        <w:rPr>
          <w:rFonts w:hint="default" w:ascii="Times New Roman" w:hAnsi="Times New Roman" w:eastAsia="仿宋_GB2312" w:cs="Times New Roman"/>
          <w:b w:val="0"/>
          <w:bCs w:val="0"/>
          <w:kern w:val="0"/>
          <w:sz w:val="30"/>
          <w:szCs w:val="30"/>
          <w:lang w:val="en-US" w:eastAsia="zh-CN"/>
        </w:rPr>
        <w:t>上下半年分2次召开全区社区卫生服务机构工作推进会，统筹规划202</w:t>
      </w:r>
      <w:r>
        <w:rPr>
          <w:rFonts w:hint="eastAsia" w:ascii="Times New Roman" w:hAnsi="Times New Roman" w:eastAsia="仿宋_GB2312" w:cs="Times New Roman"/>
          <w:b w:val="0"/>
          <w:bCs w:val="0"/>
          <w:kern w:val="0"/>
          <w:sz w:val="30"/>
          <w:szCs w:val="30"/>
          <w:lang w:val="en-US" w:eastAsia="zh-CN"/>
        </w:rPr>
        <w:t>6</w:t>
      </w:r>
      <w:r>
        <w:rPr>
          <w:rFonts w:hint="default" w:ascii="Times New Roman" w:hAnsi="Times New Roman" w:eastAsia="仿宋_GB2312" w:cs="Times New Roman"/>
          <w:b w:val="0"/>
          <w:bCs w:val="0"/>
          <w:kern w:val="0"/>
          <w:sz w:val="30"/>
          <w:szCs w:val="30"/>
          <w:lang w:val="en-US" w:eastAsia="zh-CN"/>
        </w:rPr>
        <w:t>年基本公卫工作目标，根据工作推进情况调整方向，全力完成上级下达的指标任务。</w:t>
      </w:r>
    </w:p>
    <w:p w14:paraId="381151D8">
      <w:pPr>
        <w:keepNext w:val="0"/>
        <w:keepLines w:val="0"/>
        <w:pageBreakBefore w:val="0"/>
        <w:widowControl/>
        <w:kinsoku/>
        <w:wordWrap/>
        <w:overflowPunct/>
        <w:topLinePunct w:val="0"/>
        <w:autoSpaceDE/>
        <w:autoSpaceDN/>
        <w:bidi w:val="0"/>
        <w:adjustRightInd/>
        <w:spacing w:line="582" w:lineRule="exact"/>
        <w:ind w:firstLine="600" w:firstLineChars="200"/>
        <w:jc w:val="both"/>
        <w:textAlignment w:val="auto"/>
        <w:rPr>
          <w:rFonts w:hint="default" w:ascii="Times New Roman" w:hAnsi="Times New Roman" w:eastAsia="仿宋_GB2312" w:cs="Times New Roman"/>
          <w:b w:val="0"/>
          <w:bCs w:val="0"/>
          <w:kern w:val="0"/>
          <w:sz w:val="30"/>
          <w:szCs w:val="30"/>
          <w:lang w:val="en-US" w:eastAsia="zh-CN"/>
        </w:rPr>
      </w:pPr>
      <w:r>
        <w:rPr>
          <w:rFonts w:hint="eastAsia" w:ascii="Times New Roman" w:hAnsi="Times New Roman" w:eastAsia="仿宋_GB2312" w:cs="Times New Roman"/>
          <w:b w:val="0"/>
          <w:bCs w:val="0"/>
          <w:kern w:val="0"/>
          <w:sz w:val="30"/>
          <w:szCs w:val="30"/>
          <w:lang w:val="en-US" w:eastAsia="zh-CN"/>
        </w:rPr>
        <w:t>（二）</w:t>
      </w:r>
      <w:r>
        <w:rPr>
          <w:rFonts w:hint="default" w:ascii="Times New Roman" w:hAnsi="Times New Roman" w:eastAsia="仿宋_GB2312" w:cs="Times New Roman"/>
          <w:b w:val="0"/>
          <w:bCs w:val="0"/>
          <w:kern w:val="0"/>
          <w:sz w:val="30"/>
          <w:szCs w:val="30"/>
          <w:lang w:val="en-US" w:eastAsia="zh-CN"/>
        </w:rPr>
        <w:t>进一步完善修改《五华区基本公共卫生服务项目资金管理考核方案》与《基本公共卫生服务项目执行合同》，加大督导考核力度，通过业务合作紧密各项目考核包单位的联系，进一步强化五华区基本公卫考核质量。利用考核，进一步规范居民健康档案管理，严格服务规范，落实项目绩效考核，并将考核结果与补助经费挂钩。</w:t>
      </w:r>
    </w:p>
    <w:p w14:paraId="1E54F4F2">
      <w:pPr>
        <w:widowControl/>
        <w:numPr>
          <w:ilvl w:val="0"/>
          <w:numId w:val="1"/>
        </w:numPr>
        <w:ind w:firstLine="600" w:firstLineChars="200"/>
        <w:jc w:val="left"/>
        <w:rPr>
          <w:rFonts w:hint="eastAsia" w:ascii="黑体" w:hAnsi="黑体" w:eastAsia="黑体" w:cs="黑体"/>
          <w:kern w:val="0"/>
          <w:sz w:val="30"/>
          <w:szCs w:val="30"/>
        </w:rPr>
      </w:pPr>
      <w:r>
        <w:rPr>
          <w:rFonts w:hint="eastAsia" w:ascii="黑体" w:hAnsi="黑体" w:eastAsia="黑体" w:cs="黑体"/>
          <w:kern w:val="0"/>
          <w:sz w:val="30"/>
          <w:szCs w:val="30"/>
        </w:rPr>
        <w:t>项目实施成效</w:t>
      </w:r>
    </w:p>
    <w:p w14:paraId="19108CBB">
      <w:pPr>
        <w:widowControl/>
        <w:numPr>
          <w:ilvl w:val="0"/>
          <w:numId w:val="0"/>
        </w:numPr>
        <w:ind w:firstLine="600" w:firstLineChars="200"/>
        <w:jc w:val="left"/>
        <w:rPr>
          <w:rFonts w:hint="eastAsia" w:ascii="黑体" w:hAnsi="黑体" w:eastAsia="黑体" w:cs="黑体"/>
          <w:kern w:val="0"/>
          <w:sz w:val="30"/>
          <w:szCs w:val="30"/>
          <w:highlight w:val="none"/>
        </w:rPr>
      </w:pPr>
      <w:r>
        <w:rPr>
          <w:rFonts w:hint="default" w:ascii="Times New Roman" w:hAnsi="Times New Roman" w:eastAsia="仿宋_GB2312" w:cs="Times New Roman"/>
          <w:b w:val="0"/>
          <w:bCs w:val="0"/>
          <w:kern w:val="0"/>
          <w:sz w:val="30"/>
          <w:szCs w:val="30"/>
          <w:highlight w:val="none"/>
          <w:lang w:val="en-US" w:eastAsia="zh-CN"/>
        </w:rPr>
        <w:t>严格按照国家基本公卫管理要求，落实开展相关项目，确保上级业务部门下达绩效考核目标全面完成，推进健康昆明建设，持续提升辖区公共卫生水平，有效巩固现有工作成果，着力提升群众获得感、服务对象满意度达上级要求。受益对象满意度达90%以上。</w:t>
      </w:r>
    </w:p>
    <w:p w14:paraId="455B9D23">
      <w:pPr>
        <w:widowControl/>
        <w:numPr>
          <w:ilvl w:val="0"/>
          <w:numId w:val="1"/>
        </w:numPr>
        <w:ind w:firstLine="600" w:firstLineChars="200"/>
        <w:jc w:val="left"/>
        <w:rPr>
          <w:rFonts w:hint="eastAsia" w:ascii="黑体" w:hAnsi="黑体" w:eastAsia="黑体" w:cs="黑体"/>
          <w:kern w:val="0"/>
          <w:sz w:val="30"/>
          <w:szCs w:val="30"/>
        </w:rPr>
      </w:pPr>
      <w:r>
        <w:rPr>
          <w:rFonts w:hint="eastAsia" w:ascii="黑体" w:hAnsi="黑体" w:eastAsia="黑体" w:cs="黑体"/>
          <w:kern w:val="0"/>
          <w:sz w:val="30"/>
          <w:szCs w:val="30"/>
        </w:rPr>
        <w:t>项目绩效目标表</w:t>
      </w:r>
    </w:p>
    <w:tbl>
      <w:tblPr>
        <w:tblStyle w:val="7"/>
        <w:tblW w:w="10272" w:type="dxa"/>
        <w:tblInd w:w="-66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39"/>
        <w:gridCol w:w="588"/>
        <w:gridCol w:w="1101"/>
        <w:gridCol w:w="984"/>
        <w:gridCol w:w="786"/>
        <w:gridCol w:w="1003"/>
        <w:gridCol w:w="960"/>
        <w:gridCol w:w="1440"/>
        <w:gridCol w:w="1091"/>
        <w:gridCol w:w="1280"/>
      </w:tblGrid>
      <w:tr w14:paraId="69E5C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4" w:hRule="atLeast"/>
        </w:trPr>
        <w:tc>
          <w:tcPr>
            <w:tcW w:w="10272" w:type="dxa"/>
            <w:gridSpan w:val="10"/>
            <w:tcBorders>
              <w:top w:val="nil"/>
              <w:left w:val="nil"/>
              <w:bottom w:val="nil"/>
              <w:right w:val="nil"/>
            </w:tcBorders>
            <w:noWrap w:val="0"/>
            <w:vAlign w:val="center"/>
          </w:tcPr>
          <w:p w14:paraId="07FDC4D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项目绩效目标表</w:t>
            </w:r>
          </w:p>
        </w:tc>
      </w:tr>
      <w:tr w14:paraId="572F0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2" w:hRule="atLeast"/>
        </w:trPr>
        <w:tc>
          <w:tcPr>
            <w:tcW w:w="1039" w:type="dxa"/>
            <w:vMerge w:val="restart"/>
            <w:tcBorders>
              <w:top w:val="single" w:color="000000" w:sz="4" w:space="0"/>
              <w:left w:val="single" w:color="000000" w:sz="4" w:space="0"/>
              <w:bottom w:val="single" w:color="000000" w:sz="4" w:space="0"/>
              <w:right w:val="single" w:color="000000" w:sz="4" w:space="0"/>
            </w:tcBorders>
            <w:noWrap w:val="0"/>
            <w:vAlign w:val="center"/>
          </w:tcPr>
          <w:p w14:paraId="0AD9BC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项目目标</w:t>
            </w:r>
          </w:p>
        </w:tc>
        <w:tc>
          <w:tcPr>
            <w:tcW w:w="1689" w:type="dxa"/>
            <w:gridSpan w:val="2"/>
            <w:tcBorders>
              <w:top w:val="single" w:color="000000" w:sz="4" w:space="0"/>
              <w:left w:val="single" w:color="000000" w:sz="4" w:space="0"/>
              <w:bottom w:val="single" w:color="000000" w:sz="4" w:space="0"/>
              <w:right w:val="single" w:color="000000" w:sz="4" w:space="0"/>
            </w:tcBorders>
            <w:noWrap/>
            <w:vAlign w:val="center"/>
          </w:tcPr>
          <w:p w14:paraId="6E7C67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总体目标(2026年-2028年)</w:t>
            </w:r>
          </w:p>
        </w:tc>
        <w:tc>
          <w:tcPr>
            <w:tcW w:w="7544" w:type="dxa"/>
            <w:gridSpan w:val="7"/>
            <w:tcBorders>
              <w:top w:val="single" w:color="000000" w:sz="4" w:space="0"/>
              <w:left w:val="single" w:color="000000" w:sz="4" w:space="0"/>
              <w:bottom w:val="single" w:color="000000" w:sz="4" w:space="0"/>
              <w:right w:val="single" w:color="000000" w:sz="4" w:space="0"/>
            </w:tcBorders>
            <w:noWrap/>
            <w:vAlign w:val="top"/>
          </w:tcPr>
          <w:p w14:paraId="2B588F12">
            <w:pPr>
              <w:keepNext w:val="0"/>
              <w:keepLines w:val="0"/>
              <w:widowControl/>
              <w:suppressLineNumbers w:val="0"/>
              <w:jc w:val="left"/>
              <w:textAlignment w:val="top"/>
              <w:rPr>
                <w:rFonts w:hint="eastAsia" w:ascii="宋体" w:hAnsi="宋体" w:eastAsia="宋体" w:cs="宋体"/>
                <w:b w:val="0"/>
                <w:bCs w:val="0"/>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严格按照国家基本公卫管理要求，落实开展相关项目，确保上级业务部门下达绩效考核目标全面完成，推进健康昆明建设，持续提升辖区公共卫生水平，有效巩固现有工作成果，着力提升群众获得感、服务对象满意度达上级要求。</w:t>
            </w:r>
          </w:p>
        </w:tc>
      </w:tr>
      <w:tr w14:paraId="65276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03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2844D2">
            <w:pPr>
              <w:jc w:val="center"/>
              <w:rPr>
                <w:rFonts w:hint="eastAsia" w:ascii="宋体" w:hAnsi="宋体" w:eastAsia="宋体" w:cs="宋体"/>
                <w:i w:val="0"/>
                <w:iCs w:val="0"/>
                <w:color w:val="000000"/>
                <w:sz w:val="18"/>
                <w:szCs w:val="18"/>
                <w:u w:val="none"/>
              </w:rPr>
            </w:pPr>
          </w:p>
        </w:tc>
        <w:tc>
          <w:tcPr>
            <w:tcW w:w="1689" w:type="dxa"/>
            <w:gridSpan w:val="2"/>
            <w:tcBorders>
              <w:top w:val="single" w:color="000000" w:sz="4" w:space="0"/>
              <w:left w:val="single" w:color="000000" w:sz="4" w:space="0"/>
              <w:bottom w:val="single" w:color="000000" w:sz="4" w:space="0"/>
              <w:right w:val="single" w:color="000000" w:sz="4" w:space="0"/>
            </w:tcBorders>
            <w:noWrap/>
            <w:vAlign w:val="center"/>
          </w:tcPr>
          <w:p w14:paraId="038807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预算年度(2026年)目标</w:t>
            </w:r>
          </w:p>
        </w:tc>
        <w:tc>
          <w:tcPr>
            <w:tcW w:w="7544" w:type="dxa"/>
            <w:gridSpan w:val="7"/>
            <w:tcBorders>
              <w:top w:val="single" w:color="000000" w:sz="4" w:space="0"/>
              <w:left w:val="single" w:color="000000" w:sz="4" w:space="0"/>
              <w:bottom w:val="single" w:color="000000" w:sz="4" w:space="0"/>
              <w:right w:val="single" w:color="000000" w:sz="4" w:space="0"/>
            </w:tcBorders>
            <w:noWrap/>
            <w:vAlign w:val="top"/>
          </w:tcPr>
          <w:p w14:paraId="5C1DDC1A">
            <w:pPr>
              <w:keepNext w:val="0"/>
              <w:keepLines w:val="0"/>
              <w:widowControl/>
              <w:suppressLineNumbers w:val="0"/>
              <w:jc w:val="left"/>
              <w:textAlignment w:val="top"/>
              <w:rPr>
                <w:rFonts w:hint="eastAsia" w:ascii="宋体" w:hAnsi="宋体" w:eastAsia="宋体" w:cs="宋体"/>
                <w:b w:val="0"/>
                <w:bCs w:val="0"/>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参照《昆明市财政局关于下达2025年基本公共卫生服务项目中央补助资金的通知》（昆财社〔2025〕33号）文件要求，</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1.免费向城乡居民提供基本公共卫生服务，促进基本公共卫生服务均等化。</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按照《国家基本公共卫生服务规范（第三版）》为城乡居民建立健康档案，开展健康教育、预防接种等服务，将0-6岁儿童、65岁以上老年人、孕产妇、原发性高血压和2型糖尿病患者、严重精神障碍患者、肺结核患者列为重点人群，提供针对性的健康管理服务。</w:t>
            </w:r>
          </w:p>
        </w:tc>
      </w:tr>
      <w:tr w14:paraId="78DFA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461" w:type="dxa"/>
            <w:gridSpan w:val="7"/>
            <w:tcBorders>
              <w:top w:val="single" w:color="000000" w:sz="4" w:space="0"/>
              <w:left w:val="single" w:color="000000" w:sz="4" w:space="0"/>
              <w:bottom w:val="single" w:color="000000" w:sz="4" w:space="0"/>
              <w:right w:val="single" w:color="000000" w:sz="4" w:space="0"/>
            </w:tcBorders>
            <w:noWrap w:val="0"/>
            <w:vAlign w:val="center"/>
          </w:tcPr>
          <w:p w14:paraId="3787BC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1440" w:type="dxa"/>
            <w:vMerge w:val="restart"/>
            <w:tcBorders>
              <w:top w:val="single" w:color="000000" w:sz="4" w:space="0"/>
              <w:left w:val="single" w:color="000000" w:sz="4" w:space="0"/>
              <w:bottom w:val="single" w:color="000000" w:sz="4" w:space="0"/>
              <w:right w:val="single" w:color="000000" w:sz="4" w:space="0"/>
            </w:tcBorders>
            <w:noWrap w:val="0"/>
            <w:vAlign w:val="center"/>
          </w:tcPr>
          <w:p w14:paraId="59A4A8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评（扣）分标准</w:t>
            </w:r>
          </w:p>
        </w:tc>
        <w:tc>
          <w:tcPr>
            <w:tcW w:w="1091" w:type="dxa"/>
            <w:vMerge w:val="restart"/>
            <w:tcBorders>
              <w:top w:val="single" w:color="000000" w:sz="4" w:space="0"/>
              <w:left w:val="single" w:color="000000" w:sz="4" w:space="0"/>
              <w:bottom w:val="single" w:color="000000" w:sz="4" w:space="0"/>
              <w:right w:val="single" w:color="000000" w:sz="4" w:space="0"/>
            </w:tcBorders>
            <w:noWrap w:val="0"/>
            <w:vAlign w:val="center"/>
          </w:tcPr>
          <w:p w14:paraId="58D1FD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指标内容</w:t>
            </w:r>
          </w:p>
        </w:tc>
        <w:tc>
          <w:tcPr>
            <w:tcW w:w="1280" w:type="dxa"/>
            <w:vMerge w:val="restart"/>
            <w:tcBorders>
              <w:top w:val="single" w:color="000000" w:sz="4" w:space="0"/>
              <w:left w:val="single" w:color="000000" w:sz="4" w:space="0"/>
              <w:bottom w:val="single" w:color="000000" w:sz="4" w:space="0"/>
              <w:right w:val="single" w:color="000000" w:sz="4" w:space="0"/>
            </w:tcBorders>
            <w:noWrap w:val="0"/>
            <w:vAlign w:val="center"/>
          </w:tcPr>
          <w:p w14:paraId="5ED469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绩效指标值设定依据及数据来源</w:t>
            </w:r>
          </w:p>
        </w:tc>
      </w:tr>
      <w:tr w14:paraId="6E7E8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1039" w:type="dxa"/>
            <w:tcBorders>
              <w:top w:val="single" w:color="000000" w:sz="4" w:space="0"/>
              <w:left w:val="single" w:color="000000" w:sz="4" w:space="0"/>
              <w:bottom w:val="single" w:color="000000" w:sz="4" w:space="0"/>
              <w:right w:val="single" w:color="000000" w:sz="4" w:space="0"/>
            </w:tcBorders>
            <w:noWrap/>
            <w:vAlign w:val="center"/>
          </w:tcPr>
          <w:p w14:paraId="36CE7B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588" w:type="dxa"/>
            <w:tcBorders>
              <w:top w:val="single" w:color="000000" w:sz="4" w:space="0"/>
              <w:left w:val="single" w:color="000000" w:sz="4" w:space="0"/>
              <w:bottom w:val="single" w:color="000000" w:sz="4" w:space="0"/>
              <w:right w:val="single" w:color="000000" w:sz="4" w:space="0"/>
            </w:tcBorders>
            <w:noWrap/>
            <w:vAlign w:val="center"/>
          </w:tcPr>
          <w:p w14:paraId="51C866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1101" w:type="dxa"/>
            <w:tcBorders>
              <w:top w:val="single" w:color="000000" w:sz="4" w:space="0"/>
              <w:left w:val="single" w:color="000000" w:sz="4" w:space="0"/>
              <w:bottom w:val="single" w:color="000000" w:sz="4" w:space="0"/>
              <w:right w:val="single" w:color="000000" w:sz="4" w:space="0"/>
            </w:tcBorders>
            <w:noWrap/>
            <w:vAlign w:val="center"/>
          </w:tcPr>
          <w:p w14:paraId="70E84C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984" w:type="dxa"/>
            <w:tcBorders>
              <w:top w:val="single" w:color="000000" w:sz="4" w:space="0"/>
              <w:left w:val="single" w:color="000000" w:sz="4" w:space="0"/>
              <w:bottom w:val="single" w:color="000000" w:sz="4" w:space="0"/>
              <w:right w:val="single" w:color="000000" w:sz="4" w:space="0"/>
            </w:tcBorders>
            <w:noWrap/>
            <w:vAlign w:val="center"/>
          </w:tcPr>
          <w:p w14:paraId="7017ACD4">
            <w:pPr>
              <w:keepNext w:val="0"/>
              <w:keepLines w:val="0"/>
              <w:widowControl/>
              <w:suppressLineNumbers w:val="0"/>
              <w:jc w:val="center"/>
              <w:textAlignment w:val="center"/>
            </w:pPr>
            <w:r>
              <w:rPr>
                <w:rFonts w:hint="eastAsia" w:ascii="宋体" w:hAnsi="宋体" w:eastAsia="宋体" w:cs="宋体"/>
                <w:i w:val="0"/>
                <w:iCs w:val="0"/>
                <w:color w:val="000000"/>
                <w:kern w:val="0"/>
                <w:sz w:val="18"/>
                <w:szCs w:val="18"/>
                <w:u w:val="none"/>
                <w:lang w:val="en-US" w:eastAsia="zh-CN" w:bidi="ar"/>
              </w:rPr>
              <w:t>指标性质</w:t>
            </w:r>
          </w:p>
        </w:tc>
        <w:tc>
          <w:tcPr>
            <w:tcW w:w="786" w:type="dxa"/>
            <w:tcBorders>
              <w:top w:val="single" w:color="000000" w:sz="4" w:space="0"/>
              <w:left w:val="single" w:color="000000" w:sz="4" w:space="0"/>
              <w:bottom w:val="single" w:color="000000" w:sz="4" w:space="0"/>
              <w:right w:val="single" w:color="000000" w:sz="4" w:space="0"/>
            </w:tcBorders>
            <w:noWrap w:val="0"/>
            <w:vAlign w:val="center"/>
          </w:tcPr>
          <w:p w14:paraId="2180FC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指标值</w:t>
            </w:r>
          </w:p>
        </w:tc>
        <w:tc>
          <w:tcPr>
            <w:tcW w:w="1003" w:type="dxa"/>
            <w:tcBorders>
              <w:top w:val="single" w:color="000000" w:sz="4" w:space="0"/>
              <w:left w:val="single" w:color="000000" w:sz="4" w:space="0"/>
              <w:bottom w:val="single" w:color="000000" w:sz="4" w:space="0"/>
              <w:right w:val="single" w:color="000000" w:sz="4" w:space="0"/>
            </w:tcBorders>
            <w:noWrap w:val="0"/>
            <w:vAlign w:val="center"/>
          </w:tcPr>
          <w:p w14:paraId="79A113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度量单位</w:t>
            </w:r>
          </w:p>
        </w:tc>
        <w:tc>
          <w:tcPr>
            <w:tcW w:w="960" w:type="dxa"/>
            <w:tcBorders>
              <w:top w:val="single" w:color="000000" w:sz="4" w:space="0"/>
              <w:left w:val="single" w:color="000000" w:sz="4" w:space="0"/>
              <w:bottom w:val="single" w:color="000000" w:sz="4" w:space="0"/>
              <w:right w:val="single" w:color="000000" w:sz="4" w:space="0"/>
            </w:tcBorders>
            <w:noWrap w:val="0"/>
            <w:vAlign w:val="center"/>
          </w:tcPr>
          <w:p w14:paraId="0C36D7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指标属性</w:t>
            </w:r>
          </w:p>
        </w:tc>
        <w:tc>
          <w:tcPr>
            <w:tcW w:w="14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E2583E">
            <w:pPr>
              <w:jc w:val="center"/>
              <w:rPr>
                <w:rFonts w:hint="eastAsia" w:ascii="宋体" w:hAnsi="宋体" w:eastAsia="宋体" w:cs="宋体"/>
                <w:i w:val="0"/>
                <w:iCs w:val="0"/>
                <w:color w:val="000000"/>
                <w:sz w:val="18"/>
                <w:szCs w:val="18"/>
                <w:u w:val="none"/>
              </w:rPr>
            </w:pPr>
          </w:p>
        </w:tc>
        <w:tc>
          <w:tcPr>
            <w:tcW w:w="109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6CAE91">
            <w:pPr>
              <w:jc w:val="center"/>
              <w:rPr>
                <w:rFonts w:hint="eastAsia" w:ascii="宋体" w:hAnsi="宋体" w:eastAsia="宋体" w:cs="宋体"/>
                <w:i w:val="0"/>
                <w:iCs w:val="0"/>
                <w:color w:val="000000"/>
                <w:sz w:val="18"/>
                <w:szCs w:val="18"/>
                <w:u w:val="none"/>
              </w:rPr>
            </w:pPr>
          </w:p>
        </w:tc>
        <w:tc>
          <w:tcPr>
            <w:tcW w:w="12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A9572E">
            <w:pPr>
              <w:jc w:val="center"/>
              <w:rPr>
                <w:rFonts w:hint="eastAsia" w:ascii="宋体" w:hAnsi="宋体" w:eastAsia="宋体" w:cs="宋体"/>
                <w:i w:val="0"/>
                <w:iCs w:val="0"/>
                <w:color w:val="000000"/>
                <w:sz w:val="18"/>
                <w:szCs w:val="18"/>
                <w:u w:val="none"/>
              </w:rPr>
            </w:pPr>
          </w:p>
        </w:tc>
      </w:tr>
      <w:tr w14:paraId="2BB3E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039" w:type="dxa"/>
            <w:tcBorders>
              <w:top w:val="single" w:color="000000" w:sz="4" w:space="0"/>
              <w:left w:val="single" w:color="000000" w:sz="4" w:space="0"/>
              <w:bottom w:val="single" w:color="000000" w:sz="4" w:space="0"/>
              <w:right w:val="single" w:color="000000" w:sz="4" w:space="0"/>
            </w:tcBorders>
            <w:noWrap w:val="0"/>
            <w:vAlign w:val="center"/>
          </w:tcPr>
          <w:p w14:paraId="4131D57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588" w:type="dxa"/>
            <w:tcBorders>
              <w:top w:val="single" w:color="000000" w:sz="4" w:space="0"/>
              <w:left w:val="single" w:color="000000" w:sz="4" w:space="0"/>
              <w:bottom w:val="single" w:color="000000" w:sz="4" w:space="0"/>
              <w:right w:val="single" w:color="000000" w:sz="4" w:space="0"/>
            </w:tcBorders>
            <w:noWrap w:val="0"/>
            <w:vAlign w:val="center"/>
          </w:tcPr>
          <w:p w14:paraId="6447DDBB">
            <w:pPr>
              <w:jc w:val="left"/>
              <w:rPr>
                <w:rFonts w:hint="eastAsia" w:ascii="宋体" w:hAnsi="宋体" w:eastAsia="宋体" w:cs="宋体"/>
                <w:i w:val="0"/>
                <w:iCs w:val="0"/>
                <w:color w:val="000000"/>
                <w:sz w:val="18"/>
                <w:szCs w:val="18"/>
                <w:u w:val="none"/>
              </w:rPr>
            </w:pPr>
          </w:p>
        </w:tc>
        <w:tc>
          <w:tcPr>
            <w:tcW w:w="1101" w:type="dxa"/>
            <w:tcBorders>
              <w:top w:val="single" w:color="000000" w:sz="4" w:space="0"/>
              <w:left w:val="single" w:color="000000" w:sz="4" w:space="0"/>
              <w:bottom w:val="single" w:color="000000" w:sz="4" w:space="0"/>
              <w:right w:val="single" w:color="000000" w:sz="4" w:space="0"/>
            </w:tcBorders>
            <w:noWrap w:val="0"/>
            <w:vAlign w:val="center"/>
          </w:tcPr>
          <w:p w14:paraId="5ADA233F">
            <w:pPr>
              <w:jc w:val="left"/>
              <w:rPr>
                <w:rFonts w:hint="eastAsia" w:ascii="宋体" w:hAnsi="宋体" w:eastAsia="宋体" w:cs="宋体"/>
                <w:i w:val="0"/>
                <w:iCs w:val="0"/>
                <w:color w:val="000000"/>
                <w:sz w:val="18"/>
                <w:szCs w:val="18"/>
                <w:u w:val="none"/>
              </w:rPr>
            </w:pPr>
          </w:p>
        </w:tc>
        <w:tc>
          <w:tcPr>
            <w:tcW w:w="984" w:type="dxa"/>
            <w:tcBorders>
              <w:top w:val="single" w:color="000000" w:sz="4" w:space="0"/>
              <w:left w:val="single" w:color="000000" w:sz="4" w:space="0"/>
              <w:bottom w:val="single" w:color="000000" w:sz="4" w:space="0"/>
              <w:right w:val="single" w:color="000000" w:sz="4" w:space="0"/>
            </w:tcBorders>
            <w:noWrap w:val="0"/>
            <w:vAlign w:val="center"/>
          </w:tcPr>
          <w:p w14:paraId="055B9409">
            <w:pPr>
              <w:jc w:val="left"/>
            </w:pPr>
          </w:p>
        </w:tc>
        <w:tc>
          <w:tcPr>
            <w:tcW w:w="786" w:type="dxa"/>
            <w:tcBorders>
              <w:top w:val="single" w:color="000000" w:sz="4" w:space="0"/>
              <w:left w:val="single" w:color="000000" w:sz="4" w:space="0"/>
              <w:bottom w:val="single" w:color="000000" w:sz="4" w:space="0"/>
              <w:right w:val="single" w:color="000000" w:sz="4" w:space="0"/>
            </w:tcBorders>
            <w:noWrap/>
            <w:vAlign w:val="center"/>
          </w:tcPr>
          <w:p w14:paraId="06DBB4F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003" w:type="dxa"/>
            <w:tcBorders>
              <w:top w:val="single" w:color="000000" w:sz="4" w:space="0"/>
              <w:left w:val="single" w:color="000000" w:sz="4" w:space="0"/>
              <w:bottom w:val="single" w:color="000000" w:sz="4" w:space="0"/>
              <w:right w:val="single" w:color="000000" w:sz="4" w:space="0"/>
            </w:tcBorders>
            <w:noWrap/>
            <w:vAlign w:val="center"/>
          </w:tcPr>
          <w:p w14:paraId="6E94D204">
            <w:pPr>
              <w:jc w:val="left"/>
              <w:rPr>
                <w:rFonts w:hint="eastAsia" w:ascii="宋体" w:hAnsi="宋体" w:eastAsia="宋体" w:cs="宋体"/>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6018189B">
            <w:pPr>
              <w:jc w:val="left"/>
              <w:rPr>
                <w:rFonts w:hint="eastAsia" w:ascii="宋体" w:hAnsi="宋体" w:eastAsia="宋体" w:cs="宋体"/>
                <w:i w:val="0"/>
                <w:iCs w:val="0"/>
                <w:color w:val="000000"/>
                <w:sz w:val="18"/>
                <w:szCs w:val="18"/>
                <w:u w:val="none"/>
              </w:rPr>
            </w:pPr>
          </w:p>
        </w:tc>
        <w:tc>
          <w:tcPr>
            <w:tcW w:w="1440" w:type="dxa"/>
            <w:tcBorders>
              <w:top w:val="single" w:color="000000" w:sz="4" w:space="0"/>
              <w:left w:val="single" w:color="000000" w:sz="4" w:space="0"/>
              <w:bottom w:val="single" w:color="000000" w:sz="4" w:space="0"/>
              <w:right w:val="single" w:color="000000" w:sz="4" w:space="0"/>
            </w:tcBorders>
            <w:noWrap/>
            <w:vAlign w:val="center"/>
          </w:tcPr>
          <w:p w14:paraId="693D231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noWrap/>
            <w:vAlign w:val="center"/>
          </w:tcPr>
          <w:p w14:paraId="6603B7D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280" w:type="dxa"/>
            <w:tcBorders>
              <w:top w:val="single" w:color="000000" w:sz="4" w:space="0"/>
              <w:left w:val="single" w:color="000000" w:sz="4" w:space="0"/>
              <w:bottom w:val="single" w:color="000000" w:sz="4" w:space="0"/>
              <w:right w:val="single" w:color="000000" w:sz="4" w:space="0"/>
            </w:tcBorders>
            <w:noWrap w:val="0"/>
            <w:vAlign w:val="center"/>
          </w:tcPr>
          <w:p w14:paraId="255900F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r>
      <w:tr w14:paraId="06B8F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039" w:type="dxa"/>
            <w:tcBorders>
              <w:top w:val="single" w:color="000000" w:sz="4" w:space="0"/>
              <w:left w:val="single" w:color="000000" w:sz="4" w:space="0"/>
              <w:bottom w:val="single" w:color="000000" w:sz="4" w:space="0"/>
              <w:right w:val="single" w:color="000000" w:sz="4" w:space="0"/>
            </w:tcBorders>
            <w:noWrap w:val="0"/>
            <w:vAlign w:val="center"/>
          </w:tcPr>
          <w:p w14:paraId="2E4452DE">
            <w:pPr>
              <w:jc w:val="left"/>
              <w:rPr>
                <w:rFonts w:hint="eastAsia" w:ascii="宋体" w:hAnsi="宋体" w:eastAsia="宋体" w:cs="宋体"/>
                <w:i w:val="0"/>
                <w:iCs w:val="0"/>
                <w:color w:val="000000"/>
                <w:sz w:val="18"/>
                <w:szCs w:val="18"/>
                <w:u w:val="none"/>
              </w:rPr>
            </w:pPr>
          </w:p>
        </w:tc>
        <w:tc>
          <w:tcPr>
            <w:tcW w:w="588" w:type="dxa"/>
            <w:tcBorders>
              <w:top w:val="single" w:color="000000" w:sz="4" w:space="0"/>
              <w:left w:val="single" w:color="000000" w:sz="4" w:space="0"/>
              <w:bottom w:val="single" w:color="000000" w:sz="4" w:space="0"/>
              <w:right w:val="single" w:color="000000" w:sz="4" w:space="0"/>
            </w:tcBorders>
            <w:noWrap w:val="0"/>
            <w:vAlign w:val="center"/>
          </w:tcPr>
          <w:p w14:paraId="3A11E1E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1101" w:type="dxa"/>
            <w:tcBorders>
              <w:top w:val="single" w:color="000000" w:sz="4" w:space="0"/>
              <w:left w:val="single" w:color="000000" w:sz="4" w:space="0"/>
              <w:bottom w:val="single" w:color="000000" w:sz="4" w:space="0"/>
              <w:right w:val="single" w:color="000000" w:sz="4" w:space="0"/>
            </w:tcBorders>
            <w:noWrap w:val="0"/>
            <w:vAlign w:val="center"/>
          </w:tcPr>
          <w:p w14:paraId="5C026D64">
            <w:pPr>
              <w:jc w:val="left"/>
              <w:rPr>
                <w:rFonts w:hint="eastAsia" w:ascii="宋体" w:hAnsi="宋体" w:eastAsia="宋体" w:cs="宋体"/>
                <w:i w:val="0"/>
                <w:iCs w:val="0"/>
                <w:color w:val="000000"/>
                <w:sz w:val="18"/>
                <w:szCs w:val="18"/>
                <w:u w:val="none"/>
              </w:rPr>
            </w:pPr>
          </w:p>
        </w:tc>
        <w:tc>
          <w:tcPr>
            <w:tcW w:w="984" w:type="dxa"/>
            <w:tcBorders>
              <w:top w:val="single" w:color="000000" w:sz="4" w:space="0"/>
              <w:left w:val="single" w:color="000000" w:sz="4" w:space="0"/>
              <w:bottom w:val="single" w:color="000000" w:sz="4" w:space="0"/>
              <w:right w:val="single" w:color="000000" w:sz="4" w:space="0"/>
            </w:tcBorders>
            <w:noWrap w:val="0"/>
            <w:vAlign w:val="center"/>
          </w:tcPr>
          <w:p w14:paraId="37415B25">
            <w:pPr>
              <w:jc w:val="left"/>
            </w:pPr>
          </w:p>
        </w:tc>
        <w:tc>
          <w:tcPr>
            <w:tcW w:w="786" w:type="dxa"/>
            <w:tcBorders>
              <w:top w:val="single" w:color="000000" w:sz="4" w:space="0"/>
              <w:left w:val="single" w:color="000000" w:sz="4" w:space="0"/>
              <w:bottom w:val="single" w:color="000000" w:sz="4" w:space="0"/>
              <w:right w:val="single" w:color="000000" w:sz="4" w:space="0"/>
            </w:tcBorders>
            <w:noWrap/>
            <w:vAlign w:val="center"/>
          </w:tcPr>
          <w:p w14:paraId="7EE6DBE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003" w:type="dxa"/>
            <w:tcBorders>
              <w:top w:val="single" w:color="000000" w:sz="4" w:space="0"/>
              <w:left w:val="single" w:color="000000" w:sz="4" w:space="0"/>
              <w:bottom w:val="single" w:color="000000" w:sz="4" w:space="0"/>
              <w:right w:val="single" w:color="000000" w:sz="4" w:space="0"/>
            </w:tcBorders>
            <w:noWrap/>
            <w:vAlign w:val="center"/>
          </w:tcPr>
          <w:p w14:paraId="7777C854">
            <w:pPr>
              <w:jc w:val="left"/>
              <w:rPr>
                <w:rFonts w:hint="eastAsia" w:ascii="宋体" w:hAnsi="宋体" w:eastAsia="宋体" w:cs="宋体"/>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61CBF606">
            <w:pPr>
              <w:jc w:val="left"/>
              <w:rPr>
                <w:rFonts w:hint="eastAsia" w:ascii="宋体" w:hAnsi="宋体" w:eastAsia="宋体" w:cs="宋体"/>
                <w:i w:val="0"/>
                <w:iCs w:val="0"/>
                <w:color w:val="000000"/>
                <w:sz w:val="18"/>
                <w:szCs w:val="18"/>
                <w:u w:val="none"/>
              </w:rPr>
            </w:pPr>
          </w:p>
        </w:tc>
        <w:tc>
          <w:tcPr>
            <w:tcW w:w="1440" w:type="dxa"/>
            <w:tcBorders>
              <w:top w:val="single" w:color="000000" w:sz="4" w:space="0"/>
              <w:left w:val="single" w:color="000000" w:sz="4" w:space="0"/>
              <w:bottom w:val="single" w:color="000000" w:sz="4" w:space="0"/>
              <w:right w:val="single" w:color="000000" w:sz="4" w:space="0"/>
            </w:tcBorders>
            <w:noWrap/>
            <w:vAlign w:val="center"/>
          </w:tcPr>
          <w:p w14:paraId="5451368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noWrap/>
            <w:vAlign w:val="center"/>
          </w:tcPr>
          <w:p w14:paraId="2511C3B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280" w:type="dxa"/>
            <w:tcBorders>
              <w:top w:val="single" w:color="000000" w:sz="4" w:space="0"/>
              <w:left w:val="single" w:color="000000" w:sz="4" w:space="0"/>
              <w:bottom w:val="single" w:color="000000" w:sz="4" w:space="0"/>
              <w:right w:val="single" w:color="000000" w:sz="4" w:space="0"/>
            </w:tcBorders>
            <w:noWrap w:val="0"/>
            <w:vAlign w:val="center"/>
          </w:tcPr>
          <w:p w14:paraId="156A4DE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r>
      <w:tr w14:paraId="2D032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1039" w:type="dxa"/>
            <w:tcBorders>
              <w:top w:val="single" w:color="000000" w:sz="4" w:space="0"/>
              <w:left w:val="single" w:color="000000" w:sz="4" w:space="0"/>
              <w:bottom w:val="single" w:color="000000" w:sz="4" w:space="0"/>
              <w:right w:val="single" w:color="000000" w:sz="4" w:space="0"/>
            </w:tcBorders>
            <w:noWrap w:val="0"/>
            <w:vAlign w:val="center"/>
          </w:tcPr>
          <w:p w14:paraId="72BBC313">
            <w:pPr>
              <w:jc w:val="left"/>
              <w:rPr>
                <w:rFonts w:hint="eastAsia" w:ascii="宋体" w:hAnsi="宋体" w:eastAsia="宋体" w:cs="宋体"/>
                <w:i w:val="0"/>
                <w:iCs w:val="0"/>
                <w:color w:val="000000"/>
                <w:sz w:val="18"/>
                <w:szCs w:val="18"/>
                <w:u w:val="none"/>
              </w:rPr>
            </w:pPr>
          </w:p>
        </w:tc>
        <w:tc>
          <w:tcPr>
            <w:tcW w:w="588" w:type="dxa"/>
            <w:tcBorders>
              <w:top w:val="single" w:color="000000" w:sz="4" w:space="0"/>
              <w:left w:val="single" w:color="000000" w:sz="4" w:space="0"/>
              <w:bottom w:val="single" w:color="000000" w:sz="4" w:space="0"/>
              <w:right w:val="single" w:color="000000" w:sz="4" w:space="0"/>
            </w:tcBorders>
            <w:noWrap w:val="0"/>
            <w:vAlign w:val="center"/>
          </w:tcPr>
          <w:p w14:paraId="01A9CA00">
            <w:pPr>
              <w:jc w:val="left"/>
              <w:rPr>
                <w:rFonts w:hint="eastAsia" w:ascii="宋体" w:hAnsi="宋体" w:eastAsia="宋体" w:cs="宋体"/>
                <w:i w:val="0"/>
                <w:iCs w:val="0"/>
                <w:color w:val="000000"/>
                <w:sz w:val="18"/>
                <w:szCs w:val="18"/>
                <w:u w:val="none"/>
              </w:rPr>
            </w:pPr>
          </w:p>
        </w:tc>
        <w:tc>
          <w:tcPr>
            <w:tcW w:w="1101" w:type="dxa"/>
            <w:tcBorders>
              <w:top w:val="single" w:color="000000" w:sz="4" w:space="0"/>
              <w:left w:val="single" w:color="000000" w:sz="4" w:space="0"/>
              <w:bottom w:val="single" w:color="000000" w:sz="4" w:space="0"/>
              <w:right w:val="single" w:color="000000" w:sz="4" w:space="0"/>
            </w:tcBorders>
            <w:noWrap w:val="0"/>
            <w:vAlign w:val="center"/>
          </w:tcPr>
          <w:p w14:paraId="391EC15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适龄儿童国家免疫规划疫苗接种率</w:t>
            </w:r>
          </w:p>
        </w:tc>
        <w:tc>
          <w:tcPr>
            <w:tcW w:w="984" w:type="dxa"/>
            <w:tcBorders>
              <w:top w:val="single" w:color="000000" w:sz="4" w:space="0"/>
              <w:left w:val="single" w:color="000000" w:sz="4" w:space="0"/>
              <w:bottom w:val="single" w:color="000000" w:sz="4" w:space="0"/>
              <w:right w:val="single" w:color="000000" w:sz="4" w:space="0"/>
            </w:tcBorders>
            <w:noWrap w:val="0"/>
            <w:vAlign w:val="center"/>
          </w:tcPr>
          <w:p w14:paraId="28E28AF9">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&gt;=</w:t>
            </w:r>
          </w:p>
        </w:tc>
        <w:tc>
          <w:tcPr>
            <w:tcW w:w="786" w:type="dxa"/>
            <w:tcBorders>
              <w:top w:val="single" w:color="000000" w:sz="4" w:space="0"/>
              <w:left w:val="single" w:color="000000" w:sz="4" w:space="0"/>
              <w:bottom w:val="single" w:color="000000" w:sz="4" w:space="0"/>
              <w:right w:val="single" w:color="000000" w:sz="4" w:space="0"/>
            </w:tcBorders>
            <w:noWrap/>
            <w:vAlign w:val="center"/>
          </w:tcPr>
          <w:p w14:paraId="135039D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1003" w:type="dxa"/>
            <w:tcBorders>
              <w:top w:val="single" w:color="000000" w:sz="4" w:space="0"/>
              <w:left w:val="single" w:color="000000" w:sz="4" w:space="0"/>
              <w:bottom w:val="single" w:color="000000" w:sz="4" w:space="0"/>
              <w:right w:val="single" w:color="000000" w:sz="4" w:space="0"/>
            </w:tcBorders>
            <w:noWrap/>
            <w:vAlign w:val="center"/>
          </w:tcPr>
          <w:p w14:paraId="13FBA24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70A385A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定量指标</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7873E9A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达到标准值得3.2分；未达到标准值，则按实际完成率/计划完成率*100%计分</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1B063A1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反映适龄儿童国家免疫规划疫苗接种率</w:t>
            </w:r>
          </w:p>
        </w:tc>
        <w:tc>
          <w:tcPr>
            <w:tcW w:w="1280" w:type="dxa"/>
            <w:tcBorders>
              <w:top w:val="single" w:color="000000" w:sz="4" w:space="0"/>
              <w:left w:val="single" w:color="000000" w:sz="4" w:space="0"/>
              <w:bottom w:val="single" w:color="000000" w:sz="4" w:space="0"/>
              <w:right w:val="single" w:color="000000" w:sz="4" w:space="0"/>
            </w:tcBorders>
            <w:noWrap w:val="0"/>
            <w:vAlign w:val="center"/>
          </w:tcPr>
          <w:p w14:paraId="265BC4A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昆财社〔2025〕33号 昆明市财政局关于下达2025年基本公共卫生服务项目中央补助资金的通知</w:t>
            </w:r>
          </w:p>
        </w:tc>
      </w:tr>
      <w:tr w14:paraId="27E86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1039" w:type="dxa"/>
            <w:tcBorders>
              <w:top w:val="single" w:color="000000" w:sz="4" w:space="0"/>
              <w:left w:val="single" w:color="000000" w:sz="4" w:space="0"/>
              <w:bottom w:val="single" w:color="000000" w:sz="4" w:space="0"/>
              <w:right w:val="single" w:color="000000" w:sz="4" w:space="0"/>
            </w:tcBorders>
            <w:noWrap w:val="0"/>
            <w:vAlign w:val="center"/>
          </w:tcPr>
          <w:p w14:paraId="4D08656E">
            <w:pPr>
              <w:jc w:val="left"/>
              <w:rPr>
                <w:rFonts w:hint="eastAsia" w:ascii="宋体" w:hAnsi="宋体" w:eastAsia="宋体" w:cs="宋体"/>
                <w:i w:val="0"/>
                <w:iCs w:val="0"/>
                <w:color w:val="000000"/>
                <w:sz w:val="18"/>
                <w:szCs w:val="18"/>
                <w:u w:val="none"/>
              </w:rPr>
            </w:pPr>
          </w:p>
        </w:tc>
        <w:tc>
          <w:tcPr>
            <w:tcW w:w="588" w:type="dxa"/>
            <w:tcBorders>
              <w:top w:val="single" w:color="000000" w:sz="4" w:space="0"/>
              <w:left w:val="single" w:color="000000" w:sz="4" w:space="0"/>
              <w:bottom w:val="single" w:color="000000" w:sz="4" w:space="0"/>
              <w:right w:val="single" w:color="000000" w:sz="4" w:space="0"/>
            </w:tcBorders>
            <w:noWrap w:val="0"/>
            <w:vAlign w:val="center"/>
          </w:tcPr>
          <w:p w14:paraId="5098AD62">
            <w:pPr>
              <w:jc w:val="left"/>
              <w:rPr>
                <w:rFonts w:hint="eastAsia" w:ascii="宋体" w:hAnsi="宋体" w:eastAsia="宋体" w:cs="宋体"/>
                <w:i w:val="0"/>
                <w:iCs w:val="0"/>
                <w:color w:val="000000"/>
                <w:sz w:val="18"/>
                <w:szCs w:val="18"/>
                <w:u w:val="none"/>
              </w:rPr>
            </w:pPr>
          </w:p>
        </w:tc>
        <w:tc>
          <w:tcPr>
            <w:tcW w:w="1101" w:type="dxa"/>
            <w:tcBorders>
              <w:top w:val="single" w:color="000000" w:sz="4" w:space="0"/>
              <w:left w:val="single" w:color="000000" w:sz="4" w:space="0"/>
              <w:bottom w:val="single" w:color="000000" w:sz="4" w:space="0"/>
              <w:right w:val="single" w:color="000000" w:sz="4" w:space="0"/>
            </w:tcBorders>
            <w:noWrap w:val="0"/>
            <w:vAlign w:val="center"/>
          </w:tcPr>
          <w:p w14:paraId="1E2A1EE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7岁以下儿童健康管理率</w:t>
            </w:r>
          </w:p>
        </w:tc>
        <w:tc>
          <w:tcPr>
            <w:tcW w:w="984" w:type="dxa"/>
            <w:tcBorders>
              <w:top w:val="single" w:color="000000" w:sz="4" w:space="0"/>
              <w:left w:val="single" w:color="000000" w:sz="4" w:space="0"/>
              <w:bottom w:val="single" w:color="000000" w:sz="4" w:space="0"/>
              <w:right w:val="single" w:color="000000" w:sz="4" w:space="0"/>
            </w:tcBorders>
            <w:noWrap w:val="0"/>
            <w:vAlign w:val="center"/>
          </w:tcPr>
          <w:p w14:paraId="48C00E48">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&gt;=</w:t>
            </w:r>
          </w:p>
        </w:tc>
        <w:tc>
          <w:tcPr>
            <w:tcW w:w="786" w:type="dxa"/>
            <w:tcBorders>
              <w:top w:val="single" w:color="000000" w:sz="4" w:space="0"/>
              <w:left w:val="single" w:color="000000" w:sz="4" w:space="0"/>
              <w:bottom w:val="single" w:color="000000" w:sz="4" w:space="0"/>
              <w:right w:val="single" w:color="000000" w:sz="4" w:space="0"/>
            </w:tcBorders>
            <w:noWrap/>
            <w:vAlign w:val="center"/>
          </w:tcPr>
          <w:p w14:paraId="1D6C06A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1003" w:type="dxa"/>
            <w:tcBorders>
              <w:top w:val="single" w:color="000000" w:sz="4" w:space="0"/>
              <w:left w:val="single" w:color="000000" w:sz="4" w:space="0"/>
              <w:bottom w:val="single" w:color="000000" w:sz="4" w:space="0"/>
              <w:right w:val="single" w:color="000000" w:sz="4" w:space="0"/>
            </w:tcBorders>
            <w:noWrap/>
            <w:vAlign w:val="center"/>
          </w:tcPr>
          <w:p w14:paraId="47D3CE9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5BD5D6B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定量指标</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046C2D3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达到标准值得3.2分；未达到标准值，则按实际完成率/计划完成率*100%计分</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3C688CF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反映7岁以下儿童健康管理率</w:t>
            </w:r>
          </w:p>
        </w:tc>
        <w:tc>
          <w:tcPr>
            <w:tcW w:w="1280" w:type="dxa"/>
            <w:tcBorders>
              <w:top w:val="single" w:color="000000" w:sz="4" w:space="0"/>
              <w:left w:val="single" w:color="000000" w:sz="4" w:space="0"/>
              <w:bottom w:val="single" w:color="000000" w:sz="4" w:space="0"/>
              <w:right w:val="single" w:color="000000" w:sz="4" w:space="0"/>
            </w:tcBorders>
            <w:noWrap w:val="0"/>
            <w:vAlign w:val="center"/>
          </w:tcPr>
          <w:p w14:paraId="3CC44E3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昆财社〔2025〕33号 昆明市财政局关于下达2025年基本公共卫生服务项目中央补助资金的通知</w:t>
            </w:r>
          </w:p>
        </w:tc>
      </w:tr>
      <w:tr w14:paraId="5D3A0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1039" w:type="dxa"/>
            <w:tcBorders>
              <w:top w:val="single" w:color="000000" w:sz="4" w:space="0"/>
              <w:left w:val="single" w:color="000000" w:sz="4" w:space="0"/>
              <w:bottom w:val="single" w:color="000000" w:sz="4" w:space="0"/>
              <w:right w:val="single" w:color="000000" w:sz="4" w:space="0"/>
            </w:tcBorders>
            <w:noWrap w:val="0"/>
            <w:vAlign w:val="center"/>
          </w:tcPr>
          <w:p w14:paraId="4B01B204">
            <w:pPr>
              <w:jc w:val="left"/>
              <w:rPr>
                <w:rFonts w:hint="eastAsia" w:ascii="宋体" w:hAnsi="宋体" w:eastAsia="宋体" w:cs="宋体"/>
                <w:i w:val="0"/>
                <w:iCs w:val="0"/>
                <w:color w:val="000000"/>
                <w:sz w:val="18"/>
                <w:szCs w:val="18"/>
                <w:u w:val="none"/>
              </w:rPr>
            </w:pPr>
          </w:p>
        </w:tc>
        <w:tc>
          <w:tcPr>
            <w:tcW w:w="588" w:type="dxa"/>
            <w:tcBorders>
              <w:top w:val="single" w:color="000000" w:sz="4" w:space="0"/>
              <w:left w:val="single" w:color="000000" w:sz="4" w:space="0"/>
              <w:bottom w:val="single" w:color="000000" w:sz="4" w:space="0"/>
              <w:right w:val="single" w:color="000000" w:sz="4" w:space="0"/>
            </w:tcBorders>
            <w:noWrap w:val="0"/>
            <w:vAlign w:val="center"/>
          </w:tcPr>
          <w:p w14:paraId="49A2D77A">
            <w:pPr>
              <w:jc w:val="left"/>
              <w:rPr>
                <w:rFonts w:hint="eastAsia" w:ascii="宋体" w:hAnsi="宋体" w:eastAsia="宋体" w:cs="宋体"/>
                <w:i w:val="0"/>
                <w:iCs w:val="0"/>
                <w:color w:val="000000"/>
                <w:sz w:val="18"/>
                <w:szCs w:val="18"/>
                <w:u w:val="none"/>
              </w:rPr>
            </w:pPr>
          </w:p>
        </w:tc>
        <w:tc>
          <w:tcPr>
            <w:tcW w:w="1101" w:type="dxa"/>
            <w:tcBorders>
              <w:top w:val="single" w:color="000000" w:sz="4" w:space="0"/>
              <w:left w:val="single" w:color="000000" w:sz="4" w:space="0"/>
              <w:bottom w:val="single" w:color="000000" w:sz="4" w:space="0"/>
              <w:right w:val="single" w:color="000000" w:sz="4" w:space="0"/>
            </w:tcBorders>
            <w:noWrap w:val="0"/>
            <w:vAlign w:val="center"/>
          </w:tcPr>
          <w:p w14:paraId="0FA4746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孕产妇系统管理率</w:t>
            </w:r>
          </w:p>
        </w:tc>
        <w:tc>
          <w:tcPr>
            <w:tcW w:w="984" w:type="dxa"/>
            <w:tcBorders>
              <w:top w:val="single" w:color="000000" w:sz="4" w:space="0"/>
              <w:left w:val="single" w:color="000000" w:sz="4" w:space="0"/>
              <w:bottom w:val="single" w:color="000000" w:sz="4" w:space="0"/>
              <w:right w:val="single" w:color="000000" w:sz="4" w:space="0"/>
            </w:tcBorders>
            <w:noWrap w:val="0"/>
            <w:vAlign w:val="center"/>
          </w:tcPr>
          <w:p w14:paraId="6474B28E">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&gt;=</w:t>
            </w:r>
          </w:p>
        </w:tc>
        <w:tc>
          <w:tcPr>
            <w:tcW w:w="786" w:type="dxa"/>
            <w:tcBorders>
              <w:top w:val="single" w:color="000000" w:sz="4" w:space="0"/>
              <w:left w:val="single" w:color="000000" w:sz="4" w:space="0"/>
              <w:bottom w:val="single" w:color="000000" w:sz="4" w:space="0"/>
              <w:right w:val="single" w:color="000000" w:sz="4" w:space="0"/>
            </w:tcBorders>
            <w:noWrap/>
            <w:vAlign w:val="center"/>
          </w:tcPr>
          <w:p w14:paraId="6939C80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1003" w:type="dxa"/>
            <w:tcBorders>
              <w:top w:val="single" w:color="000000" w:sz="4" w:space="0"/>
              <w:left w:val="single" w:color="000000" w:sz="4" w:space="0"/>
              <w:bottom w:val="single" w:color="000000" w:sz="4" w:space="0"/>
              <w:right w:val="single" w:color="000000" w:sz="4" w:space="0"/>
            </w:tcBorders>
            <w:noWrap/>
            <w:vAlign w:val="center"/>
          </w:tcPr>
          <w:p w14:paraId="2DBDF38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55A5A49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定量指标</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5CCD206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达到标准值得3.2分；未达到标准值，则按实际完成率/计划完成率*100%计分</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5289D48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反映孕产妇系统管理率</w:t>
            </w:r>
          </w:p>
        </w:tc>
        <w:tc>
          <w:tcPr>
            <w:tcW w:w="1280" w:type="dxa"/>
            <w:tcBorders>
              <w:top w:val="single" w:color="000000" w:sz="4" w:space="0"/>
              <w:left w:val="single" w:color="000000" w:sz="4" w:space="0"/>
              <w:bottom w:val="single" w:color="000000" w:sz="4" w:space="0"/>
              <w:right w:val="single" w:color="000000" w:sz="4" w:space="0"/>
            </w:tcBorders>
            <w:noWrap w:val="0"/>
            <w:vAlign w:val="center"/>
          </w:tcPr>
          <w:p w14:paraId="086DD76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昆财社〔2025〕33号 昆明市财政局关于下达2025年基本公共卫生服务项目中央补助资金的通知</w:t>
            </w:r>
          </w:p>
        </w:tc>
      </w:tr>
      <w:tr w14:paraId="10446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1039" w:type="dxa"/>
            <w:tcBorders>
              <w:top w:val="single" w:color="000000" w:sz="4" w:space="0"/>
              <w:left w:val="single" w:color="000000" w:sz="4" w:space="0"/>
              <w:bottom w:val="single" w:color="000000" w:sz="4" w:space="0"/>
              <w:right w:val="single" w:color="000000" w:sz="4" w:space="0"/>
            </w:tcBorders>
            <w:noWrap w:val="0"/>
            <w:vAlign w:val="center"/>
          </w:tcPr>
          <w:p w14:paraId="2E57FC11">
            <w:pPr>
              <w:jc w:val="left"/>
              <w:rPr>
                <w:rFonts w:hint="eastAsia" w:ascii="宋体" w:hAnsi="宋体" w:eastAsia="宋体" w:cs="宋体"/>
                <w:i w:val="0"/>
                <w:iCs w:val="0"/>
                <w:color w:val="000000"/>
                <w:sz w:val="18"/>
                <w:szCs w:val="18"/>
                <w:u w:val="none"/>
              </w:rPr>
            </w:pPr>
          </w:p>
        </w:tc>
        <w:tc>
          <w:tcPr>
            <w:tcW w:w="588" w:type="dxa"/>
            <w:tcBorders>
              <w:top w:val="single" w:color="000000" w:sz="4" w:space="0"/>
              <w:left w:val="single" w:color="000000" w:sz="4" w:space="0"/>
              <w:bottom w:val="single" w:color="000000" w:sz="4" w:space="0"/>
              <w:right w:val="single" w:color="000000" w:sz="4" w:space="0"/>
            </w:tcBorders>
            <w:noWrap w:val="0"/>
            <w:vAlign w:val="center"/>
          </w:tcPr>
          <w:p w14:paraId="65780B5E">
            <w:pPr>
              <w:jc w:val="left"/>
              <w:rPr>
                <w:rFonts w:hint="eastAsia" w:ascii="宋体" w:hAnsi="宋体" w:eastAsia="宋体" w:cs="宋体"/>
                <w:i w:val="0"/>
                <w:iCs w:val="0"/>
                <w:color w:val="000000"/>
                <w:sz w:val="18"/>
                <w:szCs w:val="18"/>
                <w:u w:val="none"/>
              </w:rPr>
            </w:pPr>
          </w:p>
        </w:tc>
        <w:tc>
          <w:tcPr>
            <w:tcW w:w="1101" w:type="dxa"/>
            <w:tcBorders>
              <w:top w:val="single" w:color="000000" w:sz="4" w:space="0"/>
              <w:left w:val="single" w:color="000000" w:sz="4" w:space="0"/>
              <w:bottom w:val="single" w:color="000000" w:sz="4" w:space="0"/>
              <w:right w:val="single" w:color="000000" w:sz="4" w:space="0"/>
            </w:tcBorders>
            <w:noWrap w:val="0"/>
            <w:vAlign w:val="center"/>
          </w:tcPr>
          <w:p w14:paraId="0A60700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老年人中医药健康管理率</w:t>
            </w:r>
          </w:p>
        </w:tc>
        <w:tc>
          <w:tcPr>
            <w:tcW w:w="984" w:type="dxa"/>
            <w:tcBorders>
              <w:top w:val="single" w:color="000000" w:sz="4" w:space="0"/>
              <w:left w:val="single" w:color="000000" w:sz="4" w:space="0"/>
              <w:bottom w:val="single" w:color="000000" w:sz="4" w:space="0"/>
              <w:right w:val="single" w:color="000000" w:sz="4" w:space="0"/>
            </w:tcBorders>
            <w:noWrap w:val="0"/>
            <w:vAlign w:val="center"/>
          </w:tcPr>
          <w:p w14:paraId="4583C613">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&gt;=</w:t>
            </w:r>
          </w:p>
        </w:tc>
        <w:tc>
          <w:tcPr>
            <w:tcW w:w="786" w:type="dxa"/>
            <w:tcBorders>
              <w:top w:val="single" w:color="000000" w:sz="4" w:space="0"/>
              <w:left w:val="single" w:color="000000" w:sz="4" w:space="0"/>
              <w:bottom w:val="single" w:color="000000" w:sz="4" w:space="0"/>
              <w:right w:val="single" w:color="000000" w:sz="4" w:space="0"/>
            </w:tcBorders>
            <w:noWrap/>
            <w:vAlign w:val="center"/>
          </w:tcPr>
          <w:p w14:paraId="43A6427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w:t>
            </w:r>
          </w:p>
        </w:tc>
        <w:tc>
          <w:tcPr>
            <w:tcW w:w="1003" w:type="dxa"/>
            <w:tcBorders>
              <w:top w:val="single" w:color="000000" w:sz="4" w:space="0"/>
              <w:left w:val="single" w:color="000000" w:sz="4" w:space="0"/>
              <w:bottom w:val="single" w:color="000000" w:sz="4" w:space="0"/>
              <w:right w:val="single" w:color="000000" w:sz="4" w:space="0"/>
            </w:tcBorders>
            <w:noWrap/>
            <w:vAlign w:val="center"/>
          </w:tcPr>
          <w:p w14:paraId="2BA1E25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1B1541D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定量指标</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1116F90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达到标准值得3.2分；未达到标准值，则按实际完成率/计划完成率*100%计分</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4D3C573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反映老年人中医药健康管理率</w:t>
            </w:r>
          </w:p>
        </w:tc>
        <w:tc>
          <w:tcPr>
            <w:tcW w:w="1280" w:type="dxa"/>
            <w:tcBorders>
              <w:top w:val="single" w:color="000000" w:sz="4" w:space="0"/>
              <w:left w:val="single" w:color="000000" w:sz="4" w:space="0"/>
              <w:bottom w:val="single" w:color="000000" w:sz="4" w:space="0"/>
              <w:right w:val="single" w:color="000000" w:sz="4" w:space="0"/>
            </w:tcBorders>
            <w:noWrap w:val="0"/>
            <w:vAlign w:val="center"/>
          </w:tcPr>
          <w:p w14:paraId="6E36A5B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昆财社〔2025〕33号 昆明市财政局关于下达2025年基本公共卫生服务项目中央补助资金的通知</w:t>
            </w:r>
          </w:p>
        </w:tc>
      </w:tr>
      <w:tr w14:paraId="7CCE8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1039" w:type="dxa"/>
            <w:tcBorders>
              <w:top w:val="single" w:color="000000" w:sz="4" w:space="0"/>
              <w:left w:val="single" w:color="000000" w:sz="4" w:space="0"/>
              <w:bottom w:val="single" w:color="000000" w:sz="4" w:space="0"/>
              <w:right w:val="single" w:color="000000" w:sz="4" w:space="0"/>
            </w:tcBorders>
            <w:noWrap w:val="0"/>
            <w:vAlign w:val="center"/>
          </w:tcPr>
          <w:p w14:paraId="6449EC7F">
            <w:pPr>
              <w:jc w:val="left"/>
              <w:rPr>
                <w:rFonts w:hint="eastAsia" w:ascii="宋体" w:hAnsi="宋体" w:eastAsia="宋体" w:cs="宋体"/>
                <w:i w:val="0"/>
                <w:iCs w:val="0"/>
                <w:color w:val="000000"/>
                <w:sz w:val="18"/>
                <w:szCs w:val="18"/>
                <w:u w:val="none"/>
              </w:rPr>
            </w:pPr>
          </w:p>
        </w:tc>
        <w:tc>
          <w:tcPr>
            <w:tcW w:w="588" w:type="dxa"/>
            <w:tcBorders>
              <w:top w:val="single" w:color="000000" w:sz="4" w:space="0"/>
              <w:left w:val="single" w:color="000000" w:sz="4" w:space="0"/>
              <w:bottom w:val="single" w:color="000000" w:sz="4" w:space="0"/>
              <w:right w:val="single" w:color="000000" w:sz="4" w:space="0"/>
            </w:tcBorders>
            <w:noWrap w:val="0"/>
            <w:vAlign w:val="center"/>
          </w:tcPr>
          <w:p w14:paraId="7878CF83">
            <w:pPr>
              <w:jc w:val="left"/>
              <w:rPr>
                <w:rFonts w:hint="eastAsia" w:ascii="宋体" w:hAnsi="宋体" w:eastAsia="宋体" w:cs="宋体"/>
                <w:i w:val="0"/>
                <w:iCs w:val="0"/>
                <w:color w:val="000000"/>
                <w:sz w:val="18"/>
                <w:szCs w:val="18"/>
                <w:u w:val="none"/>
              </w:rPr>
            </w:pPr>
          </w:p>
        </w:tc>
        <w:tc>
          <w:tcPr>
            <w:tcW w:w="1101" w:type="dxa"/>
            <w:tcBorders>
              <w:top w:val="single" w:color="000000" w:sz="4" w:space="0"/>
              <w:left w:val="single" w:color="000000" w:sz="4" w:space="0"/>
              <w:bottom w:val="single" w:color="000000" w:sz="4" w:space="0"/>
              <w:right w:val="single" w:color="000000" w:sz="4" w:space="0"/>
            </w:tcBorders>
            <w:noWrap w:val="0"/>
            <w:vAlign w:val="center"/>
          </w:tcPr>
          <w:p w14:paraId="3865F2C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肺结核患者管理率</w:t>
            </w:r>
          </w:p>
        </w:tc>
        <w:tc>
          <w:tcPr>
            <w:tcW w:w="984" w:type="dxa"/>
            <w:tcBorders>
              <w:top w:val="single" w:color="000000" w:sz="4" w:space="0"/>
              <w:left w:val="single" w:color="000000" w:sz="4" w:space="0"/>
              <w:bottom w:val="single" w:color="000000" w:sz="4" w:space="0"/>
              <w:right w:val="single" w:color="000000" w:sz="4" w:space="0"/>
            </w:tcBorders>
            <w:noWrap w:val="0"/>
            <w:vAlign w:val="center"/>
          </w:tcPr>
          <w:p w14:paraId="71B43E2B">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&gt;=</w:t>
            </w:r>
          </w:p>
        </w:tc>
        <w:tc>
          <w:tcPr>
            <w:tcW w:w="786" w:type="dxa"/>
            <w:tcBorders>
              <w:top w:val="single" w:color="000000" w:sz="4" w:space="0"/>
              <w:left w:val="single" w:color="000000" w:sz="4" w:space="0"/>
              <w:bottom w:val="single" w:color="000000" w:sz="4" w:space="0"/>
              <w:right w:val="single" w:color="000000" w:sz="4" w:space="0"/>
            </w:tcBorders>
            <w:noWrap/>
            <w:vAlign w:val="center"/>
          </w:tcPr>
          <w:p w14:paraId="6AB36BD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1003" w:type="dxa"/>
            <w:tcBorders>
              <w:top w:val="single" w:color="000000" w:sz="4" w:space="0"/>
              <w:left w:val="single" w:color="000000" w:sz="4" w:space="0"/>
              <w:bottom w:val="single" w:color="000000" w:sz="4" w:space="0"/>
              <w:right w:val="single" w:color="000000" w:sz="4" w:space="0"/>
            </w:tcBorders>
            <w:noWrap/>
            <w:vAlign w:val="center"/>
          </w:tcPr>
          <w:p w14:paraId="21E0E2B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3A1AD5A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定量指标</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395C789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达到标准值得3.2分；未达到标准值，则按实际完成率/计划完成率*100%计分</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15106D9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反映肺结核患者管理率</w:t>
            </w:r>
          </w:p>
        </w:tc>
        <w:tc>
          <w:tcPr>
            <w:tcW w:w="1280" w:type="dxa"/>
            <w:tcBorders>
              <w:top w:val="single" w:color="000000" w:sz="4" w:space="0"/>
              <w:left w:val="single" w:color="000000" w:sz="4" w:space="0"/>
              <w:bottom w:val="single" w:color="000000" w:sz="4" w:space="0"/>
              <w:right w:val="single" w:color="000000" w:sz="4" w:space="0"/>
            </w:tcBorders>
            <w:noWrap w:val="0"/>
            <w:vAlign w:val="center"/>
          </w:tcPr>
          <w:p w14:paraId="16534B9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昆财社〔2025〕33号 昆明市财政局关于下达2025年基本公共卫生服务项目中央补助资金的通知</w:t>
            </w:r>
          </w:p>
        </w:tc>
      </w:tr>
      <w:tr w14:paraId="0B20E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1039" w:type="dxa"/>
            <w:tcBorders>
              <w:top w:val="single" w:color="000000" w:sz="4" w:space="0"/>
              <w:left w:val="single" w:color="000000" w:sz="4" w:space="0"/>
              <w:bottom w:val="single" w:color="000000" w:sz="4" w:space="0"/>
              <w:right w:val="single" w:color="000000" w:sz="4" w:space="0"/>
            </w:tcBorders>
            <w:noWrap w:val="0"/>
            <w:vAlign w:val="center"/>
          </w:tcPr>
          <w:p w14:paraId="5DFF1BE0">
            <w:pPr>
              <w:jc w:val="left"/>
              <w:rPr>
                <w:rFonts w:hint="eastAsia" w:ascii="宋体" w:hAnsi="宋体" w:eastAsia="宋体" w:cs="宋体"/>
                <w:i w:val="0"/>
                <w:iCs w:val="0"/>
                <w:color w:val="000000"/>
                <w:sz w:val="18"/>
                <w:szCs w:val="18"/>
                <w:u w:val="none"/>
              </w:rPr>
            </w:pPr>
          </w:p>
        </w:tc>
        <w:tc>
          <w:tcPr>
            <w:tcW w:w="588" w:type="dxa"/>
            <w:tcBorders>
              <w:top w:val="single" w:color="000000" w:sz="4" w:space="0"/>
              <w:left w:val="single" w:color="000000" w:sz="4" w:space="0"/>
              <w:bottom w:val="single" w:color="000000" w:sz="4" w:space="0"/>
              <w:right w:val="single" w:color="000000" w:sz="4" w:space="0"/>
            </w:tcBorders>
            <w:noWrap w:val="0"/>
            <w:vAlign w:val="center"/>
          </w:tcPr>
          <w:p w14:paraId="0C934769">
            <w:pPr>
              <w:jc w:val="left"/>
              <w:rPr>
                <w:rFonts w:hint="eastAsia" w:ascii="宋体" w:hAnsi="宋体" w:eastAsia="宋体" w:cs="宋体"/>
                <w:i w:val="0"/>
                <w:iCs w:val="0"/>
                <w:color w:val="000000"/>
                <w:sz w:val="18"/>
                <w:szCs w:val="18"/>
                <w:u w:val="none"/>
              </w:rPr>
            </w:pPr>
          </w:p>
        </w:tc>
        <w:tc>
          <w:tcPr>
            <w:tcW w:w="1101" w:type="dxa"/>
            <w:tcBorders>
              <w:top w:val="single" w:color="000000" w:sz="4" w:space="0"/>
              <w:left w:val="single" w:color="000000" w:sz="4" w:space="0"/>
              <w:bottom w:val="single" w:color="000000" w:sz="4" w:space="0"/>
              <w:right w:val="single" w:color="000000" w:sz="4" w:space="0"/>
            </w:tcBorders>
            <w:noWrap w:val="0"/>
            <w:vAlign w:val="center"/>
          </w:tcPr>
          <w:p w14:paraId="700501B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社区在册居家严重精神障碍患者健康管理率</w:t>
            </w:r>
          </w:p>
        </w:tc>
        <w:tc>
          <w:tcPr>
            <w:tcW w:w="984" w:type="dxa"/>
            <w:tcBorders>
              <w:top w:val="single" w:color="000000" w:sz="4" w:space="0"/>
              <w:left w:val="single" w:color="000000" w:sz="4" w:space="0"/>
              <w:bottom w:val="single" w:color="000000" w:sz="4" w:space="0"/>
              <w:right w:val="single" w:color="000000" w:sz="4" w:space="0"/>
            </w:tcBorders>
            <w:noWrap w:val="0"/>
            <w:vAlign w:val="center"/>
          </w:tcPr>
          <w:p w14:paraId="3BA2A0B2">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&gt;=</w:t>
            </w:r>
          </w:p>
        </w:tc>
        <w:tc>
          <w:tcPr>
            <w:tcW w:w="786" w:type="dxa"/>
            <w:tcBorders>
              <w:top w:val="single" w:color="000000" w:sz="4" w:space="0"/>
              <w:left w:val="single" w:color="000000" w:sz="4" w:space="0"/>
              <w:bottom w:val="single" w:color="000000" w:sz="4" w:space="0"/>
              <w:right w:val="single" w:color="000000" w:sz="4" w:space="0"/>
            </w:tcBorders>
            <w:noWrap/>
            <w:vAlign w:val="center"/>
          </w:tcPr>
          <w:p w14:paraId="72D329F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1003" w:type="dxa"/>
            <w:tcBorders>
              <w:top w:val="single" w:color="000000" w:sz="4" w:space="0"/>
              <w:left w:val="single" w:color="000000" w:sz="4" w:space="0"/>
              <w:bottom w:val="single" w:color="000000" w:sz="4" w:space="0"/>
              <w:right w:val="single" w:color="000000" w:sz="4" w:space="0"/>
            </w:tcBorders>
            <w:noWrap/>
            <w:vAlign w:val="center"/>
          </w:tcPr>
          <w:p w14:paraId="1EEB4D6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35C2841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定量指标</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69CAB9F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达到标准值得3.2分；未达到标准值，则按实际完成率/计划完成率*100%计分</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4AA328B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反映社区在册居家严重精神障碍患者健康管理率</w:t>
            </w:r>
          </w:p>
        </w:tc>
        <w:tc>
          <w:tcPr>
            <w:tcW w:w="1280" w:type="dxa"/>
            <w:tcBorders>
              <w:top w:val="single" w:color="000000" w:sz="4" w:space="0"/>
              <w:left w:val="single" w:color="000000" w:sz="4" w:space="0"/>
              <w:bottom w:val="single" w:color="000000" w:sz="4" w:space="0"/>
              <w:right w:val="single" w:color="000000" w:sz="4" w:space="0"/>
            </w:tcBorders>
            <w:noWrap w:val="0"/>
            <w:vAlign w:val="center"/>
          </w:tcPr>
          <w:p w14:paraId="60CCB29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昆财社〔2025〕33号 昆明市财政局关于下达2025年基本公共卫生服务项目中央补助资金的通知</w:t>
            </w:r>
          </w:p>
        </w:tc>
      </w:tr>
      <w:tr w14:paraId="58A07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1039" w:type="dxa"/>
            <w:tcBorders>
              <w:top w:val="single" w:color="000000" w:sz="4" w:space="0"/>
              <w:left w:val="single" w:color="000000" w:sz="4" w:space="0"/>
              <w:bottom w:val="single" w:color="000000" w:sz="4" w:space="0"/>
              <w:right w:val="single" w:color="000000" w:sz="4" w:space="0"/>
            </w:tcBorders>
            <w:noWrap w:val="0"/>
            <w:vAlign w:val="center"/>
          </w:tcPr>
          <w:p w14:paraId="20439C0E">
            <w:pPr>
              <w:jc w:val="left"/>
              <w:rPr>
                <w:rFonts w:hint="eastAsia" w:ascii="宋体" w:hAnsi="宋体" w:eastAsia="宋体" w:cs="宋体"/>
                <w:i w:val="0"/>
                <w:iCs w:val="0"/>
                <w:color w:val="000000"/>
                <w:sz w:val="18"/>
                <w:szCs w:val="18"/>
                <w:u w:val="none"/>
              </w:rPr>
            </w:pPr>
          </w:p>
        </w:tc>
        <w:tc>
          <w:tcPr>
            <w:tcW w:w="588" w:type="dxa"/>
            <w:tcBorders>
              <w:top w:val="single" w:color="000000" w:sz="4" w:space="0"/>
              <w:left w:val="single" w:color="000000" w:sz="4" w:space="0"/>
              <w:bottom w:val="single" w:color="000000" w:sz="4" w:space="0"/>
              <w:right w:val="single" w:color="000000" w:sz="4" w:space="0"/>
            </w:tcBorders>
            <w:noWrap w:val="0"/>
            <w:vAlign w:val="center"/>
          </w:tcPr>
          <w:p w14:paraId="007F5653">
            <w:pPr>
              <w:jc w:val="left"/>
              <w:rPr>
                <w:rFonts w:hint="eastAsia" w:ascii="宋体" w:hAnsi="宋体" w:eastAsia="宋体" w:cs="宋体"/>
                <w:i w:val="0"/>
                <w:iCs w:val="0"/>
                <w:color w:val="000000"/>
                <w:sz w:val="18"/>
                <w:szCs w:val="18"/>
                <w:u w:val="none"/>
              </w:rPr>
            </w:pPr>
          </w:p>
        </w:tc>
        <w:tc>
          <w:tcPr>
            <w:tcW w:w="1101" w:type="dxa"/>
            <w:tcBorders>
              <w:top w:val="single" w:color="000000" w:sz="4" w:space="0"/>
              <w:left w:val="single" w:color="000000" w:sz="4" w:space="0"/>
              <w:bottom w:val="single" w:color="000000" w:sz="4" w:space="0"/>
              <w:right w:val="single" w:color="000000" w:sz="4" w:space="0"/>
            </w:tcBorders>
            <w:noWrap w:val="0"/>
            <w:vAlign w:val="center"/>
          </w:tcPr>
          <w:p w14:paraId="4788814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儿童中医药健康管理率</w:t>
            </w:r>
          </w:p>
        </w:tc>
        <w:tc>
          <w:tcPr>
            <w:tcW w:w="984" w:type="dxa"/>
            <w:tcBorders>
              <w:top w:val="single" w:color="000000" w:sz="4" w:space="0"/>
              <w:left w:val="single" w:color="000000" w:sz="4" w:space="0"/>
              <w:bottom w:val="single" w:color="000000" w:sz="4" w:space="0"/>
              <w:right w:val="single" w:color="000000" w:sz="4" w:space="0"/>
            </w:tcBorders>
            <w:noWrap w:val="0"/>
            <w:vAlign w:val="center"/>
          </w:tcPr>
          <w:p w14:paraId="3E3AB65B">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&gt;=</w:t>
            </w:r>
          </w:p>
        </w:tc>
        <w:tc>
          <w:tcPr>
            <w:tcW w:w="786" w:type="dxa"/>
            <w:tcBorders>
              <w:top w:val="single" w:color="000000" w:sz="4" w:space="0"/>
              <w:left w:val="single" w:color="000000" w:sz="4" w:space="0"/>
              <w:bottom w:val="single" w:color="000000" w:sz="4" w:space="0"/>
              <w:right w:val="single" w:color="000000" w:sz="4" w:space="0"/>
            </w:tcBorders>
            <w:noWrap/>
            <w:vAlign w:val="center"/>
          </w:tcPr>
          <w:p w14:paraId="44DC53E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w:t>
            </w:r>
          </w:p>
        </w:tc>
        <w:tc>
          <w:tcPr>
            <w:tcW w:w="1003" w:type="dxa"/>
            <w:tcBorders>
              <w:top w:val="single" w:color="000000" w:sz="4" w:space="0"/>
              <w:left w:val="single" w:color="000000" w:sz="4" w:space="0"/>
              <w:bottom w:val="single" w:color="000000" w:sz="4" w:space="0"/>
              <w:right w:val="single" w:color="000000" w:sz="4" w:space="0"/>
            </w:tcBorders>
            <w:noWrap/>
            <w:vAlign w:val="center"/>
          </w:tcPr>
          <w:p w14:paraId="3F135D8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33CE25C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定量指标</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4BF8C9B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达到标准值得3.2分；未达到标准值，则按实际完成率/计划完成率*100%计分</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14E1DFB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反映儿童中医药健康管理率</w:t>
            </w:r>
          </w:p>
        </w:tc>
        <w:tc>
          <w:tcPr>
            <w:tcW w:w="1280" w:type="dxa"/>
            <w:tcBorders>
              <w:top w:val="single" w:color="000000" w:sz="4" w:space="0"/>
              <w:left w:val="single" w:color="000000" w:sz="4" w:space="0"/>
              <w:bottom w:val="single" w:color="000000" w:sz="4" w:space="0"/>
              <w:right w:val="single" w:color="000000" w:sz="4" w:space="0"/>
            </w:tcBorders>
            <w:noWrap w:val="0"/>
            <w:vAlign w:val="center"/>
          </w:tcPr>
          <w:p w14:paraId="4637E3B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昆财社〔2025〕33号 昆明市财政局关于下达2025年基本公共卫生服务项目中央补助资金的通知</w:t>
            </w:r>
          </w:p>
        </w:tc>
      </w:tr>
      <w:tr w14:paraId="62927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1039" w:type="dxa"/>
            <w:tcBorders>
              <w:top w:val="single" w:color="000000" w:sz="4" w:space="0"/>
              <w:left w:val="single" w:color="000000" w:sz="4" w:space="0"/>
              <w:bottom w:val="single" w:color="000000" w:sz="4" w:space="0"/>
              <w:right w:val="single" w:color="000000" w:sz="4" w:space="0"/>
            </w:tcBorders>
            <w:noWrap w:val="0"/>
            <w:vAlign w:val="center"/>
          </w:tcPr>
          <w:p w14:paraId="1F6DA145">
            <w:pPr>
              <w:jc w:val="left"/>
              <w:rPr>
                <w:rFonts w:hint="eastAsia" w:ascii="宋体" w:hAnsi="宋体" w:eastAsia="宋体" w:cs="宋体"/>
                <w:i w:val="0"/>
                <w:iCs w:val="0"/>
                <w:color w:val="000000"/>
                <w:sz w:val="18"/>
                <w:szCs w:val="18"/>
                <w:u w:val="none"/>
              </w:rPr>
            </w:pPr>
          </w:p>
        </w:tc>
        <w:tc>
          <w:tcPr>
            <w:tcW w:w="588" w:type="dxa"/>
            <w:tcBorders>
              <w:top w:val="single" w:color="000000" w:sz="4" w:space="0"/>
              <w:left w:val="single" w:color="000000" w:sz="4" w:space="0"/>
              <w:bottom w:val="single" w:color="000000" w:sz="4" w:space="0"/>
              <w:right w:val="single" w:color="000000" w:sz="4" w:space="0"/>
            </w:tcBorders>
            <w:noWrap w:val="0"/>
            <w:vAlign w:val="center"/>
          </w:tcPr>
          <w:p w14:paraId="2AAB3DE7">
            <w:pPr>
              <w:jc w:val="left"/>
              <w:rPr>
                <w:rFonts w:hint="eastAsia" w:ascii="宋体" w:hAnsi="宋体" w:eastAsia="宋体" w:cs="宋体"/>
                <w:i w:val="0"/>
                <w:iCs w:val="0"/>
                <w:color w:val="000000"/>
                <w:sz w:val="18"/>
                <w:szCs w:val="18"/>
                <w:u w:val="none"/>
              </w:rPr>
            </w:pPr>
          </w:p>
        </w:tc>
        <w:tc>
          <w:tcPr>
            <w:tcW w:w="1101" w:type="dxa"/>
            <w:tcBorders>
              <w:top w:val="single" w:color="000000" w:sz="4" w:space="0"/>
              <w:left w:val="single" w:color="000000" w:sz="4" w:space="0"/>
              <w:bottom w:val="single" w:color="000000" w:sz="4" w:space="0"/>
              <w:right w:val="single" w:color="000000" w:sz="4" w:space="0"/>
            </w:tcBorders>
            <w:noWrap w:val="0"/>
            <w:vAlign w:val="center"/>
          </w:tcPr>
          <w:p w14:paraId="7D47A0B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3岁以下儿童健康管理率</w:t>
            </w:r>
          </w:p>
        </w:tc>
        <w:tc>
          <w:tcPr>
            <w:tcW w:w="984" w:type="dxa"/>
            <w:tcBorders>
              <w:top w:val="single" w:color="000000" w:sz="4" w:space="0"/>
              <w:left w:val="single" w:color="000000" w:sz="4" w:space="0"/>
              <w:bottom w:val="single" w:color="000000" w:sz="4" w:space="0"/>
              <w:right w:val="single" w:color="000000" w:sz="4" w:space="0"/>
            </w:tcBorders>
            <w:noWrap w:val="0"/>
            <w:vAlign w:val="center"/>
          </w:tcPr>
          <w:p w14:paraId="074665B3">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&gt;=</w:t>
            </w:r>
          </w:p>
        </w:tc>
        <w:tc>
          <w:tcPr>
            <w:tcW w:w="786" w:type="dxa"/>
            <w:tcBorders>
              <w:top w:val="single" w:color="000000" w:sz="4" w:space="0"/>
              <w:left w:val="single" w:color="000000" w:sz="4" w:space="0"/>
              <w:bottom w:val="single" w:color="000000" w:sz="4" w:space="0"/>
              <w:right w:val="single" w:color="000000" w:sz="4" w:space="0"/>
            </w:tcBorders>
            <w:noWrap/>
            <w:vAlign w:val="center"/>
          </w:tcPr>
          <w:p w14:paraId="0A477AD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1003" w:type="dxa"/>
            <w:tcBorders>
              <w:top w:val="single" w:color="000000" w:sz="4" w:space="0"/>
              <w:left w:val="single" w:color="000000" w:sz="4" w:space="0"/>
              <w:bottom w:val="single" w:color="000000" w:sz="4" w:space="0"/>
              <w:right w:val="single" w:color="000000" w:sz="4" w:space="0"/>
            </w:tcBorders>
            <w:noWrap/>
            <w:vAlign w:val="center"/>
          </w:tcPr>
          <w:p w14:paraId="1152E17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7790129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定量指标</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3B17D2D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达到标准值得3.2分；未达到标准值，则按实际完成率/计划完成率*100%计分</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25CFCD4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反映3岁以下儿童健康管理率</w:t>
            </w:r>
          </w:p>
        </w:tc>
        <w:tc>
          <w:tcPr>
            <w:tcW w:w="1280" w:type="dxa"/>
            <w:tcBorders>
              <w:top w:val="single" w:color="000000" w:sz="4" w:space="0"/>
              <w:left w:val="single" w:color="000000" w:sz="4" w:space="0"/>
              <w:bottom w:val="single" w:color="000000" w:sz="4" w:space="0"/>
              <w:right w:val="single" w:color="000000" w:sz="4" w:space="0"/>
            </w:tcBorders>
            <w:noWrap w:val="0"/>
            <w:vAlign w:val="center"/>
          </w:tcPr>
          <w:p w14:paraId="6B6EF20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昆财社〔2025〕33号 昆明市财政局关于下达2025年基本公共卫生服务项目中央补助资金的通知</w:t>
            </w:r>
          </w:p>
        </w:tc>
      </w:tr>
      <w:tr w14:paraId="273AA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1039" w:type="dxa"/>
            <w:tcBorders>
              <w:top w:val="single" w:color="000000" w:sz="4" w:space="0"/>
              <w:left w:val="single" w:color="000000" w:sz="4" w:space="0"/>
              <w:bottom w:val="single" w:color="000000" w:sz="4" w:space="0"/>
              <w:right w:val="single" w:color="000000" w:sz="4" w:space="0"/>
            </w:tcBorders>
            <w:noWrap w:val="0"/>
            <w:vAlign w:val="center"/>
          </w:tcPr>
          <w:p w14:paraId="558161D4">
            <w:pPr>
              <w:jc w:val="left"/>
              <w:rPr>
                <w:rFonts w:hint="eastAsia" w:ascii="宋体" w:hAnsi="宋体" w:eastAsia="宋体" w:cs="宋体"/>
                <w:i w:val="0"/>
                <w:iCs w:val="0"/>
                <w:color w:val="000000"/>
                <w:sz w:val="18"/>
                <w:szCs w:val="18"/>
                <w:u w:val="none"/>
              </w:rPr>
            </w:pPr>
          </w:p>
        </w:tc>
        <w:tc>
          <w:tcPr>
            <w:tcW w:w="588" w:type="dxa"/>
            <w:tcBorders>
              <w:top w:val="single" w:color="000000" w:sz="4" w:space="0"/>
              <w:left w:val="single" w:color="000000" w:sz="4" w:space="0"/>
              <w:bottom w:val="single" w:color="000000" w:sz="4" w:space="0"/>
              <w:right w:val="single" w:color="000000" w:sz="4" w:space="0"/>
            </w:tcBorders>
            <w:noWrap w:val="0"/>
            <w:vAlign w:val="center"/>
          </w:tcPr>
          <w:p w14:paraId="25CD81AF">
            <w:pPr>
              <w:jc w:val="left"/>
              <w:rPr>
                <w:rFonts w:hint="eastAsia" w:ascii="宋体" w:hAnsi="宋体" w:eastAsia="宋体" w:cs="宋体"/>
                <w:i w:val="0"/>
                <w:iCs w:val="0"/>
                <w:color w:val="000000"/>
                <w:sz w:val="18"/>
                <w:szCs w:val="18"/>
                <w:u w:val="none"/>
              </w:rPr>
            </w:pPr>
          </w:p>
        </w:tc>
        <w:tc>
          <w:tcPr>
            <w:tcW w:w="1101" w:type="dxa"/>
            <w:tcBorders>
              <w:top w:val="single" w:color="000000" w:sz="4" w:space="0"/>
              <w:left w:val="single" w:color="000000" w:sz="4" w:space="0"/>
              <w:bottom w:val="single" w:color="000000" w:sz="4" w:space="0"/>
              <w:right w:val="single" w:color="000000" w:sz="4" w:space="0"/>
            </w:tcBorders>
            <w:noWrap w:val="0"/>
            <w:vAlign w:val="center"/>
          </w:tcPr>
          <w:p w14:paraId="50C222A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高血压患者管理人数</w:t>
            </w:r>
          </w:p>
        </w:tc>
        <w:tc>
          <w:tcPr>
            <w:tcW w:w="984" w:type="dxa"/>
            <w:tcBorders>
              <w:top w:val="single" w:color="000000" w:sz="4" w:space="0"/>
              <w:left w:val="single" w:color="000000" w:sz="4" w:space="0"/>
              <w:bottom w:val="single" w:color="000000" w:sz="4" w:space="0"/>
              <w:right w:val="single" w:color="000000" w:sz="4" w:space="0"/>
            </w:tcBorders>
            <w:noWrap w:val="0"/>
            <w:vAlign w:val="center"/>
          </w:tcPr>
          <w:p w14:paraId="333F8C23">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w:t>
            </w:r>
          </w:p>
        </w:tc>
        <w:tc>
          <w:tcPr>
            <w:tcW w:w="786" w:type="dxa"/>
            <w:tcBorders>
              <w:top w:val="single" w:color="000000" w:sz="4" w:space="0"/>
              <w:left w:val="single" w:color="000000" w:sz="4" w:space="0"/>
              <w:bottom w:val="single" w:color="000000" w:sz="4" w:space="0"/>
              <w:right w:val="single" w:color="000000" w:sz="4" w:space="0"/>
            </w:tcBorders>
            <w:noWrap/>
            <w:vAlign w:val="center"/>
          </w:tcPr>
          <w:p w14:paraId="3BD138C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49890</w:t>
            </w:r>
          </w:p>
        </w:tc>
        <w:tc>
          <w:tcPr>
            <w:tcW w:w="1003" w:type="dxa"/>
            <w:tcBorders>
              <w:top w:val="single" w:color="000000" w:sz="4" w:space="0"/>
              <w:left w:val="single" w:color="000000" w:sz="4" w:space="0"/>
              <w:bottom w:val="single" w:color="000000" w:sz="4" w:space="0"/>
              <w:right w:val="single" w:color="000000" w:sz="4" w:space="0"/>
            </w:tcBorders>
            <w:noWrap/>
            <w:vAlign w:val="center"/>
          </w:tcPr>
          <w:p w14:paraId="17ACB27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072F3E4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定量指标</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055D716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达到标准值得3.2分；未达到标准值，则按实际完成率/计划完成率*100%计分</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65AE628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反映高血压患者管理人数</w:t>
            </w:r>
          </w:p>
        </w:tc>
        <w:tc>
          <w:tcPr>
            <w:tcW w:w="1280" w:type="dxa"/>
            <w:tcBorders>
              <w:top w:val="single" w:color="000000" w:sz="4" w:space="0"/>
              <w:left w:val="single" w:color="000000" w:sz="4" w:space="0"/>
              <w:bottom w:val="single" w:color="000000" w:sz="4" w:space="0"/>
              <w:right w:val="single" w:color="000000" w:sz="4" w:space="0"/>
            </w:tcBorders>
            <w:noWrap w:val="0"/>
            <w:vAlign w:val="center"/>
          </w:tcPr>
          <w:p w14:paraId="5D41EB4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昆财社〔2025〕112号 昆明市财政局关于下达2025年基本公共卫生服务项目中央结算补助资金的通知</w:t>
            </w:r>
          </w:p>
        </w:tc>
      </w:tr>
      <w:tr w14:paraId="5CF92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1039" w:type="dxa"/>
            <w:tcBorders>
              <w:top w:val="single" w:color="000000" w:sz="4" w:space="0"/>
              <w:left w:val="single" w:color="000000" w:sz="4" w:space="0"/>
              <w:bottom w:val="single" w:color="000000" w:sz="4" w:space="0"/>
              <w:right w:val="single" w:color="000000" w:sz="4" w:space="0"/>
            </w:tcBorders>
            <w:noWrap w:val="0"/>
            <w:vAlign w:val="center"/>
          </w:tcPr>
          <w:p w14:paraId="40465B8C">
            <w:pPr>
              <w:jc w:val="left"/>
              <w:rPr>
                <w:rFonts w:hint="eastAsia" w:ascii="宋体" w:hAnsi="宋体" w:eastAsia="宋体" w:cs="宋体"/>
                <w:i w:val="0"/>
                <w:iCs w:val="0"/>
                <w:color w:val="000000"/>
                <w:sz w:val="18"/>
                <w:szCs w:val="18"/>
                <w:u w:val="none"/>
              </w:rPr>
            </w:pPr>
          </w:p>
        </w:tc>
        <w:tc>
          <w:tcPr>
            <w:tcW w:w="588" w:type="dxa"/>
            <w:tcBorders>
              <w:top w:val="single" w:color="000000" w:sz="4" w:space="0"/>
              <w:left w:val="single" w:color="000000" w:sz="4" w:space="0"/>
              <w:bottom w:val="single" w:color="000000" w:sz="4" w:space="0"/>
              <w:right w:val="single" w:color="000000" w:sz="4" w:space="0"/>
            </w:tcBorders>
            <w:noWrap w:val="0"/>
            <w:vAlign w:val="center"/>
          </w:tcPr>
          <w:p w14:paraId="6CF8307E">
            <w:pPr>
              <w:jc w:val="left"/>
              <w:rPr>
                <w:rFonts w:hint="eastAsia" w:ascii="宋体" w:hAnsi="宋体" w:eastAsia="宋体" w:cs="宋体"/>
                <w:i w:val="0"/>
                <w:iCs w:val="0"/>
                <w:color w:val="000000"/>
                <w:sz w:val="18"/>
                <w:szCs w:val="18"/>
                <w:u w:val="none"/>
              </w:rPr>
            </w:pPr>
          </w:p>
        </w:tc>
        <w:tc>
          <w:tcPr>
            <w:tcW w:w="1101" w:type="dxa"/>
            <w:tcBorders>
              <w:top w:val="single" w:color="000000" w:sz="4" w:space="0"/>
              <w:left w:val="single" w:color="000000" w:sz="4" w:space="0"/>
              <w:bottom w:val="single" w:color="000000" w:sz="4" w:space="0"/>
              <w:right w:val="single" w:color="000000" w:sz="4" w:space="0"/>
            </w:tcBorders>
            <w:noWrap w:val="0"/>
            <w:vAlign w:val="center"/>
          </w:tcPr>
          <w:p w14:paraId="7CA244C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糖尿病患者管理人数</w:t>
            </w:r>
          </w:p>
        </w:tc>
        <w:tc>
          <w:tcPr>
            <w:tcW w:w="984" w:type="dxa"/>
            <w:tcBorders>
              <w:top w:val="single" w:color="000000" w:sz="4" w:space="0"/>
              <w:left w:val="single" w:color="000000" w:sz="4" w:space="0"/>
              <w:bottom w:val="single" w:color="000000" w:sz="4" w:space="0"/>
              <w:right w:val="single" w:color="000000" w:sz="4" w:space="0"/>
            </w:tcBorders>
            <w:noWrap w:val="0"/>
            <w:vAlign w:val="center"/>
          </w:tcPr>
          <w:p w14:paraId="18C95080">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w:t>
            </w:r>
          </w:p>
        </w:tc>
        <w:tc>
          <w:tcPr>
            <w:tcW w:w="786" w:type="dxa"/>
            <w:tcBorders>
              <w:top w:val="single" w:color="000000" w:sz="4" w:space="0"/>
              <w:left w:val="single" w:color="000000" w:sz="4" w:space="0"/>
              <w:bottom w:val="single" w:color="000000" w:sz="4" w:space="0"/>
              <w:right w:val="single" w:color="000000" w:sz="4" w:space="0"/>
            </w:tcBorders>
            <w:noWrap/>
            <w:vAlign w:val="center"/>
          </w:tcPr>
          <w:p w14:paraId="3DF3277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20850</w:t>
            </w:r>
          </w:p>
        </w:tc>
        <w:tc>
          <w:tcPr>
            <w:tcW w:w="1003" w:type="dxa"/>
            <w:tcBorders>
              <w:top w:val="single" w:color="000000" w:sz="4" w:space="0"/>
              <w:left w:val="single" w:color="000000" w:sz="4" w:space="0"/>
              <w:bottom w:val="single" w:color="000000" w:sz="4" w:space="0"/>
              <w:right w:val="single" w:color="000000" w:sz="4" w:space="0"/>
            </w:tcBorders>
            <w:noWrap/>
            <w:vAlign w:val="center"/>
          </w:tcPr>
          <w:p w14:paraId="0DF4B6F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67D2D8D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定量指标</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2F879A7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达到标准值得3.2分；未达到标准值，则按实际完成率/计划完成率*100%计分</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02F02D1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反映糖尿病患者管理人数</w:t>
            </w:r>
          </w:p>
        </w:tc>
        <w:tc>
          <w:tcPr>
            <w:tcW w:w="1280" w:type="dxa"/>
            <w:tcBorders>
              <w:top w:val="single" w:color="000000" w:sz="4" w:space="0"/>
              <w:left w:val="single" w:color="000000" w:sz="4" w:space="0"/>
              <w:bottom w:val="single" w:color="000000" w:sz="4" w:space="0"/>
              <w:right w:val="single" w:color="000000" w:sz="4" w:space="0"/>
            </w:tcBorders>
            <w:noWrap w:val="0"/>
            <w:vAlign w:val="center"/>
          </w:tcPr>
          <w:p w14:paraId="70DF3C4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昆财社〔2025〕112号 昆明市财政局关于下达2025年基本公共卫生服务项目中央结算补助资金的通知</w:t>
            </w:r>
          </w:p>
        </w:tc>
      </w:tr>
      <w:tr w14:paraId="3150F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039" w:type="dxa"/>
            <w:tcBorders>
              <w:top w:val="single" w:color="000000" w:sz="4" w:space="0"/>
              <w:left w:val="single" w:color="000000" w:sz="4" w:space="0"/>
              <w:bottom w:val="single" w:color="000000" w:sz="4" w:space="0"/>
              <w:right w:val="single" w:color="000000" w:sz="4" w:space="0"/>
            </w:tcBorders>
            <w:noWrap w:val="0"/>
            <w:vAlign w:val="center"/>
          </w:tcPr>
          <w:p w14:paraId="5ED33D5C">
            <w:pPr>
              <w:jc w:val="left"/>
              <w:rPr>
                <w:rFonts w:hint="eastAsia" w:ascii="宋体" w:hAnsi="宋体" w:eastAsia="宋体" w:cs="宋体"/>
                <w:i w:val="0"/>
                <w:iCs w:val="0"/>
                <w:color w:val="000000"/>
                <w:sz w:val="18"/>
                <w:szCs w:val="18"/>
                <w:u w:val="none"/>
              </w:rPr>
            </w:pPr>
          </w:p>
        </w:tc>
        <w:tc>
          <w:tcPr>
            <w:tcW w:w="588" w:type="dxa"/>
            <w:tcBorders>
              <w:top w:val="single" w:color="000000" w:sz="4" w:space="0"/>
              <w:left w:val="single" w:color="000000" w:sz="4" w:space="0"/>
              <w:bottom w:val="single" w:color="000000" w:sz="4" w:space="0"/>
              <w:right w:val="single" w:color="000000" w:sz="4" w:space="0"/>
            </w:tcBorders>
            <w:noWrap w:val="0"/>
            <w:vAlign w:val="center"/>
          </w:tcPr>
          <w:p w14:paraId="335BFF6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1101" w:type="dxa"/>
            <w:tcBorders>
              <w:top w:val="single" w:color="000000" w:sz="4" w:space="0"/>
              <w:left w:val="single" w:color="000000" w:sz="4" w:space="0"/>
              <w:bottom w:val="single" w:color="000000" w:sz="4" w:space="0"/>
              <w:right w:val="single" w:color="000000" w:sz="4" w:space="0"/>
            </w:tcBorders>
            <w:noWrap w:val="0"/>
            <w:vAlign w:val="center"/>
          </w:tcPr>
          <w:p w14:paraId="3E1AAC7C">
            <w:pPr>
              <w:jc w:val="left"/>
              <w:rPr>
                <w:rFonts w:hint="eastAsia" w:ascii="宋体" w:hAnsi="宋体" w:eastAsia="宋体" w:cs="宋体"/>
                <w:i w:val="0"/>
                <w:iCs w:val="0"/>
                <w:color w:val="000000"/>
                <w:sz w:val="18"/>
                <w:szCs w:val="18"/>
                <w:u w:val="none"/>
              </w:rPr>
            </w:pPr>
          </w:p>
        </w:tc>
        <w:tc>
          <w:tcPr>
            <w:tcW w:w="984" w:type="dxa"/>
            <w:tcBorders>
              <w:top w:val="single" w:color="000000" w:sz="4" w:space="0"/>
              <w:left w:val="single" w:color="000000" w:sz="4" w:space="0"/>
              <w:bottom w:val="single" w:color="000000" w:sz="4" w:space="0"/>
              <w:right w:val="single" w:color="000000" w:sz="4" w:space="0"/>
            </w:tcBorders>
            <w:noWrap w:val="0"/>
            <w:vAlign w:val="center"/>
          </w:tcPr>
          <w:p w14:paraId="177C14FA">
            <w:pPr>
              <w:jc w:val="left"/>
            </w:pPr>
          </w:p>
        </w:tc>
        <w:tc>
          <w:tcPr>
            <w:tcW w:w="786" w:type="dxa"/>
            <w:tcBorders>
              <w:top w:val="single" w:color="000000" w:sz="4" w:space="0"/>
              <w:left w:val="single" w:color="000000" w:sz="4" w:space="0"/>
              <w:bottom w:val="single" w:color="000000" w:sz="4" w:space="0"/>
              <w:right w:val="single" w:color="000000" w:sz="4" w:space="0"/>
            </w:tcBorders>
            <w:noWrap/>
            <w:vAlign w:val="center"/>
          </w:tcPr>
          <w:p w14:paraId="0F283EB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空</w:t>
            </w:r>
          </w:p>
        </w:tc>
        <w:tc>
          <w:tcPr>
            <w:tcW w:w="1003" w:type="dxa"/>
            <w:tcBorders>
              <w:top w:val="single" w:color="000000" w:sz="4" w:space="0"/>
              <w:left w:val="single" w:color="000000" w:sz="4" w:space="0"/>
              <w:bottom w:val="single" w:color="000000" w:sz="4" w:space="0"/>
              <w:right w:val="single" w:color="000000" w:sz="4" w:space="0"/>
            </w:tcBorders>
            <w:noWrap/>
            <w:vAlign w:val="center"/>
          </w:tcPr>
          <w:p w14:paraId="584A906D">
            <w:pPr>
              <w:jc w:val="left"/>
              <w:rPr>
                <w:rFonts w:hint="eastAsia" w:ascii="宋体" w:hAnsi="宋体" w:eastAsia="宋体" w:cs="宋体"/>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2C18C860">
            <w:pPr>
              <w:jc w:val="left"/>
              <w:rPr>
                <w:rFonts w:hint="eastAsia" w:ascii="宋体" w:hAnsi="宋体" w:eastAsia="宋体" w:cs="宋体"/>
                <w:i w:val="0"/>
                <w:iCs w:val="0"/>
                <w:color w:val="000000"/>
                <w:sz w:val="18"/>
                <w:szCs w:val="18"/>
                <w:u w:val="none"/>
              </w:rPr>
            </w:pP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1E4E6E6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空</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5500A96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空</w:t>
            </w:r>
          </w:p>
        </w:tc>
        <w:tc>
          <w:tcPr>
            <w:tcW w:w="1280" w:type="dxa"/>
            <w:tcBorders>
              <w:top w:val="single" w:color="000000" w:sz="4" w:space="0"/>
              <w:left w:val="single" w:color="000000" w:sz="4" w:space="0"/>
              <w:bottom w:val="single" w:color="000000" w:sz="4" w:space="0"/>
              <w:right w:val="single" w:color="000000" w:sz="4" w:space="0"/>
            </w:tcBorders>
            <w:noWrap w:val="0"/>
            <w:vAlign w:val="center"/>
          </w:tcPr>
          <w:p w14:paraId="5EC0EB7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空</w:t>
            </w:r>
          </w:p>
        </w:tc>
      </w:tr>
      <w:tr w14:paraId="1D697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1039" w:type="dxa"/>
            <w:tcBorders>
              <w:top w:val="single" w:color="000000" w:sz="4" w:space="0"/>
              <w:left w:val="single" w:color="000000" w:sz="4" w:space="0"/>
              <w:bottom w:val="single" w:color="000000" w:sz="4" w:space="0"/>
              <w:right w:val="single" w:color="000000" w:sz="4" w:space="0"/>
            </w:tcBorders>
            <w:noWrap w:val="0"/>
            <w:vAlign w:val="center"/>
          </w:tcPr>
          <w:p w14:paraId="4DE87791">
            <w:pPr>
              <w:jc w:val="left"/>
              <w:rPr>
                <w:rFonts w:hint="eastAsia" w:ascii="宋体" w:hAnsi="宋体" w:eastAsia="宋体" w:cs="宋体"/>
                <w:i w:val="0"/>
                <w:iCs w:val="0"/>
                <w:color w:val="000000"/>
                <w:sz w:val="18"/>
                <w:szCs w:val="18"/>
                <w:u w:val="none"/>
              </w:rPr>
            </w:pPr>
          </w:p>
        </w:tc>
        <w:tc>
          <w:tcPr>
            <w:tcW w:w="588" w:type="dxa"/>
            <w:tcBorders>
              <w:top w:val="single" w:color="000000" w:sz="4" w:space="0"/>
              <w:left w:val="single" w:color="000000" w:sz="4" w:space="0"/>
              <w:bottom w:val="single" w:color="000000" w:sz="4" w:space="0"/>
              <w:right w:val="single" w:color="000000" w:sz="4" w:space="0"/>
            </w:tcBorders>
            <w:noWrap w:val="0"/>
            <w:vAlign w:val="center"/>
          </w:tcPr>
          <w:p w14:paraId="205D7DA7">
            <w:pPr>
              <w:jc w:val="left"/>
              <w:rPr>
                <w:rFonts w:hint="eastAsia" w:ascii="宋体" w:hAnsi="宋体" w:eastAsia="宋体" w:cs="宋体"/>
                <w:i w:val="0"/>
                <w:iCs w:val="0"/>
                <w:color w:val="000000"/>
                <w:sz w:val="18"/>
                <w:szCs w:val="18"/>
                <w:u w:val="none"/>
              </w:rPr>
            </w:pPr>
          </w:p>
        </w:tc>
        <w:tc>
          <w:tcPr>
            <w:tcW w:w="1101" w:type="dxa"/>
            <w:tcBorders>
              <w:top w:val="single" w:color="000000" w:sz="4" w:space="0"/>
              <w:left w:val="single" w:color="000000" w:sz="4" w:space="0"/>
              <w:bottom w:val="single" w:color="000000" w:sz="4" w:space="0"/>
              <w:right w:val="single" w:color="000000" w:sz="4" w:space="0"/>
            </w:tcBorders>
            <w:noWrap w:val="0"/>
            <w:vAlign w:val="center"/>
          </w:tcPr>
          <w:p w14:paraId="7B46315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居民规范化电子健康档案覆盖率</w:t>
            </w:r>
          </w:p>
        </w:tc>
        <w:tc>
          <w:tcPr>
            <w:tcW w:w="984" w:type="dxa"/>
            <w:tcBorders>
              <w:top w:val="single" w:color="000000" w:sz="4" w:space="0"/>
              <w:left w:val="single" w:color="000000" w:sz="4" w:space="0"/>
              <w:bottom w:val="single" w:color="000000" w:sz="4" w:space="0"/>
              <w:right w:val="single" w:color="000000" w:sz="4" w:space="0"/>
            </w:tcBorders>
            <w:noWrap w:val="0"/>
            <w:vAlign w:val="center"/>
          </w:tcPr>
          <w:p w14:paraId="3101FCEF">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&gt;=</w:t>
            </w:r>
          </w:p>
        </w:tc>
        <w:tc>
          <w:tcPr>
            <w:tcW w:w="786" w:type="dxa"/>
            <w:tcBorders>
              <w:top w:val="single" w:color="000000" w:sz="4" w:space="0"/>
              <w:left w:val="single" w:color="000000" w:sz="4" w:space="0"/>
              <w:bottom w:val="single" w:color="000000" w:sz="4" w:space="0"/>
              <w:right w:val="single" w:color="000000" w:sz="4" w:space="0"/>
            </w:tcBorders>
            <w:noWrap/>
            <w:vAlign w:val="center"/>
          </w:tcPr>
          <w:p w14:paraId="125F775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1003" w:type="dxa"/>
            <w:tcBorders>
              <w:top w:val="single" w:color="000000" w:sz="4" w:space="0"/>
              <w:left w:val="single" w:color="000000" w:sz="4" w:space="0"/>
              <w:bottom w:val="single" w:color="000000" w:sz="4" w:space="0"/>
              <w:right w:val="single" w:color="000000" w:sz="4" w:space="0"/>
            </w:tcBorders>
            <w:noWrap/>
            <w:vAlign w:val="center"/>
          </w:tcPr>
          <w:p w14:paraId="69B98F5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52C92C8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定量指标</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461CE51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达到标准值得3.2分；未达到标准值，则按实际完成率/计划完成率*100%计分</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20A3FF1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反映居民规范化电子健康档案覆盖率</w:t>
            </w:r>
          </w:p>
        </w:tc>
        <w:tc>
          <w:tcPr>
            <w:tcW w:w="1280" w:type="dxa"/>
            <w:tcBorders>
              <w:top w:val="single" w:color="000000" w:sz="4" w:space="0"/>
              <w:left w:val="single" w:color="000000" w:sz="4" w:space="0"/>
              <w:bottom w:val="single" w:color="000000" w:sz="4" w:space="0"/>
              <w:right w:val="single" w:color="000000" w:sz="4" w:space="0"/>
            </w:tcBorders>
            <w:noWrap w:val="0"/>
            <w:vAlign w:val="center"/>
          </w:tcPr>
          <w:p w14:paraId="262F3EA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昆财社〔2025〕33号 昆明市财政局关于下达2025年基本公共卫生服务项目中央补助资金的通知</w:t>
            </w:r>
          </w:p>
        </w:tc>
      </w:tr>
      <w:tr w14:paraId="6BFD8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1039" w:type="dxa"/>
            <w:tcBorders>
              <w:top w:val="single" w:color="000000" w:sz="4" w:space="0"/>
              <w:left w:val="single" w:color="000000" w:sz="4" w:space="0"/>
              <w:bottom w:val="single" w:color="000000" w:sz="4" w:space="0"/>
              <w:right w:val="single" w:color="000000" w:sz="4" w:space="0"/>
            </w:tcBorders>
            <w:noWrap w:val="0"/>
            <w:vAlign w:val="center"/>
          </w:tcPr>
          <w:p w14:paraId="4509B1A3">
            <w:pPr>
              <w:jc w:val="left"/>
              <w:rPr>
                <w:rFonts w:hint="eastAsia" w:ascii="宋体" w:hAnsi="宋体" w:eastAsia="宋体" w:cs="宋体"/>
                <w:i w:val="0"/>
                <w:iCs w:val="0"/>
                <w:color w:val="000000"/>
                <w:sz w:val="18"/>
                <w:szCs w:val="18"/>
                <w:u w:val="none"/>
              </w:rPr>
            </w:pPr>
          </w:p>
        </w:tc>
        <w:tc>
          <w:tcPr>
            <w:tcW w:w="588" w:type="dxa"/>
            <w:tcBorders>
              <w:top w:val="single" w:color="000000" w:sz="4" w:space="0"/>
              <w:left w:val="single" w:color="000000" w:sz="4" w:space="0"/>
              <w:bottom w:val="single" w:color="000000" w:sz="4" w:space="0"/>
              <w:right w:val="single" w:color="000000" w:sz="4" w:space="0"/>
            </w:tcBorders>
            <w:noWrap w:val="0"/>
            <w:vAlign w:val="center"/>
          </w:tcPr>
          <w:p w14:paraId="08058D1E">
            <w:pPr>
              <w:jc w:val="left"/>
              <w:rPr>
                <w:rFonts w:hint="eastAsia" w:ascii="宋体" w:hAnsi="宋体" w:eastAsia="宋体" w:cs="宋体"/>
                <w:i w:val="0"/>
                <w:iCs w:val="0"/>
                <w:color w:val="000000"/>
                <w:sz w:val="18"/>
                <w:szCs w:val="18"/>
                <w:u w:val="none"/>
              </w:rPr>
            </w:pPr>
          </w:p>
        </w:tc>
        <w:tc>
          <w:tcPr>
            <w:tcW w:w="1101" w:type="dxa"/>
            <w:tcBorders>
              <w:top w:val="single" w:color="000000" w:sz="4" w:space="0"/>
              <w:left w:val="single" w:color="000000" w:sz="4" w:space="0"/>
              <w:bottom w:val="single" w:color="000000" w:sz="4" w:space="0"/>
              <w:right w:val="single" w:color="000000" w:sz="4" w:space="0"/>
            </w:tcBorders>
            <w:noWrap w:val="0"/>
            <w:vAlign w:val="center"/>
          </w:tcPr>
          <w:p w14:paraId="73435DD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高血压患者基层规范管理服务率</w:t>
            </w:r>
          </w:p>
        </w:tc>
        <w:tc>
          <w:tcPr>
            <w:tcW w:w="984" w:type="dxa"/>
            <w:tcBorders>
              <w:top w:val="single" w:color="000000" w:sz="4" w:space="0"/>
              <w:left w:val="single" w:color="000000" w:sz="4" w:space="0"/>
              <w:bottom w:val="single" w:color="000000" w:sz="4" w:space="0"/>
              <w:right w:val="single" w:color="000000" w:sz="4" w:space="0"/>
            </w:tcBorders>
            <w:noWrap w:val="0"/>
            <w:vAlign w:val="center"/>
          </w:tcPr>
          <w:p w14:paraId="76A98411">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&gt;=</w:t>
            </w:r>
          </w:p>
        </w:tc>
        <w:tc>
          <w:tcPr>
            <w:tcW w:w="786" w:type="dxa"/>
            <w:tcBorders>
              <w:top w:val="single" w:color="000000" w:sz="4" w:space="0"/>
              <w:left w:val="single" w:color="000000" w:sz="4" w:space="0"/>
              <w:bottom w:val="single" w:color="000000" w:sz="4" w:space="0"/>
              <w:right w:val="single" w:color="000000" w:sz="4" w:space="0"/>
            </w:tcBorders>
            <w:noWrap/>
            <w:vAlign w:val="center"/>
          </w:tcPr>
          <w:p w14:paraId="586BA41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1003" w:type="dxa"/>
            <w:tcBorders>
              <w:top w:val="single" w:color="000000" w:sz="4" w:space="0"/>
              <w:left w:val="single" w:color="000000" w:sz="4" w:space="0"/>
              <w:bottom w:val="single" w:color="000000" w:sz="4" w:space="0"/>
              <w:right w:val="single" w:color="000000" w:sz="4" w:space="0"/>
            </w:tcBorders>
            <w:noWrap/>
            <w:vAlign w:val="center"/>
          </w:tcPr>
          <w:p w14:paraId="6881634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6AA1C09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定量指标</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576F226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达到标准值得3.2分；未达到标准值，则按实际完成率/计划完成率*100%计分</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448A542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反映高血压患者基层规范管理服务率</w:t>
            </w:r>
          </w:p>
        </w:tc>
        <w:tc>
          <w:tcPr>
            <w:tcW w:w="1280" w:type="dxa"/>
            <w:tcBorders>
              <w:top w:val="single" w:color="000000" w:sz="4" w:space="0"/>
              <w:left w:val="single" w:color="000000" w:sz="4" w:space="0"/>
              <w:bottom w:val="single" w:color="000000" w:sz="4" w:space="0"/>
              <w:right w:val="single" w:color="000000" w:sz="4" w:space="0"/>
            </w:tcBorders>
            <w:noWrap w:val="0"/>
            <w:vAlign w:val="center"/>
          </w:tcPr>
          <w:p w14:paraId="0165501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昆财社〔2025〕33号 昆明市财政局关于下达2025年基本公共卫生服务项目中央补助资金的通知</w:t>
            </w:r>
          </w:p>
        </w:tc>
      </w:tr>
      <w:tr w14:paraId="03F05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1039" w:type="dxa"/>
            <w:tcBorders>
              <w:top w:val="single" w:color="000000" w:sz="4" w:space="0"/>
              <w:left w:val="single" w:color="000000" w:sz="4" w:space="0"/>
              <w:bottom w:val="single" w:color="000000" w:sz="4" w:space="0"/>
              <w:right w:val="single" w:color="000000" w:sz="4" w:space="0"/>
            </w:tcBorders>
            <w:noWrap w:val="0"/>
            <w:vAlign w:val="center"/>
          </w:tcPr>
          <w:p w14:paraId="09258B24">
            <w:pPr>
              <w:jc w:val="left"/>
              <w:rPr>
                <w:rFonts w:hint="eastAsia" w:ascii="宋体" w:hAnsi="宋体" w:eastAsia="宋体" w:cs="宋体"/>
                <w:i w:val="0"/>
                <w:iCs w:val="0"/>
                <w:color w:val="000000"/>
                <w:sz w:val="18"/>
                <w:szCs w:val="18"/>
                <w:u w:val="none"/>
              </w:rPr>
            </w:pPr>
          </w:p>
        </w:tc>
        <w:tc>
          <w:tcPr>
            <w:tcW w:w="588" w:type="dxa"/>
            <w:tcBorders>
              <w:top w:val="single" w:color="000000" w:sz="4" w:space="0"/>
              <w:left w:val="single" w:color="000000" w:sz="4" w:space="0"/>
              <w:bottom w:val="single" w:color="000000" w:sz="4" w:space="0"/>
              <w:right w:val="single" w:color="000000" w:sz="4" w:space="0"/>
            </w:tcBorders>
            <w:noWrap w:val="0"/>
            <w:vAlign w:val="center"/>
          </w:tcPr>
          <w:p w14:paraId="46C054A3">
            <w:pPr>
              <w:jc w:val="left"/>
              <w:rPr>
                <w:rFonts w:hint="eastAsia" w:ascii="宋体" w:hAnsi="宋体" w:eastAsia="宋体" w:cs="宋体"/>
                <w:i w:val="0"/>
                <w:iCs w:val="0"/>
                <w:color w:val="000000"/>
                <w:sz w:val="18"/>
                <w:szCs w:val="18"/>
                <w:u w:val="none"/>
              </w:rPr>
            </w:pPr>
          </w:p>
        </w:tc>
        <w:tc>
          <w:tcPr>
            <w:tcW w:w="1101" w:type="dxa"/>
            <w:tcBorders>
              <w:top w:val="single" w:color="000000" w:sz="4" w:space="0"/>
              <w:left w:val="single" w:color="000000" w:sz="4" w:space="0"/>
              <w:bottom w:val="single" w:color="000000" w:sz="4" w:space="0"/>
              <w:right w:val="single" w:color="000000" w:sz="4" w:space="0"/>
            </w:tcBorders>
            <w:noWrap w:val="0"/>
            <w:vAlign w:val="center"/>
          </w:tcPr>
          <w:p w14:paraId="63D141F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2型糖尿病患者基层规范管理服务率</w:t>
            </w:r>
          </w:p>
        </w:tc>
        <w:tc>
          <w:tcPr>
            <w:tcW w:w="984" w:type="dxa"/>
            <w:tcBorders>
              <w:top w:val="single" w:color="000000" w:sz="4" w:space="0"/>
              <w:left w:val="single" w:color="000000" w:sz="4" w:space="0"/>
              <w:bottom w:val="single" w:color="000000" w:sz="4" w:space="0"/>
              <w:right w:val="single" w:color="000000" w:sz="4" w:space="0"/>
            </w:tcBorders>
            <w:noWrap w:val="0"/>
            <w:vAlign w:val="center"/>
          </w:tcPr>
          <w:p w14:paraId="1C0A51F1">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&gt;=</w:t>
            </w:r>
          </w:p>
        </w:tc>
        <w:tc>
          <w:tcPr>
            <w:tcW w:w="786" w:type="dxa"/>
            <w:tcBorders>
              <w:top w:val="single" w:color="000000" w:sz="4" w:space="0"/>
              <w:left w:val="single" w:color="000000" w:sz="4" w:space="0"/>
              <w:bottom w:val="single" w:color="000000" w:sz="4" w:space="0"/>
              <w:right w:val="single" w:color="000000" w:sz="4" w:space="0"/>
            </w:tcBorders>
            <w:noWrap/>
            <w:vAlign w:val="center"/>
          </w:tcPr>
          <w:p w14:paraId="5E17891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1003" w:type="dxa"/>
            <w:tcBorders>
              <w:top w:val="single" w:color="000000" w:sz="4" w:space="0"/>
              <w:left w:val="single" w:color="000000" w:sz="4" w:space="0"/>
              <w:bottom w:val="single" w:color="000000" w:sz="4" w:space="0"/>
              <w:right w:val="single" w:color="000000" w:sz="4" w:space="0"/>
            </w:tcBorders>
            <w:noWrap/>
            <w:vAlign w:val="center"/>
          </w:tcPr>
          <w:p w14:paraId="52A77E6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5D99FEB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定量指标</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16553D5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达到标准值得3.2分；未达到标准值，则按实际完成率/计划完成率*100%计分</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4242FE0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反映2型糖尿病患者基层规范管理服务率</w:t>
            </w:r>
          </w:p>
        </w:tc>
        <w:tc>
          <w:tcPr>
            <w:tcW w:w="1280" w:type="dxa"/>
            <w:tcBorders>
              <w:top w:val="single" w:color="000000" w:sz="4" w:space="0"/>
              <w:left w:val="single" w:color="000000" w:sz="4" w:space="0"/>
              <w:bottom w:val="single" w:color="000000" w:sz="4" w:space="0"/>
              <w:right w:val="single" w:color="000000" w:sz="4" w:space="0"/>
            </w:tcBorders>
            <w:noWrap w:val="0"/>
            <w:vAlign w:val="center"/>
          </w:tcPr>
          <w:p w14:paraId="0F600FD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昆财社〔2025〕33号 昆明市财政局关于下达2025年基本公共卫生服务项目中央补助资金的通知</w:t>
            </w:r>
          </w:p>
        </w:tc>
      </w:tr>
      <w:tr w14:paraId="0C0B7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1039" w:type="dxa"/>
            <w:tcBorders>
              <w:top w:val="single" w:color="000000" w:sz="4" w:space="0"/>
              <w:left w:val="single" w:color="000000" w:sz="4" w:space="0"/>
              <w:bottom w:val="single" w:color="000000" w:sz="4" w:space="0"/>
              <w:right w:val="single" w:color="000000" w:sz="4" w:space="0"/>
            </w:tcBorders>
            <w:noWrap w:val="0"/>
            <w:vAlign w:val="center"/>
          </w:tcPr>
          <w:p w14:paraId="476CC1C6">
            <w:pPr>
              <w:jc w:val="left"/>
              <w:rPr>
                <w:rFonts w:hint="eastAsia" w:ascii="宋体" w:hAnsi="宋体" w:eastAsia="宋体" w:cs="宋体"/>
                <w:i w:val="0"/>
                <w:iCs w:val="0"/>
                <w:color w:val="000000"/>
                <w:sz w:val="18"/>
                <w:szCs w:val="18"/>
                <w:u w:val="none"/>
              </w:rPr>
            </w:pPr>
          </w:p>
        </w:tc>
        <w:tc>
          <w:tcPr>
            <w:tcW w:w="588" w:type="dxa"/>
            <w:tcBorders>
              <w:top w:val="single" w:color="000000" w:sz="4" w:space="0"/>
              <w:left w:val="single" w:color="000000" w:sz="4" w:space="0"/>
              <w:bottom w:val="single" w:color="000000" w:sz="4" w:space="0"/>
              <w:right w:val="single" w:color="000000" w:sz="4" w:space="0"/>
            </w:tcBorders>
            <w:noWrap w:val="0"/>
            <w:vAlign w:val="center"/>
          </w:tcPr>
          <w:p w14:paraId="38FF90CC">
            <w:pPr>
              <w:jc w:val="left"/>
              <w:rPr>
                <w:rFonts w:hint="eastAsia" w:ascii="宋体" w:hAnsi="宋体" w:eastAsia="宋体" w:cs="宋体"/>
                <w:i w:val="0"/>
                <w:iCs w:val="0"/>
                <w:color w:val="000000"/>
                <w:sz w:val="18"/>
                <w:szCs w:val="18"/>
                <w:u w:val="none"/>
              </w:rPr>
            </w:pPr>
          </w:p>
        </w:tc>
        <w:tc>
          <w:tcPr>
            <w:tcW w:w="1101" w:type="dxa"/>
            <w:tcBorders>
              <w:top w:val="single" w:color="000000" w:sz="4" w:space="0"/>
              <w:left w:val="single" w:color="000000" w:sz="4" w:space="0"/>
              <w:bottom w:val="single" w:color="000000" w:sz="4" w:space="0"/>
              <w:right w:val="single" w:color="000000" w:sz="4" w:space="0"/>
            </w:tcBorders>
            <w:noWrap w:val="0"/>
            <w:vAlign w:val="center"/>
          </w:tcPr>
          <w:p w14:paraId="79F89BE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65岁以上老年人城乡社区规范健康管理服务率</w:t>
            </w:r>
          </w:p>
        </w:tc>
        <w:tc>
          <w:tcPr>
            <w:tcW w:w="984" w:type="dxa"/>
            <w:tcBorders>
              <w:top w:val="single" w:color="000000" w:sz="4" w:space="0"/>
              <w:left w:val="single" w:color="000000" w:sz="4" w:space="0"/>
              <w:bottom w:val="single" w:color="000000" w:sz="4" w:space="0"/>
              <w:right w:val="single" w:color="000000" w:sz="4" w:space="0"/>
            </w:tcBorders>
            <w:noWrap w:val="0"/>
            <w:vAlign w:val="center"/>
          </w:tcPr>
          <w:p w14:paraId="57BE0598">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&gt;=</w:t>
            </w:r>
          </w:p>
        </w:tc>
        <w:tc>
          <w:tcPr>
            <w:tcW w:w="786" w:type="dxa"/>
            <w:tcBorders>
              <w:top w:val="single" w:color="000000" w:sz="4" w:space="0"/>
              <w:left w:val="single" w:color="000000" w:sz="4" w:space="0"/>
              <w:bottom w:val="single" w:color="000000" w:sz="4" w:space="0"/>
              <w:right w:val="single" w:color="000000" w:sz="4" w:space="0"/>
            </w:tcBorders>
            <w:noWrap/>
            <w:vAlign w:val="center"/>
          </w:tcPr>
          <w:p w14:paraId="126F839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1003" w:type="dxa"/>
            <w:tcBorders>
              <w:top w:val="single" w:color="000000" w:sz="4" w:space="0"/>
              <w:left w:val="single" w:color="000000" w:sz="4" w:space="0"/>
              <w:bottom w:val="single" w:color="000000" w:sz="4" w:space="0"/>
              <w:right w:val="single" w:color="000000" w:sz="4" w:space="0"/>
            </w:tcBorders>
            <w:noWrap/>
            <w:vAlign w:val="center"/>
          </w:tcPr>
          <w:p w14:paraId="6D2024A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1C3399D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定量指标</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4F24DBD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达到标准值得3.2分；未达到标准值，则按实际完成率/计划完成率*100%计分</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1FE0CD7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反映65岁以上老年人城乡社区规范健康管理服务率</w:t>
            </w:r>
          </w:p>
        </w:tc>
        <w:tc>
          <w:tcPr>
            <w:tcW w:w="1280" w:type="dxa"/>
            <w:tcBorders>
              <w:top w:val="single" w:color="000000" w:sz="4" w:space="0"/>
              <w:left w:val="single" w:color="000000" w:sz="4" w:space="0"/>
              <w:bottom w:val="single" w:color="000000" w:sz="4" w:space="0"/>
              <w:right w:val="single" w:color="000000" w:sz="4" w:space="0"/>
            </w:tcBorders>
            <w:noWrap w:val="0"/>
            <w:vAlign w:val="center"/>
          </w:tcPr>
          <w:p w14:paraId="380725D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昆财社〔2025〕33号 昆明市财政局关于下达2025年基本公共卫生服务项目中央补助资金的通知</w:t>
            </w:r>
          </w:p>
        </w:tc>
      </w:tr>
      <w:tr w14:paraId="10F74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1039" w:type="dxa"/>
            <w:tcBorders>
              <w:top w:val="single" w:color="000000" w:sz="4" w:space="0"/>
              <w:left w:val="single" w:color="000000" w:sz="4" w:space="0"/>
              <w:bottom w:val="single" w:color="000000" w:sz="4" w:space="0"/>
              <w:right w:val="single" w:color="000000" w:sz="4" w:space="0"/>
            </w:tcBorders>
            <w:noWrap w:val="0"/>
            <w:vAlign w:val="center"/>
          </w:tcPr>
          <w:p w14:paraId="396E48CE">
            <w:pPr>
              <w:jc w:val="left"/>
              <w:rPr>
                <w:rFonts w:hint="eastAsia" w:ascii="宋体" w:hAnsi="宋体" w:eastAsia="宋体" w:cs="宋体"/>
                <w:i w:val="0"/>
                <w:iCs w:val="0"/>
                <w:color w:val="000000"/>
                <w:sz w:val="18"/>
                <w:szCs w:val="18"/>
                <w:u w:val="none"/>
              </w:rPr>
            </w:pPr>
          </w:p>
        </w:tc>
        <w:tc>
          <w:tcPr>
            <w:tcW w:w="588" w:type="dxa"/>
            <w:tcBorders>
              <w:top w:val="single" w:color="000000" w:sz="4" w:space="0"/>
              <w:left w:val="single" w:color="000000" w:sz="4" w:space="0"/>
              <w:bottom w:val="single" w:color="000000" w:sz="4" w:space="0"/>
              <w:right w:val="single" w:color="000000" w:sz="4" w:space="0"/>
            </w:tcBorders>
            <w:noWrap w:val="0"/>
            <w:vAlign w:val="center"/>
          </w:tcPr>
          <w:p w14:paraId="42BF4D0B">
            <w:pPr>
              <w:jc w:val="left"/>
              <w:rPr>
                <w:rFonts w:hint="eastAsia" w:ascii="宋体" w:hAnsi="宋体" w:eastAsia="宋体" w:cs="宋体"/>
                <w:i w:val="0"/>
                <w:iCs w:val="0"/>
                <w:color w:val="000000"/>
                <w:sz w:val="18"/>
                <w:szCs w:val="18"/>
                <w:u w:val="none"/>
              </w:rPr>
            </w:pPr>
          </w:p>
        </w:tc>
        <w:tc>
          <w:tcPr>
            <w:tcW w:w="1101" w:type="dxa"/>
            <w:tcBorders>
              <w:top w:val="single" w:color="000000" w:sz="4" w:space="0"/>
              <w:left w:val="single" w:color="000000" w:sz="4" w:space="0"/>
              <w:bottom w:val="single" w:color="000000" w:sz="4" w:space="0"/>
              <w:right w:val="single" w:color="000000" w:sz="4" w:space="0"/>
            </w:tcBorders>
            <w:noWrap w:val="0"/>
            <w:vAlign w:val="center"/>
          </w:tcPr>
          <w:p w14:paraId="14F98D5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传染病和突发公共卫生时间报告率</w:t>
            </w:r>
          </w:p>
        </w:tc>
        <w:tc>
          <w:tcPr>
            <w:tcW w:w="984" w:type="dxa"/>
            <w:tcBorders>
              <w:top w:val="single" w:color="000000" w:sz="4" w:space="0"/>
              <w:left w:val="single" w:color="000000" w:sz="4" w:space="0"/>
              <w:bottom w:val="single" w:color="000000" w:sz="4" w:space="0"/>
              <w:right w:val="single" w:color="000000" w:sz="4" w:space="0"/>
            </w:tcBorders>
            <w:noWrap w:val="0"/>
            <w:vAlign w:val="center"/>
          </w:tcPr>
          <w:p w14:paraId="64C31E30">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&gt;=</w:t>
            </w:r>
          </w:p>
        </w:tc>
        <w:tc>
          <w:tcPr>
            <w:tcW w:w="786" w:type="dxa"/>
            <w:tcBorders>
              <w:top w:val="single" w:color="000000" w:sz="4" w:space="0"/>
              <w:left w:val="single" w:color="000000" w:sz="4" w:space="0"/>
              <w:bottom w:val="single" w:color="000000" w:sz="4" w:space="0"/>
              <w:right w:val="single" w:color="000000" w:sz="4" w:space="0"/>
            </w:tcBorders>
            <w:noWrap/>
            <w:vAlign w:val="center"/>
          </w:tcPr>
          <w:p w14:paraId="04B1225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1003" w:type="dxa"/>
            <w:tcBorders>
              <w:top w:val="single" w:color="000000" w:sz="4" w:space="0"/>
              <w:left w:val="single" w:color="000000" w:sz="4" w:space="0"/>
              <w:bottom w:val="single" w:color="000000" w:sz="4" w:space="0"/>
              <w:right w:val="single" w:color="000000" w:sz="4" w:space="0"/>
            </w:tcBorders>
            <w:noWrap/>
            <w:vAlign w:val="center"/>
          </w:tcPr>
          <w:p w14:paraId="01152BC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3556482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定量指标</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33DE934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达到标准值得3.2分；未达到标准值，则按实际完成率/计划完成率*100%计分</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0D3B959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反映传染病和突发公共卫生时间报告率</w:t>
            </w:r>
          </w:p>
        </w:tc>
        <w:tc>
          <w:tcPr>
            <w:tcW w:w="1280" w:type="dxa"/>
            <w:tcBorders>
              <w:top w:val="single" w:color="000000" w:sz="4" w:space="0"/>
              <w:left w:val="single" w:color="000000" w:sz="4" w:space="0"/>
              <w:bottom w:val="single" w:color="000000" w:sz="4" w:space="0"/>
              <w:right w:val="single" w:color="000000" w:sz="4" w:space="0"/>
            </w:tcBorders>
            <w:noWrap w:val="0"/>
            <w:vAlign w:val="center"/>
          </w:tcPr>
          <w:p w14:paraId="07BAD1B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昆财社〔2025〕33号 昆明市财政局关于下达2025年基本公共卫生服务项目中央补助资金的通知</w:t>
            </w:r>
          </w:p>
        </w:tc>
      </w:tr>
      <w:tr w14:paraId="51A21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039" w:type="dxa"/>
            <w:tcBorders>
              <w:top w:val="single" w:color="000000" w:sz="4" w:space="0"/>
              <w:left w:val="single" w:color="000000" w:sz="4" w:space="0"/>
              <w:bottom w:val="single" w:color="000000" w:sz="4" w:space="0"/>
              <w:right w:val="single" w:color="000000" w:sz="4" w:space="0"/>
            </w:tcBorders>
            <w:noWrap w:val="0"/>
            <w:vAlign w:val="center"/>
          </w:tcPr>
          <w:p w14:paraId="1CF848A6">
            <w:pPr>
              <w:jc w:val="left"/>
              <w:rPr>
                <w:rFonts w:hint="eastAsia" w:ascii="宋体" w:hAnsi="宋体" w:eastAsia="宋体" w:cs="宋体"/>
                <w:i w:val="0"/>
                <w:iCs w:val="0"/>
                <w:color w:val="000000"/>
                <w:sz w:val="18"/>
                <w:szCs w:val="18"/>
                <w:u w:val="none"/>
              </w:rPr>
            </w:pPr>
          </w:p>
        </w:tc>
        <w:tc>
          <w:tcPr>
            <w:tcW w:w="588" w:type="dxa"/>
            <w:tcBorders>
              <w:top w:val="single" w:color="000000" w:sz="4" w:space="0"/>
              <w:left w:val="single" w:color="000000" w:sz="4" w:space="0"/>
              <w:bottom w:val="single" w:color="000000" w:sz="4" w:space="0"/>
              <w:right w:val="single" w:color="000000" w:sz="4" w:space="0"/>
            </w:tcBorders>
            <w:noWrap w:val="0"/>
            <w:vAlign w:val="center"/>
          </w:tcPr>
          <w:p w14:paraId="2BFECD7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1101" w:type="dxa"/>
            <w:tcBorders>
              <w:top w:val="single" w:color="000000" w:sz="4" w:space="0"/>
              <w:left w:val="single" w:color="000000" w:sz="4" w:space="0"/>
              <w:bottom w:val="single" w:color="000000" w:sz="4" w:space="0"/>
              <w:right w:val="single" w:color="000000" w:sz="4" w:space="0"/>
            </w:tcBorders>
            <w:noWrap w:val="0"/>
            <w:vAlign w:val="center"/>
          </w:tcPr>
          <w:p w14:paraId="51ED81EE">
            <w:pPr>
              <w:jc w:val="left"/>
              <w:rPr>
                <w:rFonts w:hint="eastAsia" w:ascii="宋体" w:hAnsi="宋体" w:eastAsia="宋体" w:cs="宋体"/>
                <w:i w:val="0"/>
                <w:iCs w:val="0"/>
                <w:color w:val="000000"/>
                <w:sz w:val="18"/>
                <w:szCs w:val="18"/>
                <w:u w:val="none"/>
              </w:rPr>
            </w:pPr>
          </w:p>
        </w:tc>
        <w:tc>
          <w:tcPr>
            <w:tcW w:w="984" w:type="dxa"/>
            <w:tcBorders>
              <w:top w:val="single" w:color="000000" w:sz="4" w:space="0"/>
              <w:left w:val="single" w:color="000000" w:sz="4" w:space="0"/>
              <w:bottom w:val="single" w:color="000000" w:sz="4" w:space="0"/>
              <w:right w:val="single" w:color="000000" w:sz="4" w:space="0"/>
            </w:tcBorders>
            <w:noWrap w:val="0"/>
            <w:vAlign w:val="center"/>
          </w:tcPr>
          <w:p w14:paraId="3569CA42">
            <w:pPr>
              <w:jc w:val="left"/>
            </w:pPr>
          </w:p>
        </w:tc>
        <w:tc>
          <w:tcPr>
            <w:tcW w:w="786" w:type="dxa"/>
            <w:tcBorders>
              <w:top w:val="single" w:color="000000" w:sz="4" w:space="0"/>
              <w:left w:val="single" w:color="000000" w:sz="4" w:space="0"/>
              <w:bottom w:val="single" w:color="000000" w:sz="4" w:space="0"/>
              <w:right w:val="single" w:color="000000" w:sz="4" w:space="0"/>
            </w:tcBorders>
            <w:noWrap/>
            <w:vAlign w:val="center"/>
          </w:tcPr>
          <w:p w14:paraId="1F5EFEB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空</w:t>
            </w:r>
          </w:p>
        </w:tc>
        <w:tc>
          <w:tcPr>
            <w:tcW w:w="1003" w:type="dxa"/>
            <w:tcBorders>
              <w:top w:val="single" w:color="000000" w:sz="4" w:space="0"/>
              <w:left w:val="single" w:color="000000" w:sz="4" w:space="0"/>
              <w:bottom w:val="single" w:color="000000" w:sz="4" w:space="0"/>
              <w:right w:val="single" w:color="000000" w:sz="4" w:space="0"/>
            </w:tcBorders>
            <w:noWrap/>
            <w:vAlign w:val="center"/>
          </w:tcPr>
          <w:p w14:paraId="690AA8FB">
            <w:pPr>
              <w:jc w:val="left"/>
              <w:rPr>
                <w:rFonts w:hint="eastAsia" w:ascii="宋体" w:hAnsi="宋体" w:eastAsia="宋体" w:cs="宋体"/>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442EAE9B">
            <w:pPr>
              <w:jc w:val="left"/>
              <w:rPr>
                <w:rFonts w:hint="eastAsia" w:ascii="宋体" w:hAnsi="宋体" w:eastAsia="宋体" w:cs="宋体"/>
                <w:i w:val="0"/>
                <w:iCs w:val="0"/>
                <w:color w:val="000000"/>
                <w:sz w:val="18"/>
                <w:szCs w:val="18"/>
                <w:u w:val="none"/>
              </w:rPr>
            </w:pP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79CCD32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空</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5C28897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空</w:t>
            </w:r>
          </w:p>
        </w:tc>
        <w:tc>
          <w:tcPr>
            <w:tcW w:w="1280" w:type="dxa"/>
            <w:tcBorders>
              <w:top w:val="single" w:color="000000" w:sz="4" w:space="0"/>
              <w:left w:val="single" w:color="000000" w:sz="4" w:space="0"/>
              <w:bottom w:val="single" w:color="000000" w:sz="4" w:space="0"/>
              <w:right w:val="single" w:color="000000" w:sz="4" w:space="0"/>
            </w:tcBorders>
            <w:noWrap w:val="0"/>
            <w:vAlign w:val="center"/>
          </w:tcPr>
          <w:p w14:paraId="538B5A0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空</w:t>
            </w:r>
          </w:p>
        </w:tc>
      </w:tr>
      <w:tr w14:paraId="031D7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039" w:type="dxa"/>
            <w:tcBorders>
              <w:top w:val="single" w:color="000000" w:sz="4" w:space="0"/>
              <w:left w:val="single" w:color="000000" w:sz="4" w:space="0"/>
              <w:bottom w:val="single" w:color="000000" w:sz="4" w:space="0"/>
              <w:right w:val="single" w:color="000000" w:sz="4" w:space="0"/>
            </w:tcBorders>
            <w:noWrap w:val="0"/>
            <w:vAlign w:val="center"/>
          </w:tcPr>
          <w:p w14:paraId="736547B8">
            <w:pPr>
              <w:jc w:val="left"/>
              <w:rPr>
                <w:rFonts w:hint="eastAsia" w:ascii="宋体" w:hAnsi="宋体" w:eastAsia="宋体" w:cs="宋体"/>
                <w:i w:val="0"/>
                <w:iCs w:val="0"/>
                <w:color w:val="000000"/>
                <w:sz w:val="18"/>
                <w:szCs w:val="18"/>
                <w:u w:val="none"/>
              </w:rPr>
            </w:pPr>
          </w:p>
        </w:tc>
        <w:tc>
          <w:tcPr>
            <w:tcW w:w="588" w:type="dxa"/>
            <w:tcBorders>
              <w:top w:val="single" w:color="000000" w:sz="4" w:space="0"/>
              <w:left w:val="single" w:color="000000" w:sz="4" w:space="0"/>
              <w:bottom w:val="single" w:color="000000" w:sz="4" w:space="0"/>
              <w:right w:val="single" w:color="000000" w:sz="4" w:space="0"/>
            </w:tcBorders>
            <w:noWrap w:val="0"/>
            <w:vAlign w:val="center"/>
          </w:tcPr>
          <w:p w14:paraId="145099B1">
            <w:pPr>
              <w:jc w:val="left"/>
              <w:rPr>
                <w:rFonts w:hint="eastAsia" w:ascii="宋体" w:hAnsi="宋体" w:eastAsia="宋体" w:cs="宋体"/>
                <w:i w:val="0"/>
                <w:iCs w:val="0"/>
                <w:color w:val="000000"/>
                <w:sz w:val="18"/>
                <w:szCs w:val="18"/>
                <w:u w:val="none"/>
              </w:rPr>
            </w:pPr>
          </w:p>
        </w:tc>
        <w:tc>
          <w:tcPr>
            <w:tcW w:w="1101" w:type="dxa"/>
            <w:tcBorders>
              <w:top w:val="single" w:color="000000" w:sz="4" w:space="0"/>
              <w:left w:val="single" w:color="000000" w:sz="4" w:space="0"/>
              <w:bottom w:val="single" w:color="000000" w:sz="4" w:space="0"/>
              <w:right w:val="single" w:color="000000" w:sz="4" w:space="0"/>
            </w:tcBorders>
            <w:noWrap w:val="0"/>
            <w:vAlign w:val="center"/>
          </w:tcPr>
          <w:p w14:paraId="02753ED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疫苗接种及时率</w:t>
            </w:r>
          </w:p>
        </w:tc>
        <w:tc>
          <w:tcPr>
            <w:tcW w:w="984" w:type="dxa"/>
            <w:tcBorders>
              <w:top w:val="single" w:color="000000" w:sz="4" w:space="0"/>
              <w:left w:val="single" w:color="000000" w:sz="4" w:space="0"/>
              <w:bottom w:val="single" w:color="000000" w:sz="4" w:space="0"/>
              <w:right w:val="single" w:color="000000" w:sz="4" w:space="0"/>
            </w:tcBorders>
            <w:noWrap w:val="0"/>
            <w:vAlign w:val="center"/>
          </w:tcPr>
          <w:p w14:paraId="719F0F78">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w:t>
            </w:r>
          </w:p>
        </w:tc>
        <w:tc>
          <w:tcPr>
            <w:tcW w:w="786" w:type="dxa"/>
            <w:tcBorders>
              <w:top w:val="single" w:color="000000" w:sz="4" w:space="0"/>
              <w:left w:val="single" w:color="000000" w:sz="4" w:space="0"/>
              <w:bottom w:val="single" w:color="000000" w:sz="4" w:space="0"/>
              <w:right w:val="single" w:color="000000" w:sz="4" w:space="0"/>
            </w:tcBorders>
            <w:noWrap/>
            <w:vAlign w:val="center"/>
          </w:tcPr>
          <w:p w14:paraId="19CDB6B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及时</w:t>
            </w:r>
          </w:p>
        </w:tc>
        <w:tc>
          <w:tcPr>
            <w:tcW w:w="1003" w:type="dxa"/>
            <w:tcBorders>
              <w:top w:val="single" w:color="000000" w:sz="4" w:space="0"/>
              <w:left w:val="single" w:color="000000" w:sz="4" w:space="0"/>
              <w:bottom w:val="single" w:color="000000" w:sz="4" w:space="0"/>
              <w:right w:val="single" w:color="000000" w:sz="4" w:space="0"/>
            </w:tcBorders>
            <w:noWrap/>
            <w:vAlign w:val="center"/>
          </w:tcPr>
          <w:p w14:paraId="131D1F2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是/否</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776EA6D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定性指标</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105579D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达到预计标准值得2分，未达成不得分。</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7FABAA4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反映疫苗接种及时率</w:t>
            </w:r>
          </w:p>
        </w:tc>
        <w:tc>
          <w:tcPr>
            <w:tcW w:w="1280" w:type="dxa"/>
            <w:tcBorders>
              <w:top w:val="single" w:color="000000" w:sz="4" w:space="0"/>
              <w:left w:val="single" w:color="000000" w:sz="4" w:space="0"/>
              <w:bottom w:val="single" w:color="000000" w:sz="4" w:space="0"/>
              <w:right w:val="single" w:color="000000" w:sz="4" w:space="0"/>
            </w:tcBorders>
            <w:noWrap w:val="0"/>
            <w:vAlign w:val="center"/>
          </w:tcPr>
          <w:p w14:paraId="28C7F4B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昆财社〔2025〕33号 昆明市财政局关于下达2025年基本公共卫生服务项目中央补助资金的通知</w:t>
            </w:r>
          </w:p>
        </w:tc>
      </w:tr>
      <w:tr w14:paraId="46534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039" w:type="dxa"/>
            <w:tcBorders>
              <w:top w:val="single" w:color="000000" w:sz="4" w:space="0"/>
              <w:left w:val="single" w:color="000000" w:sz="4" w:space="0"/>
              <w:bottom w:val="single" w:color="000000" w:sz="4" w:space="0"/>
              <w:right w:val="single" w:color="000000" w:sz="4" w:space="0"/>
            </w:tcBorders>
            <w:noWrap w:val="0"/>
            <w:vAlign w:val="center"/>
          </w:tcPr>
          <w:p w14:paraId="2FA590F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588" w:type="dxa"/>
            <w:tcBorders>
              <w:top w:val="single" w:color="000000" w:sz="4" w:space="0"/>
              <w:left w:val="single" w:color="000000" w:sz="4" w:space="0"/>
              <w:bottom w:val="single" w:color="000000" w:sz="4" w:space="0"/>
              <w:right w:val="single" w:color="000000" w:sz="4" w:space="0"/>
            </w:tcBorders>
            <w:noWrap w:val="0"/>
            <w:vAlign w:val="center"/>
          </w:tcPr>
          <w:p w14:paraId="739271D4">
            <w:pPr>
              <w:jc w:val="left"/>
              <w:rPr>
                <w:rFonts w:hint="eastAsia" w:ascii="宋体" w:hAnsi="宋体" w:eastAsia="宋体" w:cs="宋体"/>
                <w:i w:val="0"/>
                <w:iCs w:val="0"/>
                <w:color w:val="000000"/>
                <w:sz w:val="18"/>
                <w:szCs w:val="18"/>
                <w:u w:val="none"/>
              </w:rPr>
            </w:pPr>
          </w:p>
        </w:tc>
        <w:tc>
          <w:tcPr>
            <w:tcW w:w="1101" w:type="dxa"/>
            <w:tcBorders>
              <w:top w:val="single" w:color="000000" w:sz="4" w:space="0"/>
              <w:left w:val="single" w:color="000000" w:sz="4" w:space="0"/>
              <w:bottom w:val="single" w:color="000000" w:sz="4" w:space="0"/>
              <w:right w:val="single" w:color="000000" w:sz="4" w:space="0"/>
            </w:tcBorders>
            <w:noWrap w:val="0"/>
            <w:vAlign w:val="center"/>
          </w:tcPr>
          <w:p w14:paraId="30BBD589">
            <w:pPr>
              <w:jc w:val="left"/>
              <w:rPr>
                <w:rFonts w:hint="eastAsia" w:ascii="宋体" w:hAnsi="宋体" w:eastAsia="宋体" w:cs="宋体"/>
                <w:i w:val="0"/>
                <w:iCs w:val="0"/>
                <w:color w:val="000000"/>
                <w:sz w:val="18"/>
                <w:szCs w:val="18"/>
                <w:u w:val="none"/>
              </w:rPr>
            </w:pPr>
          </w:p>
        </w:tc>
        <w:tc>
          <w:tcPr>
            <w:tcW w:w="984" w:type="dxa"/>
            <w:tcBorders>
              <w:top w:val="single" w:color="000000" w:sz="4" w:space="0"/>
              <w:left w:val="single" w:color="000000" w:sz="4" w:space="0"/>
              <w:bottom w:val="single" w:color="000000" w:sz="4" w:space="0"/>
              <w:right w:val="single" w:color="000000" w:sz="4" w:space="0"/>
            </w:tcBorders>
            <w:noWrap w:val="0"/>
            <w:vAlign w:val="center"/>
          </w:tcPr>
          <w:p w14:paraId="33FC20C9">
            <w:pPr>
              <w:jc w:val="left"/>
            </w:pPr>
          </w:p>
        </w:tc>
        <w:tc>
          <w:tcPr>
            <w:tcW w:w="786" w:type="dxa"/>
            <w:tcBorders>
              <w:top w:val="single" w:color="000000" w:sz="4" w:space="0"/>
              <w:left w:val="single" w:color="000000" w:sz="4" w:space="0"/>
              <w:bottom w:val="single" w:color="000000" w:sz="4" w:space="0"/>
              <w:right w:val="single" w:color="000000" w:sz="4" w:space="0"/>
            </w:tcBorders>
            <w:noWrap/>
            <w:vAlign w:val="center"/>
          </w:tcPr>
          <w:p w14:paraId="654D950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003" w:type="dxa"/>
            <w:tcBorders>
              <w:top w:val="single" w:color="000000" w:sz="4" w:space="0"/>
              <w:left w:val="single" w:color="000000" w:sz="4" w:space="0"/>
              <w:bottom w:val="single" w:color="000000" w:sz="4" w:space="0"/>
              <w:right w:val="single" w:color="000000" w:sz="4" w:space="0"/>
            </w:tcBorders>
            <w:noWrap/>
            <w:vAlign w:val="center"/>
          </w:tcPr>
          <w:p w14:paraId="643CF564">
            <w:pPr>
              <w:jc w:val="left"/>
              <w:rPr>
                <w:rFonts w:hint="eastAsia" w:ascii="宋体" w:hAnsi="宋体" w:eastAsia="宋体" w:cs="宋体"/>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2A050EA9">
            <w:pPr>
              <w:jc w:val="left"/>
              <w:rPr>
                <w:rFonts w:hint="eastAsia" w:ascii="宋体" w:hAnsi="宋体" w:eastAsia="宋体" w:cs="宋体"/>
                <w:i w:val="0"/>
                <w:iCs w:val="0"/>
                <w:color w:val="000000"/>
                <w:sz w:val="18"/>
                <w:szCs w:val="18"/>
                <w:u w:val="none"/>
              </w:rPr>
            </w:pP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7CB8AAC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501BCFF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280" w:type="dxa"/>
            <w:tcBorders>
              <w:top w:val="single" w:color="000000" w:sz="4" w:space="0"/>
              <w:left w:val="single" w:color="000000" w:sz="4" w:space="0"/>
              <w:bottom w:val="single" w:color="000000" w:sz="4" w:space="0"/>
              <w:right w:val="single" w:color="000000" w:sz="4" w:space="0"/>
            </w:tcBorders>
            <w:noWrap w:val="0"/>
            <w:vAlign w:val="center"/>
          </w:tcPr>
          <w:p w14:paraId="448AF72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r>
      <w:tr w14:paraId="1AEA2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039" w:type="dxa"/>
            <w:tcBorders>
              <w:top w:val="single" w:color="000000" w:sz="4" w:space="0"/>
              <w:left w:val="single" w:color="000000" w:sz="4" w:space="0"/>
              <w:bottom w:val="single" w:color="000000" w:sz="4" w:space="0"/>
              <w:right w:val="single" w:color="000000" w:sz="4" w:space="0"/>
            </w:tcBorders>
            <w:noWrap w:val="0"/>
            <w:vAlign w:val="center"/>
          </w:tcPr>
          <w:p w14:paraId="5130191D">
            <w:pPr>
              <w:jc w:val="left"/>
              <w:rPr>
                <w:rFonts w:hint="eastAsia" w:ascii="宋体" w:hAnsi="宋体" w:eastAsia="宋体" w:cs="宋体"/>
                <w:i w:val="0"/>
                <w:iCs w:val="0"/>
                <w:color w:val="000000"/>
                <w:sz w:val="18"/>
                <w:szCs w:val="18"/>
                <w:u w:val="none"/>
              </w:rPr>
            </w:pPr>
          </w:p>
        </w:tc>
        <w:tc>
          <w:tcPr>
            <w:tcW w:w="588" w:type="dxa"/>
            <w:tcBorders>
              <w:top w:val="single" w:color="000000" w:sz="4" w:space="0"/>
              <w:left w:val="single" w:color="000000" w:sz="4" w:space="0"/>
              <w:bottom w:val="single" w:color="000000" w:sz="4" w:space="0"/>
              <w:right w:val="single" w:color="000000" w:sz="4" w:space="0"/>
            </w:tcBorders>
            <w:noWrap w:val="0"/>
            <w:vAlign w:val="center"/>
          </w:tcPr>
          <w:p w14:paraId="19BD93F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可持续影响指标</w:t>
            </w:r>
          </w:p>
        </w:tc>
        <w:tc>
          <w:tcPr>
            <w:tcW w:w="1101" w:type="dxa"/>
            <w:tcBorders>
              <w:top w:val="single" w:color="000000" w:sz="4" w:space="0"/>
              <w:left w:val="single" w:color="000000" w:sz="4" w:space="0"/>
              <w:bottom w:val="single" w:color="000000" w:sz="4" w:space="0"/>
              <w:right w:val="single" w:color="000000" w:sz="4" w:space="0"/>
            </w:tcBorders>
            <w:noWrap w:val="0"/>
            <w:vAlign w:val="center"/>
          </w:tcPr>
          <w:p w14:paraId="701A63EC">
            <w:pPr>
              <w:jc w:val="left"/>
              <w:rPr>
                <w:rFonts w:hint="eastAsia" w:ascii="宋体" w:hAnsi="宋体" w:eastAsia="宋体" w:cs="宋体"/>
                <w:i w:val="0"/>
                <w:iCs w:val="0"/>
                <w:color w:val="000000"/>
                <w:sz w:val="18"/>
                <w:szCs w:val="18"/>
                <w:u w:val="none"/>
              </w:rPr>
            </w:pPr>
          </w:p>
        </w:tc>
        <w:tc>
          <w:tcPr>
            <w:tcW w:w="984" w:type="dxa"/>
            <w:tcBorders>
              <w:top w:val="single" w:color="000000" w:sz="4" w:space="0"/>
              <w:left w:val="single" w:color="000000" w:sz="4" w:space="0"/>
              <w:bottom w:val="single" w:color="000000" w:sz="4" w:space="0"/>
              <w:right w:val="single" w:color="000000" w:sz="4" w:space="0"/>
            </w:tcBorders>
            <w:noWrap w:val="0"/>
            <w:vAlign w:val="center"/>
          </w:tcPr>
          <w:p w14:paraId="332B3817">
            <w:pPr>
              <w:jc w:val="left"/>
            </w:pPr>
          </w:p>
        </w:tc>
        <w:tc>
          <w:tcPr>
            <w:tcW w:w="786" w:type="dxa"/>
            <w:tcBorders>
              <w:top w:val="single" w:color="000000" w:sz="4" w:space="0"/>
              <w:left w:val="single" w:color="000000" w:sz="4" w:space="0"/>
              <w:bottom w:val="single" w:color="000000" w:sz="4" w:space="0"/>
              <w:right w:val="single" w:color="000000" w:sz="4" w:space="0"/>
            </w:tcBorders>
            <w:noWrap/>
            <w:vAlign w:val="center"/>
          </w:tcPr>
          <w:p w14:paraId="481E6F1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003" w:type="dxa"/>
            <w:tcBorders>
              <w:top w:val="single" w:color="000000" w:sz="4" w:space="0"/>
              <w:left w:val="single" w:color="000000" w:sz="4" w:space="0"/>
              <w:bottom w:val="single" w:color="000000" w:sz="4" w:space="0"/>
              <w:right w:val="single" w:color="000000" w:sz="4" w:space="0"/>
            </w:tcBorders>
            <w:noWrap/>
            <w:vAlign w:val="center"/>
          </w:tcPr>
          <w:p w14:paraId="1510529A">
            <w:pPr>
              <w:jc w:val="left"/>
              <w:rPr>
                <w:rFonts w:hint="eastAsia" w:ascii="宋体" w:hAnsi="宋体" w:eastAsia="宋体" w:cs="宋体"/>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24093F50">
            <w:pPr>
              <w:jc w:val="left"/>
              <w:rPr>
                <w:rFonts w:hint="eastAsia" w:ascii="宋体" w:hAnsi="宋体" w:eastAsia="宋体" w:cs="宋体"/>
                <w:i w:val="0"/>
                <w:iCs w:val="0"/>
                <w:color w:val="000000"/>
                <w:sz w:val="18"/>
                <w:szCs w:val="18"/>
                <w:u w:val="none"/>
              </w:rPr>
            </w:pP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5EB1358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0C8DE3C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280" w:type="dxa"/>
            <w:tcBorders>
              <w:top w:val="single" w:color="000000" w:sz="4" w:space="0"/>
              <w:left w:val="single" w:color="000000" w:sz="4" w:space="0"/>
              <w:bottom w:val="single" w:color="000000" w:sz="4" w:space="0"/>
              <w:right w:val="single" w:color="000000" w:sz="4" w:space="0"/>
            </w:tcBorders>
            <w:noWrap w:val="0"/>
            <w:vAlign w:val="center"/>
          </w:tcPr>
          <w:p w14:paraId="3480248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r>
      <w:tr w14:paraId="548FE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1039" w:type="dxa"/>
            <w:tcBorders>
              <w:top w:val="single" w:color="000000" w:sz="4" w:space="0"/>
              <w:left w:val="single" w:color="000000" w:sz="4" w:space="0"/>
              <w:bottom w:val="single" w:color="000000" w:sz="4" w:space="0"/>
              <w:right w:val="single" w:color="000000" w:sz="4" w:space="0"/>
            </w:tcBorders>
            <w:noWrap w:val="0"/>
            <w:vAlign w:val="center"/>
          </w:tcPr>
          <w:p w14:paraId="1EA2D960">
            <w:pPr>
              <w:jc w:val="left"/>
              <w:rPr>
                <w:rFonts w:hint="eastAsia" w:ascii="宋体" w:hAnsi="宋体" w:eastAsia="宋体" w:cs="宋体"/>
                <w:i w:val="0"/>
                <w:iCs w:val="0"/>
                <w:color w:val="000000"/>
                <w:sz w:val="18"/>
                <w:szCs w:val="18"/>
                <w:u w:val="none"/>
              </w:rPr>
            </w:pPr>
          </w:p>
        </w:tc>
        <w:tc>
          <w:tcPr>
            <w:tcW w:w="588" w:type="dxa"/>
            <w:tcBorders>
              <w:top w:val="single" w:color="000000" w:sz="4" w:space="0"/>
              <w:left w:val="single" w:color="000000" w:sz="4" w:space="0"/>
              <w:bottom w:val="single" w:color="000000" w:sz="4" w:space="0"/>
              <w:right w:val="single" w:color="000000" w:sz="4" w:space="0"/>
            </w:tcBorders>
            <w:noWrap w:val="0"/>
            <w:vAlign w:val="center"/>
          </w:tcPr>
          <w:p w14:paraId="439C49B2">
            <w:pPr>
              <w:jc w:val="left"/>
              <w:rPr>
                <w:rFonts w:hint="eastAsia" w:ascii="宋体" w:hAnsi="宋体" w:eastAsia="宋体" w:cs="宋体"/>
                <w:i w:val="0"/>
                <w:iCs w:val="0"/>
                <w:color w:val="000000"/>
                <w:sz w:val="18"/>
                <w:szCs w:val="18"/>
                <w:u w:val="none"/>
              </w:rPr>
            </w:pPr>
          </w:p>
        </w:tc>
        <w:tc>
          <w:tcPr>
            <w:tcW w:w="1101" w:type="dxa"/>
            <w:tcBorders>
              <w:top w:val="single" w:color="000000" w:sz="4" w:space="0"/>
              <w:left w:val="single" w:color="000000" w:sz="4" w:space="0"/>
              <w:bottom w:val="single" w:color="000000" w:sz="4" w:space="0"/>
              <w:right w:val="single" w:color="000000" w:sz="4" w:space="0"/>
            </w:tcBorders>
            <w:noWrap w:val="0"/>
            <w:vAlign w:val="center"/>
          </w:tcPr>
          <w:p w14:paraId="5376110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提升居民健康保健意识、健康知晓率</w:t>
            </w:r>
          </w:p>
        </w:tc>
        <w:tc>
          <w:tcPr>
            <w:tcW w:w="984" w:type="dxa"/>
            <w:tcBorders>
              <w:top w:val="single" w:color="000000" w:sz="4" w:space="0"/>
              <w:left w:val="single" w:color="000000" w:sz="4" w:space="0"/>
              <w:bottom w:val="single" w:color="000000" w:sz="4" w:space="0"/>
              <w:right w:val="single" w:color="000000" w:sz="4" w:space="0"/>
            </w:tcBorders>
            <w:noWrap w:val="0"/>
            <w:vAlign w:val="center"/>
          </w:tcPr>
          <w:p w14:paraId="60C2956B">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w:t>
            </w:r>
          </w:p>
        </w:tc>
        <w:tc>
          <w:tcPr>
            <w:tcW w:w="786" w:type="dxa"/>
            <w:tcBorders>
              <w:top w:val="single" w:color="000000" w:sz="4" w:space="0"/>
              <w:left w:val="single" w:color="000000" w:sz="4" w:space="0"/>
              <w:bottom w:val="single" w:color="000000" w:sz="4" w:space="0"/>
              <w:right w:val="single" w:color="000000" w:sz="4" w:space="0"/>
            </w:tcBorders>
            <w:noWrap/>
            <w:vAlign w:val="center"/>
          </w:tcPr>
          <w:p w14:paraId="0D75303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有效提高</w:t>
            </w:r>
          </w:p>
        </w:tc>
        <w:tc>
          <w:tcPr>
            <w:tcW w:w="1003" w:type="dxa"/>
            <w:tcBorders>
              <w:top w:val="single" w:color="000000" w:sz="4" w:space="0"/>
              <w:left w:val="single" w:color="000000" w:sz="4" w:space="0"/>
              <w:bottom w:val="single" w:color="000000" w:sz="4" w:space="0"/>
              <w:right w:val="single" w:color="000000" w:sz="4" w:space="0"/>
            </w:tcBorders>
            <w:noWrap/>
            <w:vAlign w:val="center"/>
          </w:tcPr>
          <w:p w14:paraId="193DB8D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是/否</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23C3AFE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定性指标</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7D1610B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达到预计标准值得30分，未达成且效果不佳不得分</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0A1E5E2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反映提升居民健康保健意识、健康知晓率</w:t>
            </w:r>
          </w:p>
        </w:tc>
        <w:tc>
          <w:tcPr>
            <w:tcW w:w="1280" w:type="dxa"/>
            <w:tcBorders>
              <w:top w:val="single" w:color="000000" w:sz="4" w:space="0"/>
              <w:left w:val="single" w:color="000000" w:sz="4" w:space="0"/>
              <w:bottom w:val="single" w:color="000000" w:sz="4" w:space="0"/>
              <w:right w:val="single" w:color="000000" w:sz="4" w:space="0"/>
            </w:tcBorders>
            <w:noWrap w:val="0"/>
            <w:vAlign w:val="center"/>
          </w:tcPr>
          <w:p w14:paraId="3FE01A6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昆财社〔2025〕33号 昆明市财政局关于下达2025年基本公共卫生服务项目中央补助资金的通知</w:t>
            </w:r>
          </w:p>
        </w:tc>
      </w:tr>
      <w:tr w14:paraId="65712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039" w:type="dxa"/>
            <w:tcBorders>
              <w:top w:val="single" w:color="000000" w:sz="4" w:space="0"/>
              <w:left w:val="single" w:color="000000" w:sz="4" w:space="0"/>
              <w:bottom w:val="single" w:color="000000" w:sz="4" w:space="0"/>
              <w:right w:val="single" w:color="000000" w:sz="4" w:space="0"/>
            </w:tcBorders>
            <w:noWrap w:val="0"/>
            <w:vAlign w:val="center"/>
          </w:tcPr>
          <w:p w14:paraId="3E22BA3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588" w:type="dxa"/>
            <w:tcBorders>
              <w:top w:val="single" w:color="000000" w:sz="4" w:space="0"/>
              <w:left w:val="single" w:color="000000" w:sz="4" w:space="0"/>
              <w:bottom w:val="single" w:color="000000" w:sz="4" w:space="0"/>
              <w:right w:val="single" w:color="000000" w:sz="4" w:space="0"/>
            </w:tcBorders>
            <w:noWrap w:val="0"/>
            <w:vAlign w:val="center"/>
          </w:tcPr>
          <w:p w14:paraId="3D0ED3CF">
            <w:pPr>
              <w:jc w:val="left"/>
              <w:rPr>
                <w:rFonts w:hint="eastAsia" w:ascii="宋体" w:hAnsi="宋体" w:eastAsia="宋体" w:cs="宋体"/>
                <w:i w:val="0"/>
                <w:iCs w:val="0"/>
                <w:color w:val="000000"/>
                <w:sz w:val="18"/>
                <w:szCs w:val="18"/>
                <w:u w:val="none"/>
              </w:rPr>
            </w:pPr>
          </w:p>
        </w:tc>
        <w:tc>
          <w:tcPr>
            <w:tcW w:w="1101" w:type="dxa"/>
            <w:tcBorders>
              <w:top w:val="single" w:color="000000" w:sz="4" w:space="0"/>
              <w:left w:val="single" w:color="000000" w:sz="4" w:space="0"/>
              <w:bottom w:val="single" w:color="000000" w:sz="4" w:space="0"/>
              <w:right w:val="single" w:color="000000" w:sz="4" w:space="0"/>
            </w:tcBorders>
            <w:noWrap w:val="0"/>
            <w:vAlign w:val="center"/>
          </w:tcPr>
          <w:p w14:paraId="610E162E">
            <w:pPr>
              <w:jc w:val="left"/>
              <w:rPr>
                <w:rFonts w:hint="eastAsia" w:ascii="宋体" w:hAnsi="宋体" w:eastAsia="宋体" w:cs="宋体"/>
                <w:i w:val="0"/>
                <w:iCs w:val="0"/>
                <w:color w:val="000000"/>
                <w:sz w:val="18"/>
                <w:szCs w:val="18"/>
                <w:u w:val="none"/>
              </w:rPr>
            </w:pPr>
          </w:p>
        </w:tc>
        <w:tc>
          <w:tcPr>
            <w:tcW w:w="984" w:type="dxa"/>
            <w:tcBorders>
              <w:top w:val="single" w:color="000000" w:sz="4" w:space="0"/>
              <w:left w:val="single" w:color="000000" w:sz="4" w:space="0"/>
              <w:bottom w:val="single" w:color="000000" w:sz="4" w:space="0"/>
              <w:right w:val="single" w:color="000000" w:sz="4" w:space="0"/>
            </w:tcBorders>
            <w:noWrap w:val="0"/>
            <w:vAlign w:val="center"/>
          </w:tcPr>
          <w:p w14:paraId="0C4C2DF4">
            <w:pPr>
              <w:jc w:val="left"/>
            </w:pPr>
          </w:p>
        </w:tc>
        <w:tc>
          <w:tcPr>
            <w:tcW w:w="786" w:type="dxa"/>
            <w:tcBorders>
              <w:top w:val="single" w:color="000000" w:sz="4" w:space="0"/>
              <w:left w:val="single" w:color="000000" w:sz="4" w:space="0"/>
              <w:bottom w:val="single" w:color="000000" w:sz="4" w:space="0"/>
              <w:right w:val="single" w:color="000000" w:sz="4" w:space="0"/>
            </w:tcBorders>
            <w:noWrap/>
            <w:vAlign w:val="center"/>
          </w:tcPr>
          <w:p w14:paraId="52C71F7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003" w:type="dxa"/>
            <w:tcBorders>
              <w:top w:val="single" w:color="000000" w:sz="4" w:space="0"/>
              <w:left w:val="single" w:color="000000" w:sz="4" w:space="0"/>
              <w:bottom w:val="single" w:color="000000" w:sz="4" w:space="0"/>
              <w:right w:val="single" w:color="000000" w:sz="4" w:space="0"/>
            </w:tcBorders>
            <w:noWrap/>
            <w:vAlign w:val="center"/>
          </w:tcPr>
          <w:p w14:paraId="320F97E2">
            <w:pPr>
              <w:jc w:val="left"/>
              <w:rPr>
                <w:rFonts w:hint="eastAsia" w:ascii="宋体" w:hAnsi="宋体" w:eastAsia="宋体" w:cs="宋体"/>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068C73E9">
            <w:pPr>
              <w:jc w:val="left"/>
              <w:rPr>
                <w:rFonts w:hint="eastAsia" w:ascii="宋体" w:hAnsi="宋体" w:eastAsia="宋体" w:cs="宋体"/>
                <w:i w:val="0"/>
                <w:iCs w:val="0"/>
                <w:color w:val="000000"/>
                <w:sz w:val="18"/>
                <w:szCs w:val="18"/>
                <w:u w:val="none"/>
              </w:rPr>
            </w:pP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550D0D3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2CF3E46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280" w:type="dxa"/>
            <w:tcBorders>
              <w:top w:val="single" w:color="000000" w:sz="4" w:space="0"/>
              <w:left w:val="single" w:color="000000" w:sz="4" w:space="0"/>
              <w:bottom w:val="single" w:color="000000" w:sz="4" w:space="0"/>
              <w:right w:val="single" w:color="000000" w:sz="4" w:space="0"/>
            </w:tcBorders>
            <w:noWrap w:val="0"/>
            <w:vAlign w:val="center"/>
          </w:tcPr>
          <w:p w14:paraId="6406117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r>
      <w:tr w14:paraId="682E7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039" w:type="dxa"/>
            <w:tcBorders>
              <w:top w:val="single" w:color="000000" w:sz="4" w:space="0"/>
              <w:left w:val="single" w:color="000000" w:sz="4" w:space="0"/>
              <w:bottom w:val="single" w:color="000000" w:sz="4" w:space="0"/>
              <w:right w:val="single" w:color="000000" w:sz="4" w:space="0"/>
            </w:tcBorders>
            <w:noWrap w:val="0"/>
            <w:vAlign w:val="center"/>
          </w:tcPr>
          <w:p w14:paraId="485F1F51">
            <w:pPr>
              <w:jc w:val="left"/>
              <w:rPr>
                <w:rFonts w:hint="eastAsia" w:ascii="宋体" w:hAnsi="宋体" w:eastAsia="宋体" w:cs="宋体"/>
                <w:i w:val="0"/>
                <w:iCs w:val="0"/>
                <w:color w:val="000000"/>
                <w:sz w:val="18"/>
                <w:szCs w:val="18"/>
                <w:u w:val="none"/>
              </w:rPr>
            </w:pPr>
          </w:p>
        </w:tc>
        <w:tc>
          <w:tcPr>
            <w:tcW w:w="588" w:type="dxa"/>
            <w:tcBorders>
              <w:top w:val="single" w:color="000000" w:sz="4" w:space="0"/>
              <w:left w:val="single" w:color="000000" w:sz="4" w:space="0"/>
              <w:bottom w:val="single" w:color="000000" w:sz="4" w:space="0"/>
              <w:right w:val="single" w:color="000000" w:sz="4" w:space="0"/>
            </w:tcBorders>
            <w:noWrap w:val="0"/>
            <w:vAlign w:val="center"/>
          </w:tcPr>
          <w:p w14:paraId="0C631F3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服务对象满意度指标</w:t>
            </w:r>
          </w:p>
        </w:tc>
        <w:tc>
          <w:tcPr>
            <w:tcW w:w="1101" w:type="dxa"/>
            <w:tcBorders>
              <w:top w:val="single" w:color="000000" w:sz="4" w:space="0"/>
              <w:left w:val="single" w:color="000000" w:sz="4" w:space="0"/>
              <w:bottom w:val="single" w:color="000000" w:sz="4" w:space="0"/>
              <w:right w:val="single" w:color="000000" w:sz="4" w:space="0"/>
            </w:tcBorders>
            <w:noWrap w:val="0"/>
            <w:vAlign w:val="center"/>
          </w:tcPr>
          <w:p w14:paraId="42D118DA">
            <w:pPr>
              <w:jc w:val="left"/>
              <w:rPr>
                <w:rFonts w:hint="eastAsia" w:ascii="宋体" w:hAnsi="宋体" w:eastAsia="宋体" w:cs="宋体"/>
                <w:i w:val="0"/>
                <w:iCs w:val="0"/>
                <w:color w:val="000000"/>
                <w:sz w:val="18"/>
                <w:szCs w:val="18"/>
                <w:u w:val="none"/>
              </w:rPr>
            </w:pPr>
          </w:p>
        </w:tc>
        <w:tc>
          <w:tcPr>
            <w:tcW w:w="984" w:type="dxa"/>
            <w:tcBorders>
              <w:top w:val="single" w:color="000000" w:sz="4" w:space="0"/>
              <w:left w:val="single" w:color="000000" w:sz="4" w:space="0"/>
              <w:bottom w:val="single" w:color="000000" w:sz="4" w:space="0"/>
              <w:right w:val="single" w:color="000000" w:sz="4" w:space="0"/>
            </w:tcBorders>
            <w:noWrap w:val="0"/>
            <w:vAlign w:val="center"/>
          </w:tcPr>
          <w:p w14:paraId="6103DFA2">
            <w:pPr>
              <w:jc w:val="left"/>
            </w:pPr>
          </w:p>
        </w:tc>
        <w:tc>
          <w:tcPr>
            <w:tcW w:w="786" w:type="dxa"/>
            <w:tcBorders>
              <w:top w:val="single" w:color="000000" w:sz="4" w:space="0"/>
              <w:left w:val="single" w:color="000000" w:sz="4" w:space="0"/>
              <w:bottom w:val="single" w:color="000000" w:sz="4" w:space="0"/>
              <w:right w:val="single" w:color="000000" w:sz="4" w:space="0"/>
            </w:tcBorders>
            <w:noWrap/>
            <w:vAlign w:val="center"/>
          </w:tcPr>
          <w:p w14:paraId="2B51F10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003" w:type="dxa"/>
            <w:tcBorders>
              <w:top w:val="single" w:color="000000" w:sz="4" w:space="0"/>
              <w:left w:val="single" w:color="000000" w:sz="4" w:space="0"/>
              <w:bottom w:val="single" w:color="000000" w:sz="4" w:space="0"/>
              <w:right w:val="single" w:color="000000" w:sz="4" w:space="0"/>
            </w:tcBorders>
            <w:noWrap/>
            <w:vAlign w:val="center"/>
          </w:tcPr>
          <w:p w14:paraId="4410009C">
            <w:pPr>
              <w:jc w:val="left"/>
              <w:rPr>
                <w:rFonts w:hint="eastAsia" w:ascii="宋体" w:hAnsi="宋体" w:eastAsia="宋体" w:cs="宋体"/>
                <w:i w:val="0"/>
                <w:iCs w:val="0"/>
                <w:color w:val="000000"/>
                <w:sz w:val="18"/>
                <w:szCs w:val="18"/>
                <w:u w:val="none"/>
              </w:rPr>
            </w:pP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29009DCF">
            <w:pPr>
              <w:jc w:val="left"/>
              <w:rPr>
                <w:rFonts w:hint="eastAsia" w:ascii="宋体" w:hAnsi="宋体" w:eastAsia="宋体" w:cs="宋体"/>
                <w:i w:val="0"/>
                <w:iCs w:val="0"/>
                <w:color w:val="000000"/>
                <w:sz w:val="18"/>
                <w:szCs w:val="18"/>
                <w:u w:val="none"/>
              </w:rPr>
            </w:pP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61F039B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617BA19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c>
          <w:tcPr>
            <w:tcW w:w="1280" w:type="dxa"/>
            <w:tcBorders>
              <w:top w:val="single" w:color="000000" w:sz="4" w:space="0"/>
              <w:left w:val="single" w:color="000000" w:sz="4" w:space="0"/>
              <w:bottom w:val="single" w:color="000000" w:sz="4" w:space="0"/>
              <w:right w:val="single" w:color="000000" w:sz="4" w:space="0"/>
            </w:tcBorders>
            <w:noWrap w:val="0"/>
            <w:vAlign w:val="center"/>
          </w:tcPr>
          <w:p w14:paraId="0B9D6AD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p>
        </w:tc>
      </w:tr>
      <w:tr w14:paraId="66D38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2" w:hRule="atLeast"/>
        </w:trPr>
        <w:tc>
          <w:tcPr>
            <w:tcW w:w="1039" w:type="dxa"/>
            <w:tcBorders>
              <w:top w:val="single" w:color="000000" w:sz="4" w:space="0"/>
              <w:left w:val="single" w:color="000000" w:sz="4" w:space="0"/>
              <w:bottom w:val="single" w:color="000000" w:sz="4" w:space="0"/>
              <w:right w:val="single" w:color="000000" w:sz="4" w:space="0"/>
            </w:tcBorders>
            <w:noWrap w:val="0"/>
            <w:vAlign w:val="center"/>
          </w:tcPr>
          <w:p w14:paraId="66D028EF">
            <w:pPr>
              <w:jc w:val="left"/>
              <w:rPr>
                <w:rFonts w:hint="eastAsia" w:ascii="宋体" w:hAnsi="宋体" w:eastAsia="宋体" w:cs="宋体"/>
                <w:i w:val="0"/>
                <w:iCs w:val="0"/>
                <w:color w:val="000000"/>
                <w:sz w:val="18"/>
                <w:szCs w:val="18"/>
                <w:u w:val="none"/>
              </w:rPr>
            </w:pPr>
          </w:p>
        </w:tc>
        <w:tc>
          <w:tcPr>
            <w:tcW w:w="588" w:type="dxa"/>
            <w:tcBorders>
              <w:top w:val="single" w:color="000000" w:sz="4" w:space="0"/>
              <w:left w:val="single" w:color="000000" w:sz="4" w:space="0"/>
              <w:bottom w:val="single" w:color="000000" w:sz="4" w:space="0"/>
              <w:right w:val="single" w:color="000000" w:sz="4" w:space="0"/>
            </w:tcBorders>
            <w:noWrap w:val="0"/>
            <w:vAlign w:val="center"/>
          </w:tcPr>
          <w:p w14:paraId="05F2F158">
            <w:pPr>
              <w:jc w:val="left"/>
              <w:rPr>
                <w:rFonts w:hint="eastAsia" w:ascii="宋体" w:hAnsi="宋体" w:eastAsia="宋体" w:cs="宋体"/>
                <w:i w:val="0"/>
                <w:iCs w:val="0"/>
                <w:color w:val="000000"/>
                <w:sz w:val="18"/>
                <w:szCs w:val="18"/>
                <w:u w:val="none"/>
              </w:rPr>
            </w:pPr>
          </w:p>
        </w:tc>
        <w:tc>
          <w:tcPr>
            <w:tcW w:w="1101" w:type="dxa"/>
            <w:tcBorders>
              <w:top w:val="single" w:color="000000" w:sz="4" w:space="0"/>
              <w:left w:val="single" w:color="000000" w:sz="4" w:space="0"/>
              <w:bottom w:val="single" w:color="000000" w:sz="4" w:space="0"/>
              <w:right w:val="single" w:color="000000" w:sz="4" w:space="0"/>
            </w:tcBorders>
            <w:noWrap w:val="0"/>
            <w:vAlign w:val="center"/>
          </w:tcPr>
          <w:p w14:paraId="68B33A0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受益对象满意度</w:t>
            </w:r>
          </w:p>
        </w:tc>
        <w:tc>
          <w:tcPr>
            <w:tcW w:w="984" w:type="dxa"/>
            <w:tcBorders>
              <w:top w:val="single" w:color="000000" w:sz="4" w:space="0"/>
              <w:left w:val="single" w:color="000000" w:sz="4" w:space="0"/>
              <w:bottom w:val="single" w:color="000000" w:sz="4" w:space="0"/>
              <w:right w:val="single" w:color="000000" w:sz="4" w:space="0"/>
            </w:tcBorders>
            <w:noWrap w:val="0"/>
            <w:vAlign w:val="center"/>
          </w:tcPr>
          <w:p w14:paraId="7979E99F">
            <w:pPr>
              <w:keepNext w:val="0"/>
              <w:keepLines w:val="0"/>
              <w:widowControl/>
              <w:suppressLineNumbers w:val="0"/>
              <w:jc w:val="left"/>
              <w:textAlignment w:val="center"/>
            </w:pPr>
            <w:r>
              <w:rPr>
                <w:rFonts w:hint="eastAsia" w:ascii="宋体" w:hAnsi="宋体" w:eastAsia="宋体" w:cs="宋体"/>
                <w:i w:val="0"/>
                <w:iCs w:val="0"/>
                <w:color w:val="000000"/>
                <w:kern w:val="0"/>
                <w:sz w:val="18"/>
                <w:szCs w:val="18"/>
                <w:u w:val="none"/>
                <w:lang w:val="en-US" w:eastAsia="zh-CN" w:bidi="ar"/>
              </w:rPr>
              <w:t>&gt;=</w:t>
            </w:r>
          </w:p>
        </w:tc>
        <w:tc>
          <w:tcPr>
            <w:tcW w:w="786" w:type="dxa"/>
            <w:tcBorders>
              <w:top w:val="single" w:color="000000" w:sz="4" w:space="0"/>
              <w:left w:val="single" w:color="000000" w:sz="4" w:space="0"/>
              <w:bottom w:val="single" w:color="000000" w:sz="4" w:space="0"/>
              <w:right w:val="single" w:color="000000" w:sz="4" w:space="0"/>
            </w:tcBorders>
            <w:noWrap/>
            <w:vAlign w:val="center"/>
          </w:tcPr>
          <w:p w14:paraId="0955062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1003" w:type="dxa"/>
            <w:tcBorders>
              <w:top w:val="single" w:color="000000" w:sz="4" w:space="0"/>
              <w:left w:val="single" w:color="000000" w:sz="4" w:space="0"/>
              <w:bottom w:val="single" w:color="000000" w:sz="4" w:space="0"/>
              <w:right w:val="single" w:color="000000" w:sz="4" w:space="0"/>
            </w:tcBorders>
            <w:noWrap/>
            <w:vAlign w:val="center"/>
          </w:tcPr>
          <w:p w14:paraId="44E90FB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960" w:type="dxa"/>
            <w:tcBorders>
              <w:top w:val="single" w:color="000000" w:sz="4" w:space="0"/>
              <w:left w:val="single" w:color="000000" w:sz="4" w:space="0"/>
              <w:bottom w:val="single" w:color="000000" w:sz="4" w:space="0"/>
              <w:right w:val="single" w:color="000000" w:sz="4" w:space="0"/>
            </w:tcBorders>
            <w:noWrap/>
            <w:vAlign w:val="center"/>
          </w:tcPr>
          <w:p w14:paraId="129B633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定性指标</w:t>
            </w:r>
          </w:p>
        </w:tc>
        <w:tc>
          <w:tcPr>
            <w:tcW w:w="1440" w:type="dxa"/>
            <w:tcBorders>
              <w:top w:val="single" w:color="000000" w:sz="4" w:space="0"/>
              <w:left w:val="single" w:color="000000" w:sz="4" w:space="0"/>
              <w:bottom w:val="single" w:color="000000" w:sz="4" w:space="0"/>
              <w:right w:val="single" w:color="000000" w:sz="4" w:space="0"/>
            </w:tcBorders>
            <w:noWrap w:val="0"/>
            <w:vAlign w:val="center"/>
          </w:tcPr>
          <w:p w14:paraId="181749A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本项评分权重10分。①满意度≥90%，得10分；②90%＞满意度≥80%，得8分；③80%＞满意度≥70%，得6分；④70%＞满意度≥60%，得4分；⑤满意度＜60%，不得分。</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6AC1948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反映受益对象满意度</w:t>
            </w:r>
          </w:p>
        </w:tc>
        <w:tc>
          <w:tcPr>
            <w:tcW w:w="1280" w:type="dxa"/>
            <w:tcBorders>
              <w:top w:val="single" w:color="000000" w:sz="4" w:space="0"/>
              <w:left w:val="single" w:color="000000" w:sz="4" w:space="0"/>
              <w:bottom w:val="single" w:color="000000" w:sz="4" w:space="0"/>
              <w:right w:val="single" w:color="000000" w:sz="4" w:space="0"/>
            </w:tcBorders>
            <w:noWrap w:val="0"/>
            <w:vAlign w:val="center"/>
          </w:tcPr>
          <w:p w14:paraId="03171EE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问卷调查</w:t>
            </w:r>
          </w:p>
        </w:tc>
      </w:tr>
    </w:tbl>
    <w:p w14:paraId="43964EBA">
      <w:pPr>
        <w:widowControl/>
        <w:ind w:left="600"/>
        <w:jc w:val="left"/>
        <w:rPr>
          <w:rFonts w:hint="eastAsia" w:ascii="黑体" w:hAnsi="黑体" w:eastAsia="黑体" w:cs="黑体"/>
          <w:kern w:val="0"/>
          <w:sz w:val="30"/>
          <w:szCs w:val="30"/>
        </w:rPr>
      </w:pPr>
    </w:p>
    <w:sectPr>
      <w:headerReference r:id="rId3" w:type="default"/>
      <w:headerReference r:id="rId4" w:type="even"/>
      <w:pgSz w:w="11906" w:h="16838"/>
      <w:pgMar w:top="1247" w:right="1797" w:bottom="1247"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76CB013-DDC5-40CE-A307-B71E13DAC37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1" w:usb1="080E0000" w:usb2="00000000" w:usb3="00000000" w:csb0="00040000" w:csb1="00000000"/>
    <w:embedRegular r:id="rId2" w:fontKey="{CC539904-43D0-4ECE-92E9-8E621D7FB867}"/>
  </w:font>
  <w:font w:name="方正小标宋简体">
    <w:altName w:val="方正小标宋简体"/>
    <w:panose1 w:val="03000509000000000000"/>
    <w:charset w:val="86"/>
    <w:family w:val="auto"/>
    <w:pitch w:val="default"/>
    <w:sig w:usb0="00000001" w:usb1="080E0000" w:usb2="00000000" w:usb3="00000000" w:csb0="00040000" w:csb1="00000000"/>
    <w:embedRegular r:id="rId3" w:fontKey="{791D88B4-AAFE-49E7-A21D-B04FAD606DDC}"/>
  </w:font>
  <w:font w:name="华文中宋">
    <w:panose1 w:val="02010600040101010101"/>
    <w:charset w:val="86"/>
    <w:family w:val="auto"/>
    <w:pitch w:val="default"/>
    <w:sig w:usb0="00000287" w:usb1="080F0000" w:usb2="00000000" w:usb3="00000000" w:csb0="0004009F" w:csb1="DFD70000"/>
    <w:embedRegular r:id="rId4" w:fontKey="{C6FC9E98-9AB4-4503-8927-BE33455FCAD3}"/>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WPSEMBED3">
    <w:panose1 w:val="03000509000000000000"/>
    <w:charset w:val="86"/>
    <w:family w:val="auto"/>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6887DF">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CB9E10">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0CB686"/>
    <w:multiLevelType w:val="singleLevel"/>
    <w:tmpl w:val="650CB68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AD5"/>
    <w:rsid w:val="0000585F"/>
    <w:rsid w:val="0000790E"/>
    <w:rsid w:val="00010713"/>
    <w:rsid w:val="00011F4A"/>
    <w:rsid w:val="00012FB3"/>
    <w:rsid w:val="00014D4F"/>
    <w:rsid w:val="000152A5"/>
    <w:rsid w:val="000237AB"/>
    <w:rsid w:val="0003248D"/>
    <w:rsid w:val="00034005"/>
    <w:rsid w:val="0005317B"/>
    <w:rsid w:val="000543CA"/>
    <w:rsid w:val="00054EA9"/>
    <w:rsid w:val="000559B2"/>
    <w:rsid w:val="00060B5F"/>
    <w:rsid w:val="00063177"/>
    <w:rsid w:val="00064C37"/>
    <w:rsid w:val="00070204"/>
    <w:rsid w:val="00073344"/>
    <w:rsid w:val="00074721"/>
    <w:rsid w:val="00081157"/>
    <w:rsid w:val="00083CB1"/>
    <w:rsid w:val="00085843"/>
    <w:rsid w:val="000860FB"/>
    <w:rsid w:val="000952C1"/>
    <w:rsid w:val="00096A53"/>
    <w:rsid w:val="000A03E5"/>
    <w:rsid w:val="000A07EA"/>
    <w:rsid w:val="000A1122"/>
    <w:rsid w:val="000A6A4C"/>
    <w:rsid w:val="000A74AF"/>
    <w:rsid w:val="000A7B19"/>
    <w:rsid w:val="000B0125"/>
    <w:rsid w:val="000B59B5"/>
    <w:rsid w:val="000B5BAB"/>
    <w:rsid w:val="000B7EA9"/>
    <w:rsid w:val="000C3AE5"/>
    <w:rsid w:val="000C5123"/>
    <w:rsid w:val="000D4394"/>
    <w:rsid w:val="000E2B18"/>
    <w:rsid w:val="000E530D"/>
    <w:rsid w:val="000F365A"/>
    <w:rsid w:val="000F4C86"/>
    <w:rsid w:val="001046C0"/>
    <w:rsid w:val="00104701"/>
    <w:rsid w:val="00114FB7"/>
    <w:rsid w:val="00122B32"/>
    <w:rsid w:val="00123DF3"/>
    <w:rsid w:val="00126D02"/>
    <w:rsid w:val="00126F40"/>
    <w:rsid w:val="00127A6B"/>
    <w:rsid w:val="001341D1"/>
    <w:rsid w:val="0013430D"/>
    <w:rsid w:val="0013484F"/>
    <w:rsid w:val="00134BE4"/>
    <w:rsid w:val="0013549C"/>
    <w:rsid w:val="001418E2"/>
    <w:rsid w:val="0014446D"/>
    <w:rsid w:val="001446A5"/>
    <w:rsid w:val="0014486B"/>
    <w:rsid w:val="00144CF1"/>
    <w:rsid w:val="0014558B"/>
    <w:rsid w:val="00146960"/>
    <w:rsid w:val="00155639"/>
    <w:rsid w:val="00155D5E"/>
    <w:rsid w:val="00157BA7"/>
    <w:rsid w:val="001704E4"/>
    <w:rsid w:val="00175223"/>
    <w:rsid w:val="00175B2E"/>
    <w:rsid w:val="00176F17"/>
    <w:rsid w:val="001804E3"/>
    <w:rsid w:val="00180C9A"/>
    <w:rsid w:val="00182D13"/>
    <w:rsid w:val="00183B42"/>
    <w:rsid w:val="00186C54"/>
    <w:rsid w:val="00192C05"/>
    <w:rsid w:val="00197CAA"/>
    <w:rsid w:val="00197E5D"/>
    <w:rsid w:val="001A1B3A"/>
    <w:rsid w:val="001A3CEE"/>
    <w:rsid w:val="001A784A"/>
    <w:rsid w:val="001B045D"/>
    <w:rsid w:val="001C1C89"/>
    <w:rsid w:val="001C55D5"/>
    <w:rsid w:val="001D120C"/>
    <w:rsid w:val="001E03BD"/>
    <w:rsid w:val="001E684A"/>
    <w:rsid w:val="00200BD6"/>
    <w:rsid w:val="00216177"/>
    <w:rsid w:val="002230AE"/>
    <w:rsid w:val="002247D0"/>
    <w:rsid w:val="00224F80"/>
    <w:rsid w:val="0022507C"/>
    <w:rsid w:val="00226979"/>
    <w:rsid w:val="002406F5"/>
    <w:rsid w:val="00242E76"/>
    <w:rsid w:val="00243464"/>
    <w:rsid w:val="002462A8"/>
    <w:rsid w:val="00247731"/>
    <w:rsid w:val="00253C74"/>
    <w:rsid w:val="00262BAD"/>
    <w:rsid w:val="002726B1"/>
    <w:rsid w:val="002727D0"/>
    <w:rsid w:val="002749C8"/>
    <w:rsid w:val="00275325"/>
    <w:rsid w:val="00281C06"/>
    <w:rsid w:val="00285DC4"/>
    <w:rsid w:val="00294AE7"/>
    <w:rsid w:val="002A7BAE"/>
    <w:rsid w:val="002B11FA"/>
    <w:rsid w:val="002B2CA6"/>
    <w:rsid w:val="002B34ED"/>
    <w:rsid w:val="002B37A7"/>
    <w:rsid w:val="002B4342"/>
    <w:rsid w:val="002B56EB"/>
    <w:rsid w:val="002B6D47"/>
    <w:rsid w:val="002C2555"/>
    <w:rsid w:val="002C7D21"/>
    <w:rsid w:val="002D27CD"/>
    <w:rsid w:val="002D3EC0"/>
    <w:rsid w:val="002D729F"/>
    <w:rsid w:val="002E0E3C"/>
    <w:rsid w:val="002E1812"/>
    <w:rsid w:val="002E2F7F"/>
    <w:rsid w:val="002E4B20"/>
    <w:rsid w:val="002E5FC6"/>
    <w:rsid w:val="002E6D7D"/>
    <w:rsid w:val="002F2C1E"/>
    <w:rsid w:val="002F6E99"/>
    <w:rsid w:val="00300C47"/>
    <w:rsid w:val="003050B6"/>
    <w:rsid w:val="0030726B"/>
    <w:rsid w:val="0031118B"/>
    <w:rsid w:val="0031122F"/>
    <w:rsid w:val="00315EFA"/>
    <w:rsid w:val="00316408"/>
    <w:rsid w:val="003179FB"/>
    <w:rsid w:val="00323A51"/>
    <w:rsid w:val="003244C9"/>
    <w:rsid w:val="0032468B"/>
    <w:rsid w:val="00327119"/>
    <w:rsid w:val="003333E4"/>
    <w:rsid w:val="00336580"/>
    <w:rsid w:val="0034184B"/>
    <w:rsid w:val="003535EB"/>
    <w:rsid w:val="00354D29"/>
    <w:rsid w:val="00356356"/>
    <w:rsid w:val="00360593"/>
    <w:rsid w:val="00360EF7"/>
    <w:rsid w:val="00361A07"/>
    <w:rsid w:val="003710A2"/>
    <w:rsid w:val="00372470"/>
    <w:rsid w:val="00376707"/>
    <w:rsid w:val="0037788A"/>
    <w:rsid w:val="0038029B"/>
    <w:rsid w:val="00383096"/>
    <w:rsid w:val="00392AA8"/>
    <w:rsid w:val="003931E6"/>
    <w:rsid w:val="003A324A"/>
    <w:rsid w:val="003A73EF"/>
    <w:rsid w:val="003B2514"/>
    <w:rsid w:val="003B54C2"/>
    <w:rsid w:val="003B5BA8"/>
    <w:rsid w:val="003C0093"/>
    <w:rsid w:val="003C1BE1"/>
    <w:rsid w:val="003C6315"/>
    <w:rsid w:val="003D1204"/>
    <w:rsid w:val="003D160D"/>
    <w:rsid w:val="003D35F4"/>
    <w:rsid w:val="003D6601"/>
    <w:rsid w:val="003D6C9A"/>
    <w:rsid w:val="003E2D1F"/>
    <w:rsid w:val="003E2DE1"/>
    <w:rsid w:val="003E5754"/>
    <w:rsid w:val="003F171F"/>
    <w:rsid w:val="003F201E"/>
    <w:rsid w:val="003F3C0C"/>
    <w:rsid w:val="0040002C"/>
    <w:rsid w:val="00400C3B"/>
    <w:rsid w:val="00403507"/>
    <w:rsid w:val="00403546"/>
    <w:rsid w:val="00404DA0"/>
    <w:rsid w:val="004158B8"/>
    <w:rsid w:val="00416B98"/>
    <w:rsid w:val="00421A99"/>
    <w:rsid w:val="0042780C"/>
    <w:rsid w:val="0043232E"/>
    <w:rsid w:val="00432BAC"/>
    <w:rsid w:val="00445161"/>
    <w:rsid w:val="004457F4"/>
    <w:rsid w:val="004472BF"/>
    <w:rsid w:val="00447C85"/>
    <w:rsid w:val="004544A9"/>
    <w:rsid w:val="00455E38"/>
    <w:rsid w:val="00456CDD"/>
    <w:rsid w:val="004605B3"/>
    <w:rsid w:val="00467CD2"/>
    <w:rsid w:val="004718A9"/>
    <w:rsid w:val="00476EC1"/>
    <w:rsid w:val="00480582"/>
    <w:rsid w:val="0048694C"/>
    <w:rsid w:val="004911B1"/>
    <w:rsid w:val="00495E43"/>
    <w:rsid w:val="004A362F"/>
    <w:rsid w:val="004A742B"/>
    <w:rsid w:val="004B29ED"/>
    <w:rsid w:val="004B50FC"/>
    <w:rsid w:val="004C064B"/>
    <w:rsid w:val="004C1CDF"/>
    <w:rsid w:val="004D26D3"/>
    <w:rsid w:val="004D3A59"/>
    <w:rsid w:val="004D6E1D"/>
    <w:rsid w:val="004F2C44"/>
    <w:rsid w:val="004F4F9F"/>
    <w:rsid w:val="004F5C1B"/>
    <w:rsid w:val="005054B5"/>
    <w:rsid w:val="00505533"/>
    <w:rsid w:val="00506344"/>
    <w:rsid w:val="005148D7"/>
    <w:rsid w:val="00521069"/>
    <w:rsid w:val="005248EA"/>
    <w:rsid w:val="0052572D"/>
    <w:rsid w:val="005431C8"/>
    <w:rsid w:val="005463F4"/>
    <w:rsid w:val="00552BA8"/>
    <w:rsid w:val="0055409A"/>
    <w:rsid w:val="00563EEF"/>
    <w:rsid w:val="00572E90"/>
    <w:rsid w:val="00575EDA"/>
    <w:rsid w:val="00591B91"/>
    <w:rsid w:val="005952DC"/>
    <w:rsid w:val="005A00B7"/>
    <w:rsid w:val="005A1F0D"/>
    <w:rsid w:val="005A51EE"/>
    <w:rsid w:val="005B0445"/>
    <w:rsid w:val="005B0A4A"/>
    <w:rsid w:val="005B5412"/>
    <w:rsid w:val="005B679B"/>
    <w:rsid w:val="005B77D3"/>
    <w:rsid w:val="005C470B"/>
    <w:rsid w:val="005C66D3"/>
    <w:rsid w:val="005D245F"/>
    <w:rsid w:val="005D3061"/>
    <w:rsid w:val="005D6260"/>
    <w:rsid w:val="005D6D58"/>
    <w:rsid w:val="005E6A58"/>
    <w:rsid w:val="005F310F"/>
    <w:rsid w:val="00602B8A"/>
    <w:rsid w:val="0060314C"/>
    <w:rsid w:val="00610CF7"/>
    <w:rsid w:val="00612D63"/>
    <w:rsid w:val="00614B12"/>
    <w:rsid w:val="006150EC"/>
    <w:rsid w:val="006164DB"/>
    <w:rsid w:val="0061679D"/>
    <w:rsid w:val="006253D8"/>
    <w:rsid w:val="00626153"/>
    <w:rsid w:val="006374A1"/>
    <w:rsid w:val="00651B6C"/>
    <w:rsid w:val="006540CB"/>
    <w:rsid w:val="00660B2A"/>
    <w:rsid w:val="00663D84"/>
    <w:rsid w:val="00682553"/>
    <w:rsid w:val="0068515C"/>
    <w:rsid w:val="0068667C"/>
    <w:rsid w:val="006A26A0"/>
    <w:rsid w:val="006A4FDA"/>
    <w:rsid w:val="006B1C07"/>
    <w:rsid w:val="006B3DA5"/>
    <w:rsid w:val="006B5B25"/>
    <w:rsid w:val="006B7827"/>
    <w:rsid w:val="006D0172"/>
    <w:rsid w:val="006E1A3A"/>
    <w:rsid w:val="006E2230"/>
    <w:rsid w:val="006E2B9C"/>
    <w:rsid w:val="006E7E4C"/>
    <w:rsid w:val="006F02E3"/>
    <w:rsid w:val="006F1C64"/>
    <w:rsid w:val="006F3C19"/>
    <w:rsid w:val="00700438"/>
    <w:rsid w:val="007013C6"/>
    <w:rsid w:val="00715660"/>
    <w:rsid w:val="007328B9"/>
    <w:rsid w:val="007336B0"/>
    <w:rsid w:val="0073563C"/>
    <w:rsid w:val="00735ADA"/>
    <w:rsid w:val="00735D71"/>
    <w:rsid w:val="00736386"/>
    <w:rsid w:val="0074138A"/>
    <w:rsid w:val="00750940"/>
    <w:rsid w:val="00751AB4"/>
    <w:rsid w:val="0076269B"/>
    <w:rsid w:val="00765E00"/>
    <w:rsid w:val="00766131"/>
    <w:rsid w:val="0077005A"/>
    <w:rsid w:val="00772DB4"/>
    <w:rsid w:val="00780AAD"/>
    <w:rsid w:val="0078371A"/>
    <w:rsid w:val="00783A4C"/>
    <w:rsid w:val="0079250C"/>
    <w:rsid w:val="00794375"/>
    <w:rsid w:val="007A05BD"/>
    <w:rsid w:val="007A725D"/>
    <w:rsid w:val="007B4A0F"/>
    <w:rsid w:val="007C05CB"/>
    <w:rsid w:val="007C1922"/>
    <w:rsid w:val="007C3153"/>
    <w:rsid w:val="007C7656"/>
    <w:rsid w:val="007D066F"/>
    <w:rsid w:val="007D1AE5"/>
    <w:rsid w:val="007D5A91"/>
    <w:rsid w:val="007E3441"/>
    <w:rsid w:val="007E460F"/>
    <w:rsid w:val="007E68C9"/>
    <w:rsid w:val="007E76F1"/>
    <w:rsid w:val="007F1DA0"/>
    <w:rsid w:val="00803F6B"/>
    <w:rsid w:val="00805901"/>
    <w:rsid w:val="00811B53"/>
    <w:rsid w:val="00816BAB"/>
    <w:rsid w:val="00817514"/>
    <w:rsid w:val="00825E03"/>
    <w:rsid w:val="00827ECC"/>
    <w:rsid w:val="0083106D"/>
    <w:rsid w:val="0083313F"/>
    <w:rsid w:val="00834D98"/>
    <w:rsid w:val="00835730"/>
    <w:rsid w:val="00835F23"/>
    <w:rsid w:val="0084210A"/>
    <w:rsid w:val="00845657"/>
    <w:rsid w:val="0084624C"/>
    <w:rsid w:val="00851C1D"/>
    <w:rsid w:val="00864E02"/>
    <w:rsid w:val="00874702"/>
    <w:rsid w:val="008775B4"/>
    <w:rsid w:val="008808A6"/>
    <w:rsid w:val="00884461"/>
    <w:rsid w:val="00885B69"/>
    <w:rsid w:val="008A159E"/>
    <w:rsid w:val="008A38E5"/>
    <w:rsid w:val="008A3F94"/>
    <w:rsid w:val="008A4B32"/>
    <w:rsid w:val="008A6037"/>
    <w:rsid w:val="008B2777"/>
    <w:rsid w:val="008B3519"/>
    <w:rsid w:val="008B4667"/>
    <w:rsid w:val="008B7085"/>
    <w:rsid w:val="008C0CBC"/>
    <w:rsid w:val="008C1602"/>
    <w:rsid w:val="008C1FFC"/>
    <w:rsid w:val="008D1AD8"/>
    <w:rsid w:val="008D2E7D"/>
    <w:rsid w:val="008D5FED"/>
    <w:rsid w:val="008E0B11"/>
    <w:rsid w:val="008E2734"/>
    <w:rsid w:val="008E5296"/>
    <w:rsid w:val="008F35F1"/>
    <w:rsid w:val="008F3FB1"/>
    <w:rsid w:val="009008F4"/>
    <w:rsid w:val="00901A1A"/>
    <w:rsid w:val="009020BF"/>
    <w:rsid w:val="00905BB4"/>
    <w:rsid w:val="00907813"/>
    <w:rsid w:val="00911B9D"/>
    <w:rsid w:val="009142F4"/>
    <w:rsid w:val="00921C07"/>
    <w:rsid w:val="00930A10"/>
    <w:rsid w:val="0093199F"/>
    <w:rsid w:val="00932958"/>
    <w:rsid w:val="00947CC7"/>
    <w:rsid w:val="00951519"/>
    <w:rsid w:val="009535AF"/>
    <w:rsid w:val="0096301A"/>
    <w:rsid w:val="00964D6C"/>
    <w:rsid w:val="00965133"/>
    <w:rsid w:val="00965E0F"/>
    <w:rsid w:val="00971AD3"/>
    <w:rsid w:val="00980F62"/>
    <w:rsid w:val="00981123"/>
    <w:rsid w:val="00982629"/>
    <w:rsid w:val="0098468C"/>
    <w:rsid w:val="0098667C"/>
    <w:rsid w:val="009907B9"/>
    <w:rsid w:val="00992351"/>
    <w:rsid w:val="009A08B6"/>
    <w:rsid w:val="009A2377"/>
    <w:rsid w:val="009A4D11"/>
    <w:rsid w:val="009B3ED3"/>
    <w:rsid w:val="009B4ADC"/>
    <w:rsid w:val="009C1730"/>
    <w:rsid w:val="009D6232"/>
    <w:rsid w:val="009E15D4"/>
    <w:rsid w:val="009F25BD"/>
    <w:rsid w:val="009F3C7E"/>
    <w:rsid w:val="009F5646"/>
    <w:rsid w:val="009F7873"/>
    <w:rsid w:val="009F7979"/>
    <w:rsid w:val="009F7AE7"/>
    <w:rsid w:val="00A03FA7"/>
    <w:rsid w:val="00A06395"/>
    <w:rsid w:val="00A06AEF"/>
    <w:rsid w:val="00A10700"/>
    <w:rsid w:val="00A14D49"/>
    <w:rsid w:val="00A15184"/>
    <w:rsid w:val="00A1637D"/>
    <w:rsid w:val="00A2566B"/>
    <w:rsid w:val="00A32086"/>
    <w:rsid w:val="00A34E84"/>
    <w:rsid w:val="00A352B0"/>
    <w:rsid w:val="00A37886"/>
    <w:rsid w:val="00A472C6"/>
    <w:rsid w:val="00A51E78"/>
    <w:rsid w:val="00A570A1"/>
    <w:rsid w:val="00A60974"/>
    <w:rsid w:val="00A61DCD"/>
    <w:rsid w:val="00A65535"/>
    <w:rsid w:val="00A724CF"/>
    <w:rsid w:val="00A7532F"/>
    <w:rsid w:val="00A761CF"/>
    <w:rsid w:val="00A81682"/>
    <w:rsid w:val="00A84D92"/>
    <w:rsid w:val="00A84E65"/>
    <w:rsid w:val="00A95B6C"/>
    <w:rsid w:val="00AA7480"/>
    <w:rsid w:val="00AB1481"/>
    <w:rsid w:val="00AB2ABB"/>
    <w:rsid w:val="00AB5C67"/>
    <w:rsid w:val="00AB7C98"/>
    <w:rsid w:val="00AC47D9"/>
    <w:rsid w:val="00AD0DA1"/>
    <w:rsid w:val="00AE0209"/>
    <w:rsid w:val="00AE2095"/>
    <w:rsid w:val="00AE5322"/>
    <w:rsid w:val="00AE5FEF"/>
    <w:rsid w:val="00AE73E2"/>
    <w:rsid w:val="00AF1CF9"/>
    <w:rsid w:val="00AF2AE3"/>
    <w:rsid w:val="00AF7B4F"/>
    <w:rsid w:val="00AF7C58"/>
    <w:rsid w:val="00B05787"/>
    <w:rsid w:val="00B15323"/>
    <w:rsid w:val="00B259AC"/>
    <w:rsid w:val="00B268D9"/>
    <w:rsid w:val="00B26EC9"/>
    <w:rsid w:val="00B31B8F"/>
    <w:rsid w:val="00B333B0"/>
    <w:rsid w:val="00B43561"/>
    <w:rsid w:val="00B440DB"/>
    <w:rsid w:val="00B4415D"/>
    <w:rsid w:val="00B45103"/>
    <w:rsid w:val="00B45D24"/>
    <w:rsid w:val="00B52992"/>
    <w:rsid w:val="00B538C6"/>
    <w:rsid w:val="00B62018"/>
    <w:rsid w:val="00B63114"/>
    <w:rsid w:val="00B64A22"/>
    <w:rsid w:val="00B67D14"/>
    <w:rsid w:val="00B700C3"/>
    <w:rsid w:val="00B8042D"/>
    <w:rsid w:val="00B810FF"/>
    <w:rsid w:val="00B8418B"/>
    <w:rsid w:val="00B84519"/>
    <w:rsid w:val="00B87463"/>
    <w:rsid w:val="00B91E5C"/>
    <w:rsid w:val="00BA00E2"/>
    <w:rsid w:val="00BA4255"/>
    <w:rsid w:val="00BA4F5A"/>
    <w:rsid w:val="00BA7BBA"/>
    <w:rsid w:val="00BB3DE5"/>
    <w:rsid w:val="00BB4394"/>
    <w:rsid w:val="00BB5ABD"/>
    <w:rsid w:val="00BC1BA9"/>
    <w:rsid w:val="00BC41E1"/>
    <w:rsid w:val="00BD2FC7"/>
    <w:rsid w:val="00BD6EC1"/>
    <w:rsid w:val="00BE25AF"/>
    <w:rsid w:val="00BE3F11"/>
    <w:rsid w:val="00BF3FBF"/>
    <w:rsid w:val="00C01D14"/>
    <w:rsid w:val="00C04DD5"/>
    <w:rsid w:val="00C073D6"/>
    <w:rsid w:val="00C07645"/>
    <w:rsid w:val="00C12785"/>
    <w:rsid w:val="00C1402C"/>
    <w:rsid w:val="00C14D2D"/>
    <w:rsid w:val="00C15327"/>
    <w:rsid w:val="00C205DD"/>
    <w:rsid w:val="00C242B2"/>
    <w:rsid w:val="00C25F74"/>
    <w:rsid w:val="00C31FE6"/>
    <w:rsid w:val="00C35546"/>
    <w:rsid w:val="00C4092D"/>
    <w:rsid w:val="00C4278B"/>
    <w:rsid w:val="00C43BD2"/>
    <w:rsid w:val="00C44F90"/>
    <w:rsid w:val="00C47E9C"/>
    <w:rsid w:val="00C52FD7"/>
    <w:rsid w:val="00C57277"/>
    <w:rsid w:val="00C616E4"/>
    <w:rsid w:val="00C648E2"/>
    <w:rsid w:val="00C6603B"/>
    <w:rsid w:val="00C71E3F"/>
    <w:rsid w:val="00C75A4D"/>
    <w:rsid w:val="00C75CE4"/>
    <w:rsid w:val="00C8367C"/>
    <w:rsid w:val="00C83EC8"/>
    <w:rsid w:val="00C84EC9"/>
    <w:rsid w:val="00C90645"/>
    <w:rsid w:val="00C92A41"/>
    <w:rsid w:val="00C95E0F"/>
    <w:rsid w:val="00CA3BAD"/>
    <w:rsid w:val="00CB1858"/>
    <w:rsid w:val="00CC0087"/>
    <w:rsid w:val="00CD0085"/>
    <w:rsid w:val="00CE1BDC"/>
    <w:rsid w:val="00CF3E52"/>
    <w:rsid w:val="00D00043"/>
    <w:rsid w:val="00D003BE"/>
    <w:rsid w:val="00D03468"/>
    <w:rsid w:val="00D03E18"/>
    <w:rsid w:val="00D06094"/>
    <w:rsid w:val="00D110CC"/>
    <w:rsid w:val="00D1310A"/>
    <w:rsid w:val="00D165B0"/>
    <w:rsid w:val="00D249EC"/>
    <w:rsid w:val="00D30CFE"/>
    <w:rsid w:val="00D314BC"/>
    <w:rsid w:val="00D319FC"/>
    <w:rsid w:val="00D37964"/>
    <w:rsid w:val="00D40468"/>
    <w:rsid w:val="00D41BD8"/>
    <w:rsid w:val="00D45FD5"/>
    <w:rsid w:val="00D501E4"/>
    <w:rsid w:val="00D51F3A"/>
    <w:rsid w:val="00D6213F"/>
    <w:rsid w:val="00D62340"/>
    <w:rsid w:val="00D63F18"/>
    <w:rsid w:val="00D6527D"/>
    <w:rsid w:val="00D6795D"/>
    <w:rsid w:val="00D729EC"/>
    <w:rsid w:val="00D74B92"/>
    <w:rsid w:val="00D83A9A"/>
    <w:rsid w:val="00D841C1"/>
    <w:rsid w:val="00D93010"/>
    <w:rsid w:val="00D946E9"/>
    <w:rsid w:val="00D9604F"/>
    <w:rsid w:val="00D9737C"/>
    <w:rsid w:val="00DA76AC"/>
    <w:rsid w:val="00DB0D28"/>
    <w:rsid w:val="00DB3D0C"/>
    <w:rsid w:val="00DB4D49"/>
    <w:rsid w:val="00DB767D"/>
    <w:rsid w:val="00DC07E5"/>
    <w:rsid w:val="00DC395D"/>
    <w:rsid w:val="00DC634D"/>
    <w:rsid w:val="00DD0FFA"/>
    <w:rsid w:val="00DD202C"/>
    <w:rsid w:val="00DD3863"/>
    <w:rsid w:val="00DE5376"/>
    <w:rsid w:val="00DE60D1"/>
    <w:rsid w:val="00DF050A"/>
    <w:rsid w:val="00DF59BD"/>
    <w:rsid w:val="00DF6FC3"/>
    <w:rsid w:val="00DF751A"/>
    <w:rsid w:val="00DF7A31"/>
    <w:rsid w:val="00E01827"/>
    <w:rsid w:val="00E05A1C"/>
    <w:rsid w:val="00E07333"/>
    <w:rsid w:val="00E1201C"/>
    <w:rsid w:val="00E129EE"/>
    <w:rsid w:val="00E12BAD"/>
    <w:rsid w:val="00E13411"/>
    <w:rsid w:val="00E14AC6"/>
    <w:rsid w:val="00E30F62"/>
    <w:rsid w:val="00E36ECE"/>
    <w:rsid w:val="00E46B69"/>
    <w:rsid w:val="00E573AC"/>
    <w:rsid w:val="00E57B94"/>
    <w:rsid w:val="00E62839"/>
    <w:rsid w:val="00E62E85"/>
    <w:rsid w:val="00E64EE1"/>
    <w:rsid w:val="00E65C1E"/>
    <w:rsid w:val="00E75F13"/>
    <w:rsid w:val="00E76022"/>
    <w:rsid w:val="00E83456"/>
    <w:rsid w:val="00EA25E4"/>
    <w:rsid w:val="00EA3E87"/>
    <w:rsid w:val="00EA7A22"/>
    <w:rsid w:val="00EA7DE2"/>
    <w:rsid w:val="00EB004F"/>
    <w:rsid w:val="00EB6AC3"/>
    <w:rsid w:val="00EC6D59"/>
    <w:rsid w:val="00EC703C"/>
    <w:rsid w:val="00ED0777"/>
    <w:rsid w:val="00ED2DE0"/>
    <w:rsid w:val="00ED6645"/>
    <w:rsid w:val="00ED6F4E"/>
    <w:rsid w:val="00EE37EE"/>
    <w:rsid w:val="00EE6EB1"/>
    <w:rsid w:val="00EF43D5"/>
    <w:rsid w:val="00EF4E23"/>
    <w:rsid w:val="00EF691D"/>
    <w:rsid w:val="00F0000C"/>
    <w:rsid w:val="00F002E5"/>
    <w:rsid w:val="00F03838"/>
    <w:rsid w:val="00F03945"/>
    <w:rsid w:val="00F04C86"/>
    <w:rsid w:val="00F0598E"/>
    <w:rsid w:val="00F11D4E"/>
    <w:rsid w:val="00F12CC8"/>
    <w:rsid w:val="00F20765"/>
    <w:rsid w:val="00F20D44"/>
    <w:rsid w:val="00F22314"/>
    <w:rsid w:val="00F238CE"/>
    <w:rsid w:val="00F24EE1"/>
    <w:rsid w:val="00F35CB9"/>
    <w:rsid w:val="00F36445"/>
    <w:rsid w:val="00F37D41"/>
    <w:rsid w:val="00F412D7"/>
    <w:rsid w:val="00F43996"/>
    <w:rsid w:val="00F45AD5"/>
    <w:rsid w:val="00F45F72"/>
    <w:rsid w:val="00F47184"/>
    <w:rsid w:val="00F51398"/>
    <w:rsid w:val="00F521B6"/>
    <w:rsid w:val="00F53C1F"/>
    <w:rsid w:val="00F53D7D"/>
    <w:rsid w:val="00F54201"/>
    <w:rsid w:val="00F5464F"/>
    <w:rsid w:val="00F6446E"/>
    <w:rsid w:val="00F64A92"/>
    <w:rsid w:val="00F657F3"/>
    <w:rsid w:val="00F80BF6"/>
    <w:rsid w:val="00F81802"/>
    <w:rsid w:val="00F82819"/>
    <w:rsid w:val="00F8452D"/>
    <w:rsid w:val="00F95BCB"/>
    <w:rsid w:val="00F96634"/>
    <w:rsid w:val="00F96A5C"/>
    <w:rsid w:val="00FA1FBC"/>
    <w:rsid w:val="00FA2C97"/>
    <w:rsid w:val="00FA2FC5"/>
    <w:rsid w:val="00FB15C3"/>
    <w:rsid w:val="00FB35BE"/>
    <w:rsid w:val="00FC43B8"/>
    <w:rsid w:val="00FC4E58"/>
    <w:rsid w:val="00FC51C4"/>
    <w:rsid w:val="00FC7004"/>
    <w:rsid w:val="00FD06A0"/>
    <w:rsid w:val="00FD13FB"/>
    <w:rsid w:val="00FD228E"/>
    <w:rsid w:val="00FD4E9B"/>
    <w:rsid w:val="00FD7D5F"/>
    <w:rsid w:val="00FE1A2F"/>
    <w:rsid w:val="00FE5F50"/>
    <w:rsid w:val="00FF1B25"/>
    <w:rsid w:val="00FF7A85"/>
    <w:rsid w:val="018B30C2"/>
    <w:rsid w:val="02A36C44"/>
    <w:rsid w:val="03F0214E"/>
    <w:rsid w:val="04314F30"/>
    <w:rsid w:val="046F214C"/>
    <w:rsid w:val="06325B44"/>
    <w:rsid w:val="08496381"/>
    <w:rsid w:val="0A5A5DC4"/>
    <w:rsid w:val="0AB77A2F"/>
    <w:rsid w:val="0BFD28E4"/>
    <w:rsid w:val="0D0E0F2A"/>
    <w:rsid w:val="0F635DF8"/>
    <w:rsid w:val="10881DF6"/>
    <w:rsid w:val="111D3473"/>
    <w:rsid w:val="13B61995"/>
    <w:rsid w:val="141E7899"/>
    <w:rsid w:val="153C0007"/>
    <w:rsid w:val="16120B81"/>
    <w:rsid w:val="165D6CAE"/>
    <w:rsid w:val="17E531F7"/>
    <w:rsid w:val="19F55BCD"/>
    <w:rsid w:val="1A0B3DDD"/>
    <w:rsid w:val="1A1B6230"/>
    <w:rsid w:val="1A751B4A"/>
    <w:rsid w:val="1B7457C9"/>
    <w:rsid w:val="1B856F43"/>
    <w:rsid w:val="1BC36AA0"/>
    <w:rsid w:val="1BD73E6F"/>
    <w:rsid w:val="1F8F6F61"/>
    <w:rsid w:val="203F2354"/>
    <w:rsid w:val="217C52A6"/>
    <w:rsid w:val="24192B24"/>
    <w:rsid w:val="249262B8"/>
    <w:rsid w:val="264F6553"/>
    <w:rsid w:val="26A22A34"/>
    <w:rsid w:val="27C44B4F"/>
    <w:rsid w:val="28CA2750"/>
    <w:rsid w:val="29684A53"/>
    <w:rsid w:val="2A2D00A9"/>
    <w:rsid w:val="2D7258C6"/>
    <w:rsid w:val="2E343CBB"/>
    <w:rsid w:val="2E574E83"/>
    <w:rsid w:val="2E7A1926"/>
    <w:rsid w:val="3227360A"/>
    <w:rsid w:val="357910E0"/>
    <w:rsid w:val="38226957"/>
    <w:rsid w:val="38B94E67"/>
    <w:rsid w:val="39466C4F"/>
    <w:rsid w:val="396A13EA"/>
    <w:rsid w:val="39DD2E67"/>
    <w:rsid w:val="3A8A588E"/>
    <w:rsid w:val="3AB41065"/>
    <w:rsid w:val="3B026B0F"/>
    <w:rsid w:val="3C1464F1"/>
    <w:rsid w:val="3DCC2998"/>
    <w:rsid w:val="3F5538EE"/>
    <w:rsid w:val="41134E62"/>
    <w:rsid w:val="42FF01FB"/>
    <w:rsid w:val="45F568DE"/>
    <w:rsid w:val="488A54A4"/>
    <w:rsid w:val="4A8A424F"/>
    <w:rsid w:val="4ACC17C5"/>
    <w:rsid w:val="50502E09"/>
    <w:rsid w:val="508B3BDB"/>
    <w:rsid w:val="51486F2A"/>
    <w:rsid w:val="52F4603B"/>
    <w:rsid w:val="56F77E4E"/>
    <w:rsid w:val="57734E4F"/>
    <w:rsid w:val="58080778"/>
    <w:rsid w:val="5A5F2402"/>
    <w:rsid w:val="5B6F544B"/>
    <w:rsid w:val="5E8D610B"/>
    <w:rsid w:val="611236F1"/>
    <w:rsid w:val="646605FE"/>
    <w:rsid w:val="67137888"/>
    <w:rsid w:val="676E094C"/>
    <w:rsid w:val="67A644C4"/>
    <w:rsid w:val="69614B69"/>
    <w:rsid w:val="69B304BD"/>
    <w:rsid w:val="6A070C95"/>
    <w:rsid w:val="6C447429"/>
    <w:rsid w:val="6CE00556"/>
    <w:rsid w:val="6CE34371"/>
    <w:rsid w:val="7005690A"/>
    <w:rsid w:val="706044C2"/>
    <w:rsid w:val="707217B7"/>
    <w:rsid w:val="70F826C0"/>
    <w:rsid w:val="72063E6D"/>
    <w:rsid w:val="72293730"/>
    <w:rsid w:val="724A4A01"/>
    <w:rsid w:val="73116912"/>
    <w:rsid w:val="73954482"/>
    <w:rsid w:val="785B03CB"/>
    <w:rsid w:val="7B487277"/>
    <w:rsid w:val="7D4F20E1"/>
    <w:rsid w:val="7D99752A"/>
    <w:rsid w:val="7F024C4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8">
    <w:name w:val="Default Paragraph Font"/>
    <w:unhideWhenUsed/>
    <w:uiPriority w:val="1"/>
  </w:style>
  <w:style w:type="table" w:default="1" w:styleId="7">
    <w:name w:val="Normal Table"/>
    <w:unhideWhenUsed/>
    <w:qFormat/>
    <w:uiPriority w:val="99"/>
    <w:tblPr>
      <w:tblStyle w:val="7"/>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semiHidden/>
    <w:qFormat/>
    <w:uiPriority w:val="0"/>
    <w:rPr>
      <w:b/>
      <w:bCs/>
    </w:rPr>
  </w:style>
  <w:style w:type="character" w:styleId="9">
    <w:name w:val="annotation reference"/>
    <w:semiHidden/>
    <w:qFormat/>
    <w:uiPriority w:val="0"/>
    <w:rPr>
      <w:sz w:val="21"/>
      <w:szCs w:val="21"/>
    </w:rPr>
  </w:style>
  <w:style w:type="paragraph" w:customStyle="1" w:styleId="10">
    <w:name w:val="Revision"/>
    <w:semiHidden/>
    <w:qFormat/>
    <w:uiPriority w:val="99"/>
    <w:rPr>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zhlx</Company>
  <Pages>10</Pages>
  <Words>4699</Words>
  <Characters>5061</Characters>
  <Lines>1</Lines>
  <Paragraphs>1</Paragraphs>
  <TotalTime>0</TotalTime>
  <ScaleCrop>false</ScaleCrop>
  <LinksUpToDate>false</LinksUpToDate>
  <CharactersWithSpaces>5080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2012-01-07T11:13:00Z</dcterms:created>
  <dc:creator>lx</dc:creator>
  <dc:description>ZHGenApp().GetProperty("Certification")</dc:description>
  <cp:lastModifiedBy>符号</cp:lastModifiedBy>
  <cp:lastPrinted>2020-02-03T08:13:00Z</cp:lastPrinted>
  <dcterms:modified xsi:type="dcterms:W3CDTF">2026-07-17T02:43:58Z</dcterms:modified>
  <dc:title>年部门预算编制说明</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F48F9AE9F98242818617077A01907890_13</vt:lpwstr>
  </property>
  <property fmtid="{D5CDD505-2E9C-101B-9397-08002B2CF9AE}" pid="4" name="KSOTemplateDocerSaveRecord">
    <vt:lpwstr>eyJoZGlkIjoiOGQyZDRkZmFlNWM0MDliNWRhYTQ0Nzc4MzE5NmI0MjQiLCJ1c2VySWQiOiIzNjE2NjA5NTcifQ==</vt:lpwstr>
  </property>
</Properties>
</file>