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7F761">
      <w:pPr>
        <w:jc w:val="center"/>
        <w:rPr>
          <w:rFonts w:hint="eastAsia" w:ascii="Times New Roman" w:hAnsi="Times New Roman" w:eastAsia="黑体" w:cs="黑体"/>
          <w:b/>
          <w:color w:val="000000"/>
          <w:sz w:val="72"/>
          <w:szCs w:val="72"/>
        </w:rPr>
      </w:pPr>
    </w:p>
    <w:p w14:paraId="716152D1">
      <w:pPr>
        <w:jc w:val="center"/>
        <w:rPr>
          <w:rFonts w:hint="eastAsia" w:ascii="Times New Roman" w:hAnsi="Times New Roman" w:eastAsia="黑体" w:cs="黑体"/>
          <w:b/>
          <w:color w:val="000000"/>
          <w:sz w:val="72"/>
          <w:szCs w:val="72"/>
        </w:rPr>
      </w:pPr>
    </w:p>
    <w:p w14:paraId="60CB1075">
      <w:pPr>
        <w:jc w:val="center"/>
        <w:rPr>
          <w:rFonts w:hint="eastAsia" w:ascii="Times New Roman" w:hAnsi="Times New Roman" w:eastAsia="黑体" w:cs="黑体"/>
          <w:b/>
          <w:color w:val="000000"/>
          <w:sz w:val="72"/>
          <w:szCs w:val="72"/>
        </w:rPr>
      </w:pPr>
    </w:p>
    <w:p w14:paraId="61D6EA34">
      <w:pPr>
        <w:jc w:val="center"/>
        <w:rPr>
          <w:rFonts w:ascii="Times New Roman" w:hAnsi="Times New Roman" w:eastAsia="黑体" w:cs="黑体"/>
          <w:b/>
          <w:color w:val="000000"/>
          <w:sz w:val="72"/>
          <w:szCs w:val="72"/>
        </w:rPr>
      </w:pPr>
      <w:r>
        <w:rPr>
          <w:rFonts w:hint="eastAsia" w:ascii="Times New Roman" w:hAnsi="Times New Roman" w:eastAsia="黑体" w:cs="黑体"/>
          <w:b/>
          <w:color w:val="000000"/>
          <w:sz w:val="72"/>
          <w:szCs w:val="72"/>
        </w:rPr>
        <w:t>二○二〇年五华区</w:t>
      </w:r>
    </w:p>
    <w:p w14:paraId="6F94335F">
      <w:pPr>
        <w:jc w:val="center"/>
        <w:rPr>
          <w:rFonts w:ascii="Times New Roman" w:hAnsi="Times New Roman" w:eastAsia="黑体" w:cs="黑体"/>
          <w:b/>
          <w:color w:val="000000"/>
          <w:sz w:val="72"/>
          <w:szCs w:val="72"/>
        </w:rPr>
      </w:pPr>
      <w:r>
        <w:rPr>
          <w:rFonts w:hint="eastAsia" w:ascii="Times New Roman" w:hAnsi="Times New Roman" w:eastAsia="黑体" w:cs="黑体"/>
          <w:b/>
          <w:color w:val="000000"/>
          <w:sz w:val="72"/>
          <w:szCs w:val="72"/>
        </w:rPr>
        <w:t>宏观质量状况分析报告</w:t>
      </w:r>
    </w:p>
    <w:p w14:paraId="278D7953">
      <w:pPr>
        <w:spacing w:line="580" w:lineRule="exact"/>
        <w:jc w:val="center"/>
        <w:rPr>
          <w:rFonts w:ascii="Times New Roman" w:hAnsi="Times New Roman" w:eastAsia="仿宋_GB2312"/>
          <w:color w:val="000000"/>
          <w:sz w:val="32"/>
          <w:szCs w:val="32"/>
        </w:rPr>
      </w:pPr>
    </w:p>
    <w:p w14:paraId="7EA2E472">
      <w:pPr>
        <w:spacing w:line="580" w:lineRule="exact"/>
        <w:jc w:val="center"/>
        <w:rPr>
          <w:rFonts w:ascii="Times New Roman" w:hAnsi="Times New Roman" w:eastAsia="仿宋_GB2312"/>
          <w:color w:val="000000"/>
          <w:sz w:val="32"/>
          <w:szCs w:val="32"/>
        </w:rPr>
      </w:pPr>
      <w:bookmarkStart w:id="0" w:name="_GoBack"/>
      <w:bookmarkEnd w:id="0"/>
    </w:p>
    <w:p w14:paraId="21429016">
      <w:pPr>
        <w:spacing w:line="580" w:lineRule="exact"/>
        <w:jc w:val="center"/>
        <w:rPr>
          <w:rFonts w:ascii="Times New Roman" w:hAnsi="Times New Roman" w:eastAsia="仿宋_GB2312"/>
          <w:color w:val="000000"/>
          <w:sz w:val="32"/>
          <w:szCs w:val="32"/>
        </w:rPr>
      </w:pPr>
    </w:p>
    <w:p w14:paraId="461B45E3">
      <w:pPr>
        <w:spacing w:line="580" w:lineRule="exact"/>
        <w:jc w:val="center"/>
        <w:rPr>
          <w:rFonts w:ascii="Times New Roman" w:hAnsi="Times New Roman" w:eastAsia="仿宋_GB2312"/>
          <w:color w:val="000000"/>
          <w:sz w:val="32"/>
          <w:szCs w:val="32"/>
        </w:rPr>
      </w:pPr>
    </w:p>
    <w:p w14:paraId="39F6894A">
      <w:pPr>
        <w:spacing w:line="580" w:lineRule="exact"/>
        <w:jc w:val="center"/>
        <w:rPr>
          <w:rFonts w:ascii="Times New Roman" w:hAnsi="Times New Roman" w:eastAsia="仿宋_GB2312"/>
          <w:color w:val="000000"/>
          <w:sz w:val="32"/>
          <w:szCs w:val="32"/>
        </w:rPr>
      </w:pPr>
    </w:p>
    <w:p w14:paraId="726EC7E5">
      <w:pPr>
        <w:spacing w:line="580" w:lineRule="exact"/>
        <w:jc w:val="center"/>
        <w:rPr>
          <w:rFonts w:ascii="Times New Roman" w:hAnsi="Times New Roman" w:eastAsia="仿宋_GB2312"/>
          <w:color w:val="000000"/>
          <w:sz w:val="32"/>
          <w:szCs w:val="32"/>
        </w:rPr>
      </w:pPr>
    </w:p>
    <w:p w14:paraId="6D9FD7A1">
      <w:pPr>
        <w:spacing w:line="580" w:lineRule="exact"/>
        <w:rPr>
          <w:rFonts w:ascii="Times New Roman" w:hAnsi="Times New Roman" w:eastAsia="楷体_GB2312"/>
          <w:b/>
          <w:color w:val="000000"/>
          <w:sz w:val="36"/>
          <w:szCs w:val="36"/>
        </w:rPr>
      </w:pPr>
    </w:p>
    <w:p w14:paraId="7AA68F88">
      <w:pPr>
        <w:spacing w:line="580" w:lineRule="exact"/>
        <w:jc w:val="center"/>
        <w:rPr>
          <w:rFonts w:ascii="Times New Roman" w:hAnsi="Times New Roman" w:eastAsia="楷体_GB2312"/>
          <w:b/>
          <w:color w:val="000000"/>
          <w:sz w:val="36"/>
          <w:szCs w:val="36"/>
        </w:rPr>
      </w:pPr>
    </w:p>
    <w:p w14:paraId="4B605411">
      <w:pPr>
        <w:spacing w:line="580" w:lineRule="exact"/>
        <w:jc w:val="center"/>
        <w:rPr>
          <w:rFonts w:ascii="Times New Roman" w:hAnsi="Times New Roman" w:eastAsia="楷体_GB2312"/>
          <w:b/>
          <w:color w:val="000000"/>
          <w:sz w:val="36"/>
          <w:szCs w:val="36"/>
        </w:rPr>
      </w:pPr>
    </w:p>
    <w:p w14:paraId="26E71780">
      <w:pPr>
        <w:spacing w:line="580" w:lineRule="exact"/>
        <w:jc w:val="center"/>
        <w:rPr>
          <w:rFonts w:ascii="Times New Roman" w:hAnsi="Times New Roman" w:eastAsia="楷体" w:cs="楷体"/>
          <w:color w:val="000000"/>
          <w:sz w:val="36"/>
          <w:szCs w:val="36"/>
        </w:rPr>
      </w:pPr>
      <w:r>
        <w:rPr>
          <w:rFonts w:hint="eastAsia" w:ascii="Times New Roman" w:hAnsi="Times New Roman" w:eastAsia="楷体" w:cs="楷体"/>
          <w:color w:val="000000"/>
          <w:sz w:val="36"/>
          <w:szCs w:val="36"/>
        </w:rPr>
        <w:t>五华区实施质量强区战略领导小组办公室</w:t>
      </w:r>
    </w:p>
    <w:p w14:paraId="434F6636">
      <w:pPr>
        <w:spacing w:line="580" w:lineRule="exact"/>
        <w:jc w:val="center"/>
        <w:rPr>
          <w:rFonts w:hint="eastAsia" w:ascii="Times New Roman" w:hAnsi="Times New Roman" w:eastAsia="楷体" w:cs="楷体"/>
          <w:color w:val="000000"/>
          <w:sz w:val="36"/>
          <w:szCs w:val="36"/>
        </w:rPr>
      </w:pPr>
      <w:r>
        <w:rPr>
          <w:rFonts w:hint="eastAsia" w:ascii="Times New Roman" w:hAnsi="Times New Roman" w:eastAsia="楷体" w:cs="楷体"/>
          <w:color w:val="000000"/>
          <w:sz w:val="36"/>
          <w:szCs w:val="36"/>
        </w:rPr>
        <w:t>二0二0年五月</w:t>
      </w:r>
    </w:p>
    <w:p w14:paraId="20AF39DD">
      <w:pPr>
        <w:widowControl/>
        <w:jc w:val="center"/>
        <w:rPr>
          <w:rFonts w:hint="eastAsia" w:ascii="方正小标宋简体" w:hAnsi="Times New Roman" w:eastAsia="方正小标宋简体" w:cs="黑体"/>
          <w:b/>
          <w:bCs/>
          <w:color w:val="000000"/>
          <w:sz w:val="44"/>
          <w:szCs w:val="44"/>
        </w:rPr>
      </w:pPr>
    </w:p>
    <w:p w14:paraId="1657ABB7">
      <w:pPr>
        <w:widowControl/>
        <w:jc w:val="center"/>
        <w:rPr>
          <w:rFonts w:ascii="方正小标宋简体" w:hAnsi="Times New Roman" w:eastAsia="方正小标宋简体" w:cs="黑体"/>
          <w:b/>
          <w:bCs/>
          <w:color w:val="000000"/>
          <w:sz w:val="44"/>
          <w:szCs w:val="44"/>
        </w:rPr>
      </w:pPr>
      <w:r>
        <w:rPr>
          <w:rFonts w:hint="eastAsia" w:ascii="方正小标宋简体" w:hAnsi="Times New Roman" w:eastAsia="方正小标宋简体" w:cs="黑体"/>
          <w:b/>
          <w:bCs/>
          <w:color w:val="000000"/>
          <w:sz w:val="44"/>
          <w:szCs w:val="44"/>
        </w:rPr>
        <w:t>目  录</w:t>
      </w:r>
    </w:p>
    <w:p w14:paraId="70AFCC5F">
      <w:pPr>
        <w:widowControl/>
        <w:jc w:val="center"/>
        <w:rPr>
          <w:rFonts w:ascii="方正小标宋简体" w:hAnsi="Times New Roman" w:eastAsia="方正小标宋简体" w:cs="黑体"/>
          <w:b/>
          <w:bCs/>
          <w:color w:val="000000"/>
          <w:szCs w:val="21"/>
        </w:rPr>
      </w:pPr>
    </w:p>
    <w:p w14:paraId="69A29D0B">
      <w:pPr>
        <w:pStyle w:val="33"/>
        <w:widowControl/>
        <w:numPr>
          <w:ilvl w:val="0"/>
          <w:numId w:val="1"/>
        </w:numPr>
        <w:ind w:firstLineChars="0"/>
        <w:jc w:val="left"/>
        <w:rPr>
          <w:rFonts w:ascii="楷体_GB2312" w:hAnsi="宋体" w:eastAsia="楷体_GB2312" w:cs="黑体"/>
          <w:bCs/>
          <w:color w:val="000000"/>
          <w:sz w:val="36"/>
          <w:szCs w:val="36"/>
        </w:rPr>
      </w:pPr>
      <w:r>
        <w:rPr>
          <w:rFonts w:hint="eastAsia" w:ascii="仿宋_GB2312" w:hAnsi="黑体" w:eastAsia="仿宋_GB2312" w:cs="黑体"/>
          <w:b/>
          <w:bCs/>
          <w:color w:val="000000"/>
          <w:sz w:val="36"/>
          <w:szCs w:val="36"/>
        </w:rPr>
        <w:t xml:space="preserve">  </w:t>
      </w:r>
      <w:r>
        <w:rPr>
          <w:rFonts w:hint="eastAsia" w:ascii="楷体_GB2312" w:hAnsi="黑体" w:eastAsia="楷体_GB2312" w:cs="黑体"/>
          <w:bCs/>
          <w:color w:val="000000"/>
          <w:sz w:val="36"/>
          <w:szCs w:val="36"/>
        </w:rPr>
        <w:t>宏观质量状况综述</w:t>
      </w:r>
      <w:r>
        <w:rPr>
          <w:rFonts w:hint="eastAsia" w:ascii="楷体_GB2312" w:hAnsi="宋体" w:eastAsia="楷体_GB2312" w:cs="黑体"/>
          <w:bCs/>
          <w:color w:val="000000"/>
          <w:sz w:val="36"/>
          <w:szCs w:val="36"/>
        </w:rPr>
        <w:t xml:space="preserve"> </w:t>
      </w:r>
    </w:p>
    <w:p w14:paraId="6A769739">
      <w:pPr>
        <w:pStyle w:val="33"/>
        <w:widowControl/>
        <w:numPr>
          <w:ilvl w:val="0"/>
          <w:numId w:val="1"/>
        </w:numPr>
        <w:ind w:firstLineChars="0"/>
        <w:jc w:val="left"/>
        <w:rPr>
          <w:rFonts w:ascii="楷体_GB2312" w:hAnsi="宋体" w:eastAsia="楷体_GB2312"/>
          <w:color w:val="000000"/>
          <w:sz w:val="36"/>
          <w:szCs w:val="36"/>
        </w:rPr>
      </w:pPr>
      <w:r>
        <w:rPr>
          <w:rFonts w:hint="eastAsia" w:ascii="楷体_GB2312" w:hAnsi="宋体" w:eastAsia="楷体_GB2312"/>
          <w:color w:val="000000"/>
          <w:sz w:val="36"/>
          <w:szCs w:val="36"/>
        </w:rPr>
        <w:t xml:space="preserve">  产品质量状况</w:t>
      </w:r>
    </w:p>
    <w:p w14:paraId="62D9E1A8">
      <w:pPr>
        <w:pStyle w:val="33"/>
        <w:widowControl/>
        <w:numPr>
          <w:ilvl w:val="0"/>
          <w:numId w:val="1"/>
        </w:numPr>
        <w:ind w:firstLineChars="0"/>
        <w:jc w:val="left"/>
        <w:rPr>
          <w:rFonts w:ascii="楷体_GB2312" w:hAnsi="宋体" w:eastAsia="楷体_GB2312" w:cs="黑体"/>
          <w:bCs/>
          <w:color w:val="000000"/>
          <w:sz w:val="36"/>
          <w:szCs w:val="36"/>
        </w:rPr>
      </w:pPr>
      <w:r>
        <w:rPr>
          <w:rFonts w:hint="eastAsia" w:ascii="楷体_GB2312" w:hAnsi="宋体" w:eastAsia="楷体_GB2312" w:cs="黑体"/>
          <w:bCs/>
          <w:color w:val="000000"/>
          <w:sz w:val="36"/>
          <w:szCs w:val="36"/>
        </w:rPr>
        <w:t xml:space="preserve">  工程质量状况</w:t>
      </w:r>
    </w:p>
    <w:p w14:paraId="2E53EF39">
      <w:pPr>
        <w:pStyle w:val="33"/>
        <w:widowControl/>
        <w:numPr>
          <w:ilvl w:val="0"/>
          <w:numId w:val="1"/>
        </w:numPr>
        <w:ind w:firstLineChars="0"/>
        <w:jc w:val="left"/>
        <w:rPr>
          <w:rFonts w:ascii="楷体_GB2312" w:hAnsi="宋体" w:eastAsia="楷体_GB2312" w:cs="黑体"/>
          <w:bCs/>
          <w:color w:val="000000"/>
          <w:sz w:val="36"/>
          <w:szCs w:val="36"/>
        </w:rPr>
      </w:pPr>
      <w:r>
        <w:rPr>
          <w:rFonts w:hint="eastAsia" w:ascii="楷体_GB2312" w:hAnsi="宋体" w:eastAsia="楷体_GB2312" w:cs="黑体"/>
          <w:bCs/>
          <w:color w:val="000000"/>
          <w:sz w:val="36"/>
          <w:szCs w:val="36"/>
        </w:rPr>
        <w:t xml:space="preserve">  安全生产运行状况</w:t>
      </w:r>
    </w:p>
    <w:p w14:paraId="748CF549">
      <w:pPr>
        <w:pStyle w:val="33"/>
        <w:widowControl/>
        <w:numPr>
          <w:ilvl w:val="0"/>
          <w:numId w:val="1"/>
        </w:numPr>
        <w:ind w:firstLineChars="0"/>
        <w:jc w:val="left"/>
        <w:rPr>
          <w:rFonts w:ascii="楷体_GB2312" w:hAnsi="宋体" w:eastAsia="楷体_GB2312" w:cs="黑体"/>
          <w:bCs/>
          <w:color w:val="000000"/>
          <w:sz w:val="36"/>
          <w:szCs w:val="36"/>
        </w:rPr>
      </w:pPr>
      <w:r>
        <w:rPr>
          <w:rFonts w:hint="eastAsia" w:ascii="楷体_GB2312" w:hAnsi="宋体" w:eastAsia="楷体_GB2312" w:cs="黑体"/>
          <w:bCs/>
          <w:color w:val="000000"/>
          <w:sz w:val="36"/>
          <w:szCs w:val="36"/>
        </w:rPr>
        <w:t xml:space="preserve">  环境质量状况</w:t>
      </w:r>
    </w:p>
    <w:p w14:paraId="6B991A45">
      <w:pPr>
        <w:pStyle w:val="33"/>
        <w:widowControl/>
        <w:numPr>
          <w:ilvl w:val="0"/>
          <w:numId w:val="1"/>
        </w:numPr>
        <w:ind w:firstLineChars="0"/>
        <w:jc w:val="left"/>
        <w:rPr>
          <w:rFonts w:ascii="楷体_GB2312" w:hAnsi="宋体" w:eastAsia="楷体_GB2312" w:cs="黑体"/>
          <w:bCs/>
          <w:color w:val="000000"/>
          <w:sz w:val="36"/>
          <w:szCs w:val="36"/>
        </w:rPr>
      </w:pPr>
      <w:r>
        <w:rPr>
          <w:rFonts w:hint="eastAsia" w:ascii="楷体_GB2312" w:hAnsi="宋体" w:eastAsia="楷体_GB2312" w:cs="黑体"/>
          <w:bCs/>
          <w:color w:val="000000"/>
          <w:sz w:val="36"/>
          <w:szCs w:val="36"/>
        </w:rPr>
        <w:t xml:space="preserve">  教育质量状况</w:t>
      </w:r>
    </w:p>
    <w:p w14:paraId="6D60DEB7">
      <w:pPr>
        <w:pStyle w:val="33"/>
        <w:widowControl/>
        <w:numPr>
          <w:ilvl w:val="0"/>
          <w:numId w:val="1"/>
        </w:numPr>
        <w:ind w:firstLineChars="0"/>
        <w:jc w:val="left"/>
        <w:rPr>
          <w:rFonts w:hint="eastAsia" w:ascii="楷体_GB2312" w:hAnsi="宋体" w:eastAsia="楷体_GB2312" w:cs="黑体"/>
          <w:bCs/>
          <w:color w:val="000000"/>
          <w:sz w:val="36"/>
          <w:szCs w:val="36"/>
        </w:rPr>
      </w:pPr>
      <w:r>
        <w:rPr>
          <w:rFonts w:hint="eastAsia" w:ascii="楷体_GB2312" w:hAnsi="宋体" w:eastAsia="楷体_GB2312" w:cs="黑体"/>
          <w:bCs/>
          <w:color w:val="000000"/>
          <w:sz w:val="36"/>
          <w:szCs w:val="36"/>
        </w:rPr>
        <w:t xml:space="preserve">  服务质量状况</w:t>
      </w:r>
    </w:p>
    <w:p w14:paraId="339521E2">
      <w:pPr>
        <w:pStyle w:val="33"/>
        <w:widowControl/>
        <w:numPr>
          <w:ilvl w:val="0"/>
          <w:numId w:val="1"/>
        </w:numPr>
        <w:ind w:firstLineChars="0"/>
        <w:jc w:val="left"/>
        <w:rPr>
          <w:rFonts w:ascii="楷体_GB2312" w:hAnsi="宋体" w:eastAsia="楷体_GB2312" w:cs="黑体"/>
          <w:bCs/>
          <w:color w:val="000000"/>
          <w:sz w:val="36"/>
          <w:szCs w:val="36"/>
        </w:rPr>
      </w:pPr>
      <w:r>
        <w:rPr>
          <w:rFonts w:hint="eastAsia" w:ascii="楷体_GB2312" w:hAnsi="宋体" w:eastAsia="楷体_GB2312" w:cs="黑体"/>
          <w:bCs/>
          <w:color w:val="000000"/>
          <w:sz w:val="36"/>
          <w:szCs w:val="36"/>
        </w:rPr>
        <w:t xml:space="preserve">  公共服务质量状况</w:t>
      </w:r>
    </w:p>
    <w:p w14:paraId="29F4781B">
      <w:pPr>
        <w:pStyle w:val="33"/>
        <w:widowControl/>
        <w:numPr>
          <w:ilvl w:val="0"/>
          <w:numId w:val="1"/>
        </w:numPr>
        <w:ind w:firstLineChars="0"/>
        <w:jc w:val="left"/>
        <w:rPr>
          <w:rFonts w:hint="eastAsia" w:ascii="楷体_GB2312" w:hAnsi="宋体" w:eastAsia="楷体_GB2312" w:cs="黑体"/>
          <w:bCs/>
          <w:color w:val="000000"/>
          <w:sz w:val="36"/>
          <w:szCs w:val="36"/>
        </w:rPr>
      </w:pPr>
      <w:r>
        <w:rPr>
          <w:rFonts w:hint="eastAsia" w:ascii="楷体_GB2312" w:hAnsi="宋体" w:eastAsia="楷体_GB2312" w:cs="黑体"/>
          <w:bCs/>
          <w:color w:val="000000"/>
          <w:sz w:val="36"/>
          <w:szCs w:val="36"/>
        </w:rPr>
        <w:t xml:space="preserve">  质量工作建议</w:t>
      </w:r>
    </w:p>
    <w:p w14:paraId="3C62A4E7">
      <w:pPr>
        <w:pStyle w:val="33"/>
        <w:widowControl/>
        <w:ind w:left="960" w:firstLine="0" w:firstLineChars="0"/>
        <w:jc w:val="left"/>
        <w:rPr>
          <w:rFonts w:hint="eastAsia" w:ascii="楷体_GB2312" w:hAnsi="宋体" w:eastAsia="楷体_GB2312" w:cs="黑体"/>
          <w:bCs/>
          <w:color w:val="000000"/>
          <w:sz w:val="36"/>
          <w:szCs w:val="36"/>
        </w:rPr>
      </w:pPr>
      <w:r>
        <w:rPr>
          <w:rFonts w:hint="eastAsia" w:ascii="楷体_GB2312" w:hAnsi="宋体" w:eastAsia="楷体_GB2312" w:cs="黑体"/>
          <w:bCs/>
          <w:color w:val="000000"/>
          <w:sz w:val="36"/>
          <w:szCs w:val="36"/>
        </w:rPr>
        <w:t xml:space="preserve"> </w:t>
      </w:r>
    </w:p>
    <w:p w14:paraId="0F540B55">
      <w:pPr>
        <w:pStyle w:val="33"/>
        <w:widowControl/>
        <w:ind w:left="960" w:firstLine="0" w:firstLineChars="0"/>
        <w:jc w:val="left"/>
        <w:rPr>
          <w:rFonts w:hint="eastAsia" w:ascii="楷体_GB2312" w:hAnsi="宋体" w:eastAsia="楷体_GB2312" w:cs="黑体"/>
          <w:bCs/>
          <w:color w:val="000000"/>
          <w:sz w:val="36"/>
          <w:szCs w:val="36"/>
        </w:rPr>
      </w:pPr>
    </w:p>
    <w:p w14:paraId="138B8849">
      <w:pPr>
        <w:pStyle w:val="33"/>
        <w:widowControl/>
        <w:ind w:left="960" w:firstLine="0" w:firstLineChars="0"/>
        <w:jc w:val="left"/>
        <w:rPr>
          <w:rFonts w:hint="eastAsia" w:ascii="楷体_GB2312" w:hAnsi="宋体" w:eastAsia="楷体_GB2312" w:cs="黑体"/>
          <w:bCs/>
          <w:color w:val="000000"/>
          <w:sz w:val="36"/>
          <w:szCs w:val="36"/>
        </w:rPr>
      </w:pPr>
    </w:p>
    <w:p w14:paraId="75F5DBD7">
      <w:pPr>
        <w:pStyle w:val="33"/>
        <w:widowControl/>
        <w:ind w:left="960" w:firstLine="0" w:firstLineChars="0"/>
        <w:jc w:val="left"/>
        <w:rPr>
          <w:rFonts w:hint="eastAsia" w:ascii="楷体_GB2312" w:hAnsi="宋体" w:eastAsia="楷体_GB2312" w:cs="黑体"/>
          <w:bCs/>
          <w:color w:val="000000"/>
          <w:sz w:val="36"/>
          <w:szCs w:val="36"/>
        </w:rPr>
      </w:pPr>
    </w:p>
    <w:p w14:paraId="5A77A51B">
      <w:pPr>
        <w:pStyle w:val="33"/>
        <w:widowControl/>
        <w:ind w:left="960" w:firstLine="0" w:firstLineChars="0"/>
        <w:jc w:val="left"/>
        <w:rPr>
          <w:rFonts w:hint="eastAsia" w:ascii="楷体_GB2312" w:hAnsi="宋体" w:eastAsia="楷体_GB2312" w:cs="黑体"/>
          <w:bCs/>
          <w:color w:val="000000"/>
          <w:sz w:val="36"/>
          <w:szCs w:val="36"/>
        </w:rPr>
      </w:pPr>
    </w:p>
    <w:p w14:paraId="5A7423A9">
      <w:pPr>
        <w:widowControl/>
        <w:shd w:val="clear" w:color="auto" w:fill="FFFFFF"/>
        <w:spacing w:line="480" w:lineRule="atLeast"/>
        <w:jc w:val="center"/>
        <w:rPr>
          <w:rFonts w:hint="eastAsia" w:ascii="黑体" w:hAnsi="黑体" w:eastAsia="黑体" w:cs="华文楷体"/>
          <w:color w:val="FF0000"/>
          <w:kern w:val="0"/>
          <w:sz w:val="44"/>
          <w:szCs w:val="44"/>
        </w:rPr>
      </w:pPr>
    </w:p>
    <w:p w14:paraId="4DD6D516">
      <w:pPr>
        <w:widowControl/>
        <w:shd w:val="clear" w:color="auto" w:fill="FFFFFF"/>
        <w:spacing w:line="480" w:lineRule="atLeast"/>
        <w:jc w:val="center"/>
        <w:rPr>
          <w:rFonts w:hint="eastAsia" w:ascii="黑体" w:hAnsi="黑体" w:eastAsia="黑体" w:cs="华文楷体"/>
          <w:color w:val="FF0000"/>
          <w:kern w:val="0"/>
          <w:sz w:val="44"/>
          <w:szCs w:val="44"/>
        </w:rPr>
      </w:pPr>
    </w:p>
    <w:p w14:paraId="46BEC202">
      <w:pPr>
        <w:widowControl/>
        <w:shd w:val="clear" w:color="auto" w:fill="FFFFFF"/>
        <w:spacing w:line="480" w:lineRule="atLeast"/>
        <w:jc w:val="center"/>
        <w:rPr>
          <w:rFonts w:hint="eastAsia" w:ascii="黑体" w:hAnsi="黑体" w:eastAsia="黑体" w:cs="华文楷体"/>
          <w:color w:val="FF0000"/>
          <w:kern w:val="0"/>
          <w:sz w:val="44"/>
          <w:szCs w:val="44"/>
        </w:rPr>
      </w:pPr>
    </w:p>
    <w:p w14:paraId="169E13B4">
      <w:pPr>
        <w:widowControl/>
        <w:shd w:val="clear" w:color="auto" w:fill="FFFFFF"/>
        <w:spacing w:line="480" w:lineRule="atLeast"/>
        <w:jc w:val="center"/>
        <w:rPr>
          <w:rFonts w:hint="eastAsia" w:ascii="黑体" w:hAnsi="黑体" w:eastAsia="黑体" w:cs="华文楷体"/>
          <w:color w:val="FF0000"/>
          <w:kern w:val="0"/>
          <w:sz w:val="44"/>
          <w:szCs w:val="44"/>
        </w:rPr>
      </w:pPr>
    </w:p>
    <w:p w14:paraId="23E97D3D">
      <w:pPr>
        <w:widowControl/>
        <w:shd w:val="clear" w:color="auto" w:fill="FFFFFF"/>
        <w:spacing w:line="480" w:lineRule="atLeast"/>
        <w:jc w:val="center"/>
        <w:rPr>
          <w:rFonts w:ascii="黑体" w:hAnsi="黑体" w:eastAsia="黑体" w:cs="华文楷体"/>
          <w:color w:val="000000"/>
          <w:kern w:val="0"/>
          <w:sz w:val="44"/>
          <w:szCs w:val="44"/>
        </w:rPr>
      </w:pPr>
      <w:r>
        <w:rPr>
          <w:rFonts w:hint="eastAsia" w:ascii="黑体" w:hAnsi="黑体" w:eastAsia="黑体" w:cs="华文楷体"/>
          <w:color w:val="000000"/>
          <w:kern w:val="0"/>
          <w:sz w:val="44"/>
          <w:szCs w:val="44"/>
        </w:rPr>
        <w:t>第一章  宏观质量状况综述</w:t>
      </w:r>
    </w:p>
    <w:p w14:paraId="4B1F5F05">
      <w:pPr>
        <w:overflowPunct w:val="0"/>
        <w:topLinePunct/>
        <w:adjustRightInd w:val="0"/>
        <w:snapToGrid w:val="0"/>
        <w:spacing w:line="592" w:lineRule="exact"/>
        <w:ind w:firstLine="680" w:firstLineChars="200"/>
        <w:rPr>
          <w:rFonts w:eastAsia="仿宋_GB2312"/>
          <w:snapToGrid w:val="0"/>
          <w:sz w:val="32"/>
          <w:szCs w:val="32"/>
        </w:rPr>
      </w:pPr>
      <w:r>
        <w:rPr>
          <w:rFonts w:hint="eastAsia" w:eastAsia="仿宋_GB2312"/>
          <w:snapToGrid w:val="0"/>
          <w:sz w:val="32"/>
          <w:szCs w:val="32"/>
        </w:rPr>
        <w:t>年是高质量全面建成小康社会，如期打赢脱贫攻坚战的决胜年，是我区“十三五”规划实施的收官之年。全区上下以习近平新时代中国特色社会主义思想为指导，深入贯彻党的十九大和十九届二中、三中、四中、五中全会精神，坚持稳中求进工作总基调，深入贯彻新发展理念，坚定不移推进高质量发展，坚持疫情防控和经济社会发展两手抓、两手硬，扎实做好“六稳”工作，全面落实“六保”任务，经济运行总体平稳、发展质量好于预期、社会事业全面进步、疫情防控持续向好、民生福祉不断增进。</w:t>
      </w:r>
    </w:p>
    <w:p w14:paraId="6C2C8037">
      <w:pPr>
        <w:numPr>
          <w:ilvl w:val="0"/>
          <w:numId w:val="2"/>
        </w:numPr>
        <w:overflowPunct w:val="0"/>
        <w:topLinePunct/>
        <w:adjustRightInd w:val="0"/>
        <w:snapToGrid w:val="0"/>
        <w:spacing w:line="592" w:lineRule="exact"/>
        <w:jc w:val="left"/>
        <w:rPr>
          <w:rFonts w:hint="eastAsia" w:ascii="方正小标宋简体" w:eastAsia="方正小标宋简体"/>
          <w:snapToGrid w:val="0"/>
          <w:sz w:val="32"/>
          <w:szCs w:val="32"/>
        </w:rPr>
      </w:pPr>
      <w:r>
        <w:rPr>
          <w:rFonts w:hint="eastAsia" w:ascii="方正小标宋简体" w:eastAsia="方正小标宋简体"/>
          <w:snapToGrid w:val="0"/>
          <w:sz w:val="32"/>
          <w:szCs w:val="32"/>
        </w:rPr>
        <w:t>经济社会发展概况</w:t>
      </w:r>
    </w:p>
    <w:p w14:paraId="7AB1D05D">
      <w:pPr>
        <w:overflowPunct w:val="0"/>
        <w:topLinePunct/>
        <w:adjustRightInd w:val="0"/>
        <w:snapToGrid w:val="0"/>
        <w:spacing w:line="592" w:lineRule="exact"/>
        <w:ind w:firstLine="680" w:firstLineChars="200"/>
        <w:rPr>
          <w:rFonts w:hint="eastAsia" w:ascii="楷体_GB2312" w:eastAsia="楷体_GB2312"/>
          <w:snapToGrid w:val="0"/>
          <w:sz w:val="32"/>
          <w:szCs w:val="32"/>
        </w:rPr>
      </w:pPr>
      <w:r>
        <w:rPr>
          <w:rFonts w:hint="eastAsia" w:ascii="楷体_GB2312" w:eastAsia="楷体_GB2312"/>
          <w:snapToGrid w:val="0"/>
          <w:sz w:val="32"/>
          <w:szCs w:val="32"/>
        </w:rPr>
        <w:t>（一）积极应对疫情冲击影响，社会秩序全面恢复</w:t>
      </w:r>
    </w:p>
    <w:p w14:paraId="31F7B36C">
      <w:pPr>
        <w:overflowPunct w:val="0"/>
        <w:topLinePunct/>
        <w:adjustRightInd w:val="0"/>
        <w:snapToGrid w:val="0"/>
        <w:spacing w:line="592" w:lineRule="exact"/>
        <w:ind w:firstLine="680" w:firstLineChars="200"/>
        <w:rPr>
          <w:rFonts w:hint="eastAsia" w:eastAsia="仿宋_GB2312"/>
          <w:snapToGrid w:val="0"/>
          <w:sz w:val="32"/>
          <w:szCs w:val="32"/>
        </w:rPr>
      </w:pPr>
      <w:r>
        <w:rPr>
          <w:rFonts w:hint="eastAsia" w:eastAsia="仿宋_GB2312"/>
          <w:b/>
          <w:snapToGrid w:val="0"/>
          <w:sz w:val="32"/>
          <w:szCs w:val="32"/>
        </w:rPr>
        <w:t>疫情防控取得胜利。</w:t>
      </w:r>
      <w:r>
        <w:rPr>
          <w:rFonts w:hint="eastAsia" w:eastAsia="仿宋_GB2312"/>
          <w:snapToGrid w:val="0"/>
          <w:sz w:val="32"/>
          <w:szCs w:val="32"/>
        </w:rPr>
        <w:t>全面统筹、综合施策，取得疫情防控和经济社会发展“双胜利”。及时制定《五华区新型冠状病毒感染的肺炎疫情防控工作方案》，落实落细“外防输入、内防反弹”防控策略，采取“1+1+3+N”模式，构建部门联防联控、社会群防群控工作格局，实现了零重症、零死亡，较早实现本土确诊、疑似病例“双清零”。坚持疫情防控“工作不松、力度不减、标准不降”，累计报告疑似病例268例，留观人员6588人，采集标本8753人、17334份，截至目前，无本地新增确诊病例报告。</w:t>
      </w:r>
    </w:p>
    <w:p w14:paraId="0C44ED87">
      <w:pPr>
        <w:overflowPunct w:val="0"/>
        <w:topLinePunct/>
        <w:adjustRightInd w:val="0"/>
        <w:snapToGrid w:val="0"/>
        <w:spacing w:line="592" w:lineRule="exact"/>
        <w:ind w:firstLine="680" w:firstLineChars="200"/>
        <w:rPr>
          <w:rFonts w:hint="eastAsia" w:eastAsia="仿宋_GB2312"/>
          <w:snapToGrid w:val="0"/>
          <w:sz w:val="32"/>
          <w:szCs w:val="32"/>
        </w:rPr>
      </w:pPr>
      <w:r>
        <w:rPr>
          <w:rFonts w:hint="eastAsia" w:eastAsia="仿宋_GB2312"/>
          <w:b/>
          <w:snapToGrid w:val="0"/>
          <w:sz w:val="32"/>
          <w:szCs w:val="32"/>
        </w:rPr>
        <w:t>政策措施及时有效，复工复产全面有序。</w:t>
      </w:r>
      <w:r>
        <w:rPr>
          <w:rFonts w:hint="eastAsia" w:eastAsia="仿宋_GB2312"/>
          <w:snapToGrid w:val="0"/>
          <w:sz w:val="32"/>
          <w:szCs w:val="32"/>
        </w:rPr>
        <w:t>出台《五华区关于支持企业应对新冠肺炎疫情共渡难关的十条措施》《推动五华区经济高质量发展的若干措施》，为企业和单位兑现疫情防控补助和稳增长奖励扶持资金8000多万元；落实“银行+担保+互助金”新模式，为餐饮企业开辟融资渠道，帮助其争取金融机构贷款5000多万元。当好企业信贷的“桥梁”，按照省、市相关要求，及时收集企业信贷需求，先后汇总上报10余批200多家。积极落实减费政策，减</w:t>
      </w:r>
      <w:r>
        <w:rPr>
          <w:rFonts w:hint="eastAsia" w:eastAsia="仿宋_GB2312"/>
          <w:snapToGrid w:val="0"/>
          <w:spacing w:val="-6"/>
          <w:sz w:val="32"/>
          <w:szCs w:val="32"/>
        </w:rPr>
        <w:t>免参保企业养老保险费13.63亿元、工伤保险费3570万元。加大失业保险保障力度，发放失业补助金2.58亿元，惠及54058人。</w:t>
      </w:r>
      <w:r>
        <w:rPr>
          <w:rFonts w:hint="eastAsia" w:eastAsia="仿宋_GB2312"/>
          <w:snapToGrid w:val="0"/>
          <w:sz w:val="32"/>
          <w:szCs w:val="32"/>
        </w:rPr>
        <w:t>建立健全防疫管理制度，指导企业做好设施设备清理消杀，加强企业内部人员管理，确保安全生产、复产达产。落实区级领导挂钩帮带制度，带队深入企业，分行业全面摸底，分重点帮扶。建立应对疫情帮扶机制，对受疫情影响较大的重点行业、重点企业、重点项目，坚持“一企一策”“一业多策”精准帮扶。</w:t>
      </w:r>
    </w:p>
    <w:p w14:paraId="6F440DBE">
      <w:pPr>
        <w:overflowPunct w:val="0"/>
        <w:topLinePunct/>
        <w:adjustRightInd w:val="0"/>
        <w:snapToGrid w:val="0"/>
        <w:spacing w:line="592" w:lineRule="exact"/>
        <w:ind w:firstLine="680" w:firstLineChars="200"/>
        <w:rPr>
          <w:rFonts w:ascii="楷体_GB2312" w:eastAsia="楷体_GB2312"/>
          <w:snapToGrid w:val="0"/>
          <w:sz w:val="32"/>
          <w:szCs w:val="32"/>
        </w:rPr>
      </w:pPr>
      <w:r>
        <w:rPr>
          <w:rFonts w:hint="eastAsia" w:ascii="楷体_GB2312" w:eastAsia="楷体_GB2312"/>
          <w:snapToGrid w:val="0"/>
          <w:sz w:val="32"/>
          <w:szCs w:val="32"/>
        </w:rPr>
        <w:t>（二）全力保持平稳运行，经济发展稳中有升</w:t>
      </w:r>
    </w:p>
    <w:p w14:paraId="4A9CE6FD">
      <w:pPr>
        <w:overflowPunct w:val="0"/>
        <w:topLinePunct/>
        <w:adjustRightInd w:val="0"/>
        <w:snapToGrid w:val="0"/>
        <w:spacing w:line="592" w:lineRule="exact"/>
        <w:ind w:firstLine="680" w:firstLineChars="200"/>
        <w:rPr>
          <w:rFonts w:eastAsia="仿宋_GB2312"/>
          <w:snapToGrid w:val="0"/>
          <w:sz w:val="32"/>
          <w:szCs w:val="32"/>
        </w:rPr>
      </w:pPr>
      <w:r>
        <w:rPr>
          <w:rFonts w:hint="eastAsia" w:eastAsia="仿宋_GB2312"/>
          <w:b/>
          <w:snapToGrid w:val="0"/>
          <w:sz w:val="32"/>
          <w:szCs w:val="32"/>
        </w:rPr>
        <w:t>发展质量稳步提升。</w:t>
      </w:r>
      <w:r>
        <w:rPr>
          <w:rFonts w:hint="eastAsia" w:eastAsia="仿宋_GB2312"/>
          <w:snapToGrid w:val="0"/>
          <w:sz w:val="32"/>
          <w:szCs w:val="32"/>
        </w:rPr>
        <w:t>综合实力不断提升，地区生产总值完成1242.35亿元，同比增长2.6%，固定资产投资同比下降5.4%，一般公共预算收入完成45.8亿元，同比增长2.54%，城镇、农村常住居民人均可支配收入分别实现48942元和22790元，同比增长3.7%和8.2%，与经济增长保持同步，连续两年获得云南省县域经济重点开发县区考评第一名。经济结构持续优化，三产比重日趋合理，三次产业结构占比实现0.2∶39.6∶60.2。增长动能更加强劲，位列“全国主城区竞争力指数排名”69位，入选“胡润中国最具投资潜力区域百强榜”。 全年主要经济社会指标完成情况如下：</w:t>
      </w:r>
    </w:p>
    <w:p w14:paraId="07C6AFF2">
      <w:pPr>
        <w:overflowPunct w:val="0"/>
        <w:topLinePunct/>
        <w:adjustRightInd w:val="0"/>
        <w:snapToGrid w:val="0"/>
        <w:spacing w:line="592" w:lineRule="exact"/>
        <w:ind w:firstLine="680" w:firstLineChars="200"/>
        <w:rPr>
          <w:rFonts w:eastAsia="仿宋_GB2312"/>
          <w:snapToGrid w:val="0"/>
          <w:sz w:val="32"/>
          <w:szCs w:val="32"/>
        </w:rPr>
      </w:pPr>
      <w:r>
        <w:rPr>
          <w:rFonts w:hint="eastAsia" w:eastAsia="仿宋_GB2312"/>
          <w:b/>
          <w:snapToGrid w:val="0"/>
          <w:sz w:val="32"/>
          <w:szCs w:val="32"/>
        </w:rPr>
        <w:t>投资带动作用明显。</w:t>
      </w:r>
      <w:r>
        <w:rPr>
          <w:rFonts w:hint="eastAsia" w:eastAsia="仿宋_GB2312"/>
          <w:snapToGrid w:val="0"/>
          <w:sz w:val="32"/>
          <w:szCs w:val="32"/>
        </w:rPr>
        <w:t>努力克服疫情对项目建设的冲击和影响，坚持项目全周期推进服务机制，推动重点项目加快建设。安排区级前期研究经费1000万元，争取上级前期研究经费1500万元，重点支持道路交通、水环境治理、园林绿化、教育卫生等民生领域的25个项目开展前期工作。统筹推进141个重点项目，滇缅大道快速路建设项目（一期工程）、莲华小学选址新建项目、春城名苑等18个亿元以上重大项目实现开工并有序推进。采取线上视频连线的方式对涉及工业、城市更新改造、教育基础设施等方面的16个项目进行集中开工。争取地方政府专项债3亿元，抗疫特别国债5000万元，五华区水环境治理项目、昆明第二十八中学项目顺利纳入国家PPP项目库。</w:t>
      </w:r>
    </w:p>
    <w:p w14:paraId="41D996DB">
      <w:pPr>
        <w:overflowPunct w:val="0"/>
        <w:topLinePunct/>
        <w:adjustRightInd w:val="0"/>
        <w:snapToGrid w:val="0"/>
        <w:spacing w:line="592" w:lineRule="exact"/>
        <w:ind w:firstLine="680" w:firstLineChars="200"/>
        <w:rPr>
          <w:rFonts w:eastAsia="仿宋_GB2312"/>
          <w:snapToGrid w:val="0"/>
          <w:sz w:val="32"/>
          <w:szCs w:val="32"/>
        </w:rPr>
      </w:pPr>
      <w:r>
        <w:rPr>
          <w:rFonts w:hint="eastAsia" w:eastAsia="仿宋_GB2312"/>
          <w:b/>
          <w:snapToGrid w:val="0"/>
          <w:sz w:val="32"/>
          <w:szCs w:val="32"/>
        </w:rPr>
        <w:t>社会消费全面复苏。</w:t>
      </w:r>
      <w:r>
        <w:rPr>
          <w:rFonts w:hint="eastAsia" w:eastAsia="仿宋_GB2312"/>
          <w:snapToGrid w:val="0"/>
          <w:sz w:val="32"/>
          <w:szCs w:val="32"/>
        </w:rPr>
        <w:t>千方百计促进消费复苏，引导辖区企业积极转变经营模式，开展线上经营、拓展线上业务，减轻疫情影响。南强街夜间经济示范街区“烟火气”率先复苏，</w:t>
      </w:r>
      <w:r>
        <w:rPr>
          <w:rFonts w:hint="eastAsia" w:eastAsia="仿宋_GB2312"/>
          <w:bCs/>
          <w:snapToGrid w:val="0"/>
          <w:sz w:val="32"/>
          <w:szCs w:val="32"/>
        </w:rPr>
        <w:t>中央电视台先后2次对五华区率先复工复产，点亮夜经济进行宣传报道。扎实推动消费商圈升级，</w:t>
      </w:r>
      <w:r>
        <w:rPr>
          <w:rFonts w:hint="eastAsia" w:eastAsia="仿宋_GB2312"/>
          <w:snapToGrid w:val="0"/>
          <w:sz w:val="32"/>
          <w:szCs w:val="32"/>
        </w:rPr>
        <w:t>南屏步行街被商务部列为全国第二批步行街改造提升试点，并跻身云南省首批5个“夜间经济地标”行列。西北新城商圈内涵更加丰富，首创奥特莱斯开业运营，吾悦广场、西城时代等商业综合体日趋成熟。</w:t>
      </w:r>
      <w:r>
        <w:rPr>
          <w:rFonts w:hint="eastAsia" w:eastAsia="仿宋_GB2312"/>
          <w:bCs/>
          <w:snapToGrid w:val="0"/>
          <w:sz w:val="32"/>
          <w:szCs w:val="32"/>
        </w:rPr>
        <w:t>积极培育消费热点，昆明首家家乐福精选超市、和谐世纪商城建成营业，</w:t>
      </w:r>
      <w:r>
        <w:rPr>
          <w:rFonts w:hint="eastAsia" w:eastAsia="仿宋_GB2312"/>
          <w:snapToGrid w:val="0"/>
          <w:sz w:val="32"/>
          <w:szCs w:val="32"/>
        </w:rPr>
        <w:t>新型智慧商圈建设持续推进，街区品质和消费体验感不断提升。</w:t>
      </w:r>
    </w:p>
    <w:p w14:paraId="6A9190B6">
      <w:pPr>
        <w:overflowPunct w:val="0"/>
        <w:topLinePunct/>
        <w:adjustRightInd w:val="0"/>
        <w:snapToGrid w:val="0"/>
        <w:spacing w:line="592" w:lineRule="exact"/>
        <w:ind w:firstLine="680" w:firstLineChars="200"/>
        <w:rPr>
          <w:rFonts w:ascii="楷体_GB2312" w:eastAsia="楷体_GB2312"/>
          <w:bCs/>
          <w:snapToGrid w:val="0"/>
          <w:sz w:val="32"/>
          <w:szCs w:val="32"/>
          <w:lang w:val="zh-CN"/>
        </w:rPr>
      </w:pPr>
      <w:r>
        <w:rPr>
          <w:rFonts w:hint="eastAsia" w:ascii="楷体_GB2312" w:eastAsia="楷体_GB2312"/>
          <w:snapToGrid w:val="0"/>
          <w:sz w:val="32"/>
          <w:szCs w:val="32"/>
        </w:rPr>
        <w:t>（三）持续推进转型升级，产业结构不断优化</w:t>
      </w:r>
    </w:p>
    <w:p w14:paraId="653BE79C">
      <w:pPr>
        <w:overflowPunct w:val="0"/>
        <w:topLinePunct/>
        <w:adjustRightInd w:val="0"/>
        <w:snapToGrid w:val="0"/>
        <w:spacing w:line="592" w:lineRule="exact"/>
        <w:ind w:firstLine="680" w:firstLineChars="200"/>
        <w:rPr>
          <w:rFonts w:eastAsia="仿宋_GB2312"/>
          <w:bCs/>
          <w:snapToGrid w:val="0"/>
          <w:sz w:val="32"/>
          <w:szCs w:val="32"/>
        </w:rPr>
      </w:pPr>
      <w:r>
        <w:rPr>
          <w:rFonts w:hint="eastAsia" w:eastAsia="仿宋_GB2312"/>
          <w:b/>
          <w:snapToGrid w:val="0"/>
          <w:sz w:val="32"/>
          <w:szCs w:val="32"/>
        </w:rPr>
        <w:t>服务业质量不断提升。</w:t>
      </w:r>
      <w:r>
        <w:rPr>
          <w:rFonts w:hint="eastAsia" w:eastAsia="仿宋_GB2312"/>
          <w:bCs/>
          <w:snapToGrid w:val="0"/>
          <w:sz w:val="32"/>
          <w:szCs w:val="32"/>
        </w:rPr>
        <w:t>全面实施生产性服务业培育提升计划，推动信息技术、文化创意等11个现代服务业聚集发展。充分发挥龙头企业示范带动作用，科大讯飞南亚东南亚总部、能投缘达等企业入驻五华。</w:t>
      </w:r>
      <w:r>
        <w:rPr>
          <w:rFonts w:hint="eastAsia" w:eastAsia="仿宋_GB2312"/>
          <w:snapToGrid w:val="0"/>
          <w:sz w:val="32"/>
          <w:szCs w:val="32"/>
        </w:rPr>
        <w:t>云南省区块链中心落户五华，阿里巴巴、趣链等79家优质区块链企业加入云南省区块链产业联盟。加强基础技术研发和重点领域区块链技术示范应用，正式发布全国首个升级区块链溯源商品码“孔雀码”，打造区块链产业发展试验场、聚集区。</w:t>
      </w:r>
    </w:p>
    <w:p w14:paraId="720053AF">
      <w:pPr>
        <w:overflowPunct w:val="0"/>
        <w:topLinePunct/>
        <w:adjustRightInd w:val="0"/>
        <w:snapToGrid w:val="0"/>
        <w:spacing w:line="592" w:lineRule="exact"/>
        <w:ind w:firstLine="680" w:firstLineChars="200"/>
        <w:rPr>
          <w:rFonts w:eastAsia="仿宋_GB2312"/>
          <w:bCs/>
          <w:snapToGrid w:val="0"/>
          <w:sz w:val="32"/>
          <w:szCs w:val="32"/>
        </w:rPr>
      </w:pPr>
      <w:r>
        <w:rPr>
          <w:rFonts w:hint="eastAsia" w:eastAsia="仿宋_GB2312"/>
          <w:b/>
          <w:snapToGrid w:val="0"/>
          <w:sz w:val="32"/>
          <w:szCs w:val="32"/>
        </w:rPr>
        <w:t>工业支撑不断夯实。</w:t>
      </w:r>
      <w:r>
        <w:rPr>
          <w:rFonts w:hint="eastAsia" w:eastAsia="仿宋_GB2312"/>
          <w:bCs/>
          <w:snapToGrid w:val="0"/>
          <w:sz w:val="32"/>
          <w:szCs w:val="32"/>
        </w:rPr>
        <w:t>实施工业攻坚三年行动，抓好重点工业企业月度经济指标运行的预测分析，做到早计划、早安排，确保工业平稳运行，对经济发展形成有效支撑。大力引导支持工业企业实施技术创新、产业升级，做优做强，昆明卷烟厂工商物流一体化项目及新建烟叶仓储物流项目稳步推进。推动工业项目建设，垃圾焚烧发电厂实现“老厂关停新厂投运”，德和罐头厂异地建设项目实现土地供应。</w:t>
      </w:r>
    </w:p>
    <w:p w14:paraId="045175FE">
      <w:pPr>
        <w:overflowPunct w:val="0"/>
        <w:topLinePunct/>
        <w:adjustRightInd w:val="0"/>
        <w:snapToGrid w:val="0"/>
        <w:spacing w:line="592" w:lineRule="exact"/>
        <w:ind w:firstLine="680" w:firstLineChars="200"/>
        <w:rPr>
          <w:rFonts w:eastAsia="仿宋_GB2312"/>
          <w:bCs/>
          <w:snapToGrid w:val="0"/>
          <w:sz w:val="32"/>
          <w:szCs w:val="32"/>
        </w:rPr>
      </w:pPr>
      <w:r>
        <w:rPr>
          <w:rFonts w:hint="eastAsia" w:eastAsia="仿宋_GB2312"/>
          <w:b/>
          <w:snapToGrid w:val="0"/>
          <w:sz w:val="32"/>
          <w:szCs w:val="32"/>
        </w:rPr>
        <w:t>农业特色不断彰显。</w:t>
      </w:r>
      <w:r>
        <w:rPr>
          <w:rFonts w:hint="eastAsia" w:eastAsia="仿宋_GB2312"/>
          <w:bCs/>
          <w:snapToGrid w:val="0"/>
          <w:sz w:val="32"/>
          <w:szCs w:val="32"/>
        </w:rPr>
        <w:t>深入实施乡村振兴战略，西翥片区实现工业用地出让“零突破”，云南国际高原特色农产品交易中心建设稳步推进，林奇花卉基地初具规模，观光采摘、休闲农业、创意农业等都市农业新业态不断涌现。谋划农业产业发展，编制五华区“一县一业”规划，推进瓦恭稻鱼和陡普鲁梨“一村一品”创建，5家企业获得省市“绿色食品牌”的“十大名品”。</w:t>
      </w:r>
    </w:p>
    <w:p w14:paraId="55622DA4">
      <w:pPr>
        <w:overflowPunct w:val="0"/>
        <w:topLinePunct/>
        <w:adjustRightInd w:val="0"/>
        <w:snapToGrid w:val="0"/>
        <w:spacing w:line="592" w:lineRule="exact"/>
        <w:ind w:firstLine="680" w:firstLineChars="200"/>
        <w:rPr>
          <w:rFonts w:ascii="楷体_GB2312" w:eastAsia="楷体_GB2312"/>
          <w:snapToGrid w:val="0"/>
          <w:sz w:val="32"/>
          <w:szCs w:val="32"/>
        </w:rPr>
      </w:pPr>
      <w:r>
        <w:rPr>
          <w:rFonts w:hint="eastAsia" w:ascii="楷体_GB2312" w:eastAsia="楷体_GB2312"/>
          <w:snapToGrid w:val="0"/>
          <w:sz w:val="32"/>
          <w:szCs w:val="32"/>
        </w:rPr>
        <w:t>（四）突出创新驱动发展，特色优势逐渐发挥</w:t>
      </w:r>
    </w:p>
    <w:p w14:paraId="0032779B">
      <w:pPr>
        <w:overflowPunct w:val="0"/>
        <w:topLinePunct/>
        <w:adjustRightInd w:val="0"/>
        <w:snapToGrid w:val="0"/>
        <w:spacing w:line="592" w:lineRule="exact"/>
        <w:ind w:firstLine="680" w:firstLineChars="200"/>
        <w:rPr>
          <w:rFonts w:eastAsia="仿宋_GB2312"/>
          <w:bCs/>
          <w:snapToGrid w:val="0"/>
          <w:sz w:val="32"/>
          <w:szCs w:val="32"/>
        </w:rPr>
      </w:pPr>
      <w:r>
        <w:rPr>
          <w:rFonts w:hint="eastAsia" w:eastAsia="仿宋_GB2312"/>
          <w:b/>
          <w:snapToGrid w:val="0"/>
          <w:sz w:val="32"/>
          <w:szCs w:val="32"/>
        </w:rPr>
        <w:t>园区建设再上台阶。</w:t>
      </w:r>
      <w:r>
        <w:rPr>
          <w:rFonts w:hint="eastAsia" w:eastAsia="仿宋_GB2312"/>
          <w:bCs/>
          <w:snapToGrid w:val="0"/>
          <w:sz w:val="32"/>
          <w:szCs w:val="32"/>
        </w:rPr>
        <w:t>五华科技产业园完成主营业务收入1346亿元，较去年增长6%，成功申报云南省知识产权示范园区。园区重点项目建设稳步前行，建立园区领导、部门负责人两级挂钩联系工作机制，深入推进56项重点项目建设。园区服务环境持续优化，建立区政务服务中心园区分中心，园区“一站式”公共服务平台得到优化提升，全年共对77家企业和42个项目给予奖励扶持资金1208.39万元，帮助园区17户中小企业获得银行贷款共计5750万元，有效缓解企业融资难题。</w:t>
      </w:r>
    </w:p>
    <w:p w14:paraId="0E52A194">
      <w:pPr>
        <w:overflowPunct w:val="0"/>
        <w:topLinePunct/>
        <w:adjustRightInd w:val="0"/>
        <w:snapToGrid w:val="0"/>
        <w:spacing w:line="592" w:lineRule="exact"/>
        <w:ind w:firstLine="680" w:firstLineChars="200"/>
        <w:rPr>
          <w:rFonts w:eastAsia="仿宋_GB2312"/>
          <w:snapToGrid w:val="0"/>
          <w:sz w:val="32"/>
          <w:szCs w:val="32"/>
        </w:rPr>
      </w:pPr>
      <w:r>
        <w:rPr>
          <w:rFonts w:hint="eastAsia" w:eastAsia="仿宋_GB2312"/>
          <w:b/>
          <w:snapToGrid w:val="0"/>
          <w:sz w:val="32"/>
          <w:szCs w:val="32"/>
        </w:rPr>
        <w:t>楼宇经济优势巩固。</w:t>
      </w:r>
      <w:r>
        <w:rPr>
          <w:rFonts w:hint="eastAsia" w:eastAsia="仿宋_GB2312"/>
          <w:bCs/>
          <w:snapToGrid w:val="0"/>
          <w:sz w:val="32"/>
          <w:szCs w:val="32"/>
        </w:rPr>
        <w:t>按照“四个一批”发展思路，积极做优做精楼宇载体，推动楼宇（总部）经济升级集聚，</w:t>
      </w:r>
      <w:r>
        <w:rPr>
          <w:rFonts w:hint="eastAsia" w:eastAsia="仿宋_GB2312"/>
          <w:snapToGrid w:val="0"/>
          <w:sz w:val="32"/>
          <w:szCs w:val="32"/>
        </w:rPr>
        <w:t>全区亿元楼宇达16幢、千万元楼宇达44幢，入驻世界500强企业40家、46家中国500强企业在五华设立区域总部或分支机构。加快发展联合办公、共享办公等业态，推动线上软件、线下办公深度融合。以“新办公·与数字同行”为主体，举行“新办公行业闭门高峰论坛”。实施“老楼更新”工程，对国资银佳、护国大厦等老旧楼宇实施更新改造。持续盘活存量楼宇，整合中铁云时代广场等楼宇，降低楼宇空置率。</w:t>
      </w:r>
    </w:p>
    <w:p w14:paraId="7B929F48">
      <w:pPr>
        <w:overflowPunct w:val="0"/>
        <w:topLinePunct/>
        <w:adjustRightInd w:val="0"/>
        <w:snapToGrid w:val="0"/>
        <w:spacing w:line="592" w:lineRule="exact"/>
        <w:ind w:firstLine="680" w:firstLineChars="200"/>
        <w:rPr>
          <w:rFonts w:eastAsia="仿宋_GB2312"/>
          <w:snapToGrid w:val="0"/>
          <w:sz w:val="32"/>
          <w:szCs w:val="32"/>
        </w:rPr>
      </w:pPr>
      <w:r>
        <w:rPr>
          <w:rFonts w:hint="eastAsia" w:eastAsia="仿宋_GB2312"/>
          <w:b/>
          <w:snapToGrid w:val="0"/>
          <w:sz w:val="32"/>
          <w:szCs w:val="32"/>
        </w:rPr>
        <w:t>创新驱动深入实施。</w:t>
      </w:r>
      <w:r>
        <w:rPr>
          <w:rFonts w:hint="eastAsia" w:eastAsia="仿宋_GB2312"/>
          <w:snapToGrid w:val="0"/>
          <w:sz w:val="32"/>
          <w:szCs w:val="32"/>
        </w:rPr>
        <w:t>“学府创新创业走廊”成效显现，成立“昆明理工大学—五华科技创新研究院”。“高校+双创基地”等政校企合作取得进展，高校科技资源就地转化效能不断增强，高延性混凝土、虾青素等一批科研成果实现产业化。科技创新深入推进，举办“翠湖之畔·科技文化融合发展”高端论坛，全区省、市级院士工作站达86个，国家、省、市级重点实验室达96家，拥有各级孵化器17家，孵化面积超过30万平方米、入驻创新创业企业团队1500余个。高新技术企业培育力度加大，全区现有国家级科技型中小企业170家，信息产业规模近50亿元。</w:t>
      </w:r>
    </w:p>
    <w:p w14:paraId="450D6F80">
      <w:pPr>
        <w:overflowPunct w:val="0"/>
        <w:topLinePunct/>
        <w:adjustRightInd w:val="0"/>
        <w:snapToGrid w:val="0"/>
        <w:spacing w:line="592" w:lineRule="exact"/>
        <w:ind w:firstLine="680" w:firstLineChars="200"/>
        <w:rPr>
          <w:rFonts w:ascii="楷体_GB2312" w:eastAsia="楷体_GB2312"/>
          <w:snapToGrid w:val="0"/>
          <w:sz w:val="32"/>
          <w:szCs w:val="32"/>
          <w:lang w:val="zh-CN"/>
        </w:rPr>
      </w:pPr>
      <w:r>
        <w:rPr>
          <w:rFonts w:hint="eastAsia" w:ascii="楷体_GB2312" w:eastAsia="楷体_GB2312"/>
          <w:snapToGrid w:val="0"/>
          <w:sz w:val="32"/>
          <w:szCs w:val="32"/>
        </w:rPr>
        <w:t>（五）深化重点领域改革，发展活力不断增强</w:t>
      </w:r>
    </w:p>
    <w:p w14:paraId="7F5B187B">
      <w:pPr>
        <w:overflowPunct w:val="0"/>
        <w:topLinePunct/>
        <w:adjustRightInd w:val="0"/>
        <w:snapToGrid w:val="0"/>
        <w:spacing w:line="592" w:lineRule="exact"/>
        <w:ind w:firstLine="680" w:firstLineChars="200"/>
        <w:rPr>
          <w:rFonts w:eastAsia="仿宋_GB2312"/>
          <w:snapToGrid w:val="0"/>
          <w:sz w:val="32"/>
          <w:szCs w:val="32"/>
        </w:rPr>
      </w:pPr>
      <w:r>
        <w:rPr>
          <w:rFonts w:hint="eastAsia" w:eastAsia="仿宋_GB2312"/>
          <w:b/>
          <w:snapToGrid w:val="0"/>
          <w:sz w:val="32"/>
          <w:szCs w:val="32"/>
        </w:rPr>
        <w:t>不断创新体制机制。</w:t>
      </w:r>
      <w:r>
        <w:rPr>
          <w:rFonts w:hint="eastAsia" w:eastAsia="仿宋_GB2312"/>
          <w:snapToGrid w:val="0"/>
          <w:sz w:val="32"/>
          <w:szCs w:val="32"/>
        </w:rPr>
        <w:t>深化财税金融体制改革，街道办事处财政管理体制改革取得进展，成功争取5.31亿元土地储备专项债券资金支持。高新区社会事务承接工作进展顺利，224项社会事务实现属地管理。</w:t>
      </w:r>
      <w:r>
        <w:rPr>
          <w:rFonts w:hint="eastAsia" w:eastAsia="仿宋_GB2312"/>
          <w:bCs/>
          <w:snapToGrid w:val="0"/>
          <w:sz w:val="32"/>
          <w:szCs w:val="32"/>
        </w:rPr>
        <w:t>全面深化区级公立医院综合改革，取消药品加成，建立科学补偿机制，推进分级诊疗制度建设，成功创建国家级“慢性病综合防控示范区”。</w:t>
      </w:r>
      <w:r>
        <w:rPr>
          <w:rFonts w:hint="eastAsia" w:eastAsia="仿宋_GB2312"/>
          <w:snapToGrid w:val="0"/>
          <w:sz w:val="32"/>
          <w:szCs w:val="32"/>
        </w:rPr>
        <w:t>完成行业协会商会与行政机关脱钩改革工作。推进农业农村改革，完成农村集体资产股权量化设置管理阶段性工作，组建新型农村集体经济并完成改革主体登记赋码，完成农村土地承包经营权确权登记颁证区级成果和档案整理项目验收。</w:t>
      </w:r>
    </w:p>
    <w:p w14:paraId="5BFD375A">
      <w:pPr>
        <w:overflowPunct w:val="0"/>
        <w:topLinePunct/>
        <w:adjustRightInd w:val="0"/>
        <w:snapToGrid w:val="0"/>
        <w:spacing w:line="592" w:lineRule="exact"/>
        <w:ind w:firstLine="680" w:firstLineChars="200"/>
        <w:rPr>
          <w:rFonts w:eastAsia="仿宋_GB2312"/>
          <w:snapToGrid w:val="0"/>
          <w:sz w:val="32"/>
          <w:szCs w:val="32"/>
        </w:rPr>
      </w:pPr>
      <w:r>
        <w:rPr>
          <w:rFonts w:hint="eastAsia" w:eastAsia="仿宋_GB2312"/>
          <w:b/>
          <w:snapToGrid w:val="0"/>
          <w:sz w:val="32"/>
          <w:szCs w:val="32"/>
        </w:rPr>
        <w:t>持续优化营商环境。</w:t>
      </w:r>
      <w:r>
        <w:rPr>
          <w:rFonts w:hint="eastAsia" w:eastAsia="仿宋_GB2312"/>
          <w:snapToGrid w:val="0"/>
          <w:sz w:val="32"/>
          <w:szCs w:val="32"/>
        </w:rPr>
        <w:t>深入推进“放管服”改革，清理取消37项行政审批事项，275项审批事项纳入“最多跑一次”清单，在全市率先推行“一窗式”综合审批服务，全省首家实现四省六地58个事项“跨省通办”。“互联网+政务服务”标准化建设取得实效，政务服务“一张网”持续向街道社区延伸。深入推进审批制度改革，在全省率先推广“政务服务联络官”制度，实现投资建设项目“帮办代办”全流程精准服务。持续优化营商环境，全市首个24小时政务自助专区正式启用，五华区不动产第二签约中心建成运营，在主城区率先开通水、电、气过户一门通办，连续两次进入全市《营商环境第三方评价红黑榜》红榜。</w:t>
      </w:r>
    </w:p>
    <w:p w14:paraId="099E9660">
      <w:pPr>
        <w:overflowPunct w:val="0"/>
        <w:topLinePunct/>
        <w:adjustRightInd w:val="0"/>
        <w:snapToGrid w:val="0"/>
        <w:spacing w:line="592" w:lineRule="exact"/>
        <w:ind w:firstLine="680" w:firstLineChars="200"/>
        <w:rPr>
          <w:rFonts w:eastAsia="仿宋_GB2312"/>
          <w:bCs/>
          <w:snapToGrid w:val="0"/>
          <w:sz w:val="32"/>
          <w:szCs w:val="32"/>
        </w:rPr>
      </w:pPr>
      <w:r>
        <w:rPr>
          <w:rFonts w:hint="eastAsia" w:eastAsia="仿宋_GB2312"/>
          <w:b/>
          <w:snapToGrid w:val="0"/>
          <w:sz w:val="32"/>
          <w:szCs w:val="32"/>
        </w:rPr>
        <w:t>加大招商引资力度。</w:t>
      </w:r>
      <w:r>
        <w:rPr>
          <w:rFonts w:hint="eastAsia" w:eastAsia="仿宋_GB2312"/>
          <w:bCs/>
          <w:snapToGrid w:val="0"/>
          <w:sz w:val="32"/>
          <w:szCs w:val="32"/>
        </w:rPr>
        <w:t>开展领导带队外出招商，区委、区政府主要领导带队，赴北京、浙江、深圳等地开展12次外出招商活动，考察接洽浙商银行股份有限公司等20余家企业。大力开展中介招商、以商招商，与今鼎华辰文化有限公司等企业签订招商合作协议，并积极开展招商项目策划、包装和推介，成功包装推介23个重点项目。围绕与五华区有合作意向的重点企业，筛选出“创新驱动、文化引领、基建旧改、金融保险、世界500强”等五类企业，集中签约18个重点合作项目。加大重点领域招商力度，全年共签约项目28个，协议投资额361.75亿元，省电力配售公司等总部企业落户五华。申报市外到位资金153.19亿元，实际利用外资5476.41万美元，分别完成全年目标任务的127%、100%。</w:t>
      </w:r>
    </w:p>
    <w:p w14:paraId="39BC9A28">
      <w:pPr>
        <w:overflowPunct w:val="0"/>
        <w:topLinePunct/>
        <w:adjustRightInd w:val="0"/>
        <w:snapToGrid w:val="0"/>
        <w:spacing w:line="592" w:lineRule="exact"/>
        <w:ind w:firstLine="680" w:firstLineChars="200"/>
        <w:rPr>
          <w:rFonts w:ascii="楷体_GB2312" w:eastAsia="楷体_GB2312"/>
          <w:snapToGrid w:val="0"/>
          <w:sz w:val="32"/>
          <w:szCs w:val="32"/>
        </w:rPr>
      </w:pPr>
      <w:r>
        <w:rPr>
          <w:rFonts w:hint="eastAsia" w:ascii="楷体_GB2312" w:eastAsia="楷体_GB2312"/>
          <w:snapToGrid w:val="0"/>
          <w:sz w:val="32"/>
          <w:szCs w:val="32"/>
        </w:rPr>
        <w:t>（六）完善城市功能品质，城乡实现协调发展</w:t>
      </w:r>
    </w:p>
    <w:p w14:paraId="790EC374">
      <w:pPr>
        <w:overflowPunct w:val="0"/>
        <w:topLinePunct/>
        <w:adjustRightInd w:val="0"/>
        <w:snapToGrid w:val="0"/>
        <w:spacing w:line="592" w:lineRule="exact"/>
        <w:ind w:firstLine="680" w:firstLineChars="200"/>
        <w:rPr>
          <w:rFonts w:eastAsia="仿宋_GB2312"/>
          <w:bCs/>
          <w:snapToGrid w:val="0"/>
          <w:sz w:val="32"/>
          <w:szCs w:val="32"/>
        </w:rPr>
      </w:pPr>
      <w:r>
        <w:rPr>
          <w:rFonts w:hint="eastAsia" w:eastAsia="仿宋_GB2312"/>
          <w:b/>
          <w:snapToGrid w:val="0"/>
          <w:sz w:val="32"/>
          <w:szCs w:val="32"/>
        </w:rPr>
        <w:t>加大基础设施建设力度。</w:t>
      </w:r>
      <w:r>
        <w:rPr>
          <w:rFonts w:hint="eastAsia" w:eastAsia="仿宋_GB2312"/>
          <w:bCs/>
          <w:snapToGrid w:val="0"/>
          <w:sz w:val="32"/>
          <w:szCs w:val="32"/>
        </w:rPr>
        <w:t>坚持规划引领，编制《昆明市五华区（主城部分）控制性详细规划》等12个专项规划，对9个村庄开展多规合一实用性规划编制，实现乡村建设规划许可全覆盖。推进城市更新改造，棕树营历史遗留项目破冰重启，实现土地收储3076亩、供应3946亩。完善市政基础设施，完成8条市政道路建设，配合市级完成地铁3号线、4号线建设。积极推进新型基础设施建设，建成5G基站96</w:t>
      </w:r>
      <w:r>
        <w:rPr>
          <w:rFonts w:eastAsia="仿宋_GB2312"/>
          <w:bCs/>
          <w:snapToGrid w:val="0"/>
          <w:sz w:val="32"/>
          <w:szCs w:val="32"/>
        </w:rPr>
        <w:t>5</w:t>
      </w:r>
      <w:r>
        <w:rPr>
          <w:rFonts w:hint="eastAsia" w:eastAsia="仿宋_GB2312"/>
          <w:bCs/>
          <w:snapToGrid w:val="0"/>
          <w:sz w:val="32"/>
          <w:szCs w:val="32"/>
        </w:rPr>
        <w:t>个。实施爱国卫生“7个专项行动”，新建600余个洗手池。</w:t>
      </w:r>
    </w:p>
    <w:p w14:paraId="16FDE38C">
      <w:pPr>
        <w:overflowPunct w:val="0"/>
        <w:topLinePunct/>
        <w:adjustRightInd w:val="0"/>
        <w:snapToGrid w:val="0"/>
        <w:spacing w:line="592" w:lineRule="exact"/>
        <w:ind w:firstLine="680" w:firstLineChars="200"/>
        <w:rPr>
          <w:rFonts w:eastAsia="仿宋_GB2312"/>
          <w:snapToGrid w:val="0"/>
          <w:sz w:val="32"/>
          <w:szCs w:val="32"/>
        </w:rPr>
      </w:pPr>
      <w:r>
        <w:rPr>
          <w:rFonts w:hint="eastAsia" w:eastAsia="仿宋_GB2312"/>
          <w:b/>
          <w:snapToGrid w:val="0"/>
          <w:sz w:val="32"/>
          <w:szCs w:val="32"/>
        </w:rPr>
        <w:t>不断提升城乡品质。</w:t>
      </w:r>
      <w:r>
        <w:rPr>
          <w:rFonts w:hint="eastAsia" w:eastAsia="仿宋_GB2312"/>
          <w:bCs/>
          <w:snapToGrid w:val="0"/>
          <w:sz w:val="32"/>
          <w:szCs w:val="32"/>
        </w:rPr>
        <w:t>常态长效巩固文明城市创建成果，在全市率先推行“七员入网”工作模式，垃圾分类实现各街道100%全覆盖，连续13个月排名全市第一。深入推进西站社区45号院等39个老旧小区“微改造”工程，按照“一路一景”改造提升30条重点道路，开展建筑景观亮化104幢，新增城市绿地16.65公顷。扎实推进翠湖周边历史文化片区整治提升，洗马河公园及16个博物馆建成开放，“小三山一水”格局初步显现，文明街成为省级历史文化街区。持续推进农村人居环境整治，累计绿化美化村庄11个，陡坡社区获评首批省级美丽宜居乡村，行政村全部创建为省级卫生村。</w:t>
      </w:r>
    </w:p>
    <w:p w14:paraId="518D1424">
      <w:pPr>
        <w:overflowPunct w:val="0"/>
        <w:topLinePunct/>
        <w:adjustRightInd w:val="0"/>
        <w:snapToGrid w:val="0"/>
        <w:spacing w:line="592" w:lineRule="exact"/>
        <w:ind w:firstLine="680" w:firstLineChars="200"/>
        <w:rPr>
          <w:rFonts w:eastAsia="仿宋_GB2312"/>
          <w:bCs/>
          <w:snapToGrid w:val="0"/>
          <w:sz w:val="32"/>
          <w:szCs w:val="32"/>
        </w:rPr>
      </w:pPr>
      <w:r>
        <w:rPr>
          <w:rFonts w:hint="eastAsia" w:eastAsia="仿宋_GB2312"/>
          <w:b/>
          <w:snapToGrid w:val="0"/>
          <w:sz w:val="32"/>
          <w:szCs w:val="32"/>
        </w:rPr>
        <w:t>持续改善生态环境。</w:t>
      </w:r>
      <w:r>
        <w:rPr>
          <w:rFonts w:hint="eastAsia" w:eastAsia="仿宋_GB2312"/>
          <w:bCs/>
          <w:snapToGrid w:val="0"/>
          <w:sz w:val="32"/>
          <w:szCs w:val="32"/>
        </w:rPr>
        <w:t>全力打好城市黑臭水体治理等“十二大专项”污染防治攻坚战，明确划定生态保护红线，全面构建生态环境监测网络。持续抓好中央、省环保督察“回头看”整改工作，累计完成问题整改50个。全面压实“三级河长四级治理”责任，“清四乱”综合整治实现常态化，盘龙江、新运粮河、大观河等入滇河道水质实现100%达标。全面提升生态环境，在全市率先实施“双层河道”建设工程，完成长虫山、石盆寺等2个面山滞蓄防洪工程，持续实施石盆寺等“五采区”植被修复工程，累计修复面积12375.94亩，完成义务植树70万株，全区森林覆盖率达到56.29%，获得“云南省生态文明区”称号。</w:t>
      </w:r>
    </w:p>
    <w:p w14:paraId="6EDC189E">
      <w:pPr>
        <w:overflowPunct w:val="0"/>
        <w:topLinePunct/>
        <w:adjustRightInd w:val="0"/>
        <w:snapToGrid w:val="0"/>
        <w:spacing w:line="592" w:lineRule="exact"/>
        <w:ind w:firstLine="680" w:firstLineChars="200"/>
        <w:rPr>
          <w:rFonts w:ascii="楷体_GB2312" w:eastAsia="楷体_GB2312"/>
          <w:snapToGrid w:val="0"/>
          <w:sz w:val="32"/>
          <w:szCs w:val="32"/>
        </w:rPr>
      </w:pPr>
      <w:r>
        <w:rPr>
          <w:rFonts w:hint="eastAsia" w:ascii="楷体_GB2312" w:eastAsia="楷体_GB2312"/>
          <w:snapToGrid w:val="0"/>
          <w:sz w:val="32"/>
          <w:szCs w:val="32"/>
        </w:rPr>
        <w:t>（七）着力提升民生福祉，发展成果全面共享</w:t>
      </w:r>
    </w:p>
    <w:p w14:paraId="72298EC0">
      <w:pPr>
        <w:overflowPunct w:val="0"/>
        <w:topLinePunct/>
        <w:adjustRightInd w:val="0"/>
        <w:snapToGrid w:val="0"/>
        <w:spacing w:line="592" w:lineRule="exact"/>
        <w:ind w:firstLine="680" w:firstLineChars="200"/>
        <w:rPr>
          <w:rFonts w:eastAsia="仿宋_GB2312"/>
          <w:bCs/>
          <w:snapToGrid w:val="0"/>
          <w:sz w:val="32"/>
          <w:szCs w:val="32"/>
          <w:lang w:val="zh-CN"/>
        </w:rPr>
      </w:pPr>
      <w:r>
        <w:rPr>
          <w:rFonts w:hint="eastAsia" w:eastAsia="仿宋_GB2312"/>
          <w:b/>
          <w:snapToGrid w:val="0"/>
          <w:sz w:val="32"/>
          <w:szCs w:val="32"/>
          <w:lang w:val="zh-CN"/>
        </w:rPr>
        <w:t>稳就业工作扎实推进。</w:t>
      </w:r>
      <w:r>
        <w:rPr>
          <w:rFonts w:hint="eastAsia" w:eastAsia="仿宋_GB2312"/>
          <w:bCs/>
          <w:snapToGrid w:val="0"/>
          <w:sz w:val="32"/>
          <w:szCs w:val="32"/>
          <w:lang w:val="zh-CN"/>
        </w:rPr>
        <w:t>坚持把稳就业作为头等大事来抓，构建“1+8+10+N”劳动就业创业服务体系，重点做好高校毕业生、城乡就业困难人员等重点人群创业就业，全年累计提供有效就业岗位30725个，实现城镇新增就业25052人，城镇登记失业率控制在5.3%以内。开展企业失业保险稳岗返还工作，为5616户符合条件的企业（含暂时性经营困难企业）发放资金1.79亿元，惠及职工17.76万人。优化创业就业环境，建立健全创业服务平台，全面落实创业担保贷款和“贷免扶补”等扶持创业的优惠政策，全年共发放创业担保贷款5707万元。</w:t>
      </w:r>
    </w:p>
    <w:p w14:paraId="38C96C9F">
      <w:pPr>
        <w:overflowPunct w:val="0"/>
        <w:topLinePunct/>
        <w:adjustRightInd w:val="0"/>
        <w:snapToGrid w:val="0"/>
        <w:spacing w:line="592" w:lineRule="exact"/>
        <w:ind w:firstLine="680" w:firstLineChars="200"/>
        <w:rPr>
          <w:rFonts w:eastAsia="仿宋_GB2312"/>
          <w:bCs/>
          <w:snapToGrid w:val="0"/>
          <w:sz w:val="32"/>
          <w:szCs w:val="32"/>
        </w:rPr>
      </w:pPr>
      <w:r>
        <w:rPr>
          <w:rFonts w:hint="eastAsia" w:eastAsia="仿宋_GB2312"/>
          <w:b/>
          <w:snapToGrid w:val="0"/>
          <w:sz w:val="32"/>
          <w:szCs w:val="32"/>
          <w:lang w:val="zh-CN"/>
        </w:rPr>
        <w:t>社会事业全面发展。</w:t>
      </w:r>
      <w:r>
        <w:rPr>
          <w:rFonts w:hint="eastAsia" w:eastAsia="仿宋_GB2312"/>
          <w:bCs/>
          <w:snapToGrid w:val="0"/>
          <w:sz w:val="32"/>
          <w:szCs w:val="32"/>
          <w:lang w:val="zh-CN"/>
        </w:rPr>
        <w:t>深入实施“三名”工程，引进名师6名，组建名校长基地2个，开设名师工作室49个。教育资源优质发展，在全省率先启动人工智能因材施教示范区项目，新成立春城小学、红旗小学2个教育集团。</w:t>
      </w:r>
      <w:r>
        <w:rPr>
          <w:rFonts w:hint="eastAsia" w:eastAsia="仿宋_GB2312"/>
          <w:bCs/>
          <w:snapToGrid w:val="0"/>
          <w:sz w:val="32"/>
          <w:szCs w:val="32"/>
        </w:rPr>
        <w:t>文化魅力持续彰显，第四批国家公共文化服务示范区顺利验收，“海鸥文化节”“蓝花楹文化节”等文化品牌影响力不断扩大，翠湖·讲武堂4A级景区完成申报，环翠湖博物馆群持续打造，4条旅游精品线路发布。医疗卫生能力提升，国家紧密型医疗卫生共同体试点区建设稳步推进，五华区人民医院暨康养中心建设提速，全科医生签约覆盖率达100%。民生保障更加牢固，探索“物质类救助＋服务类救助”模式，兜住低保对象、特困人员、残疾人等困难群众基本生活底线，全省首家社区型专业长期照护养老机构落户新闻里社区，全年配建公共租赁住房2688套，发放559户廉租住房租金租赁补贴110.67万元。</w:t>
      </w:r>
    </w:p>
    <w:p w14:paraId="1819C266">
      <w:pPr>
        <w:overflowPunct w:val="0"/>
        <w:topLinePunct/>
        <w:adjustRightInd w:val="0"/>
        <w:snapToGrid w:val="0"/>
        <w:spacing w:line="592" w:lineRule="exact"/>
        <w:ind w:firstLine="680" w:firstLineChars="200"/>
        <w:rPr>
          <w:rFonts w:eastAsia="仿宋_GB2312"/>
          <w:bCs/>
          <w:snapToGrid w:val="0"/>
          <w:sz w:val="32"/>
          <w:szCs w:val="32"/>
          <w:lang w:val="zh-CN"/>
        </w:rPr>
      </w:pPr>
      <w:r>
        <w:rPr>
          <w:rFonts w:hint="eastAsia" w:eastAsia="仿宋_GB2312"/>
          <w:b/>
          <w:snapToGrid w:val="0"/>
          <w:sz w:val="32"/>
          <w:szCs w:val="32"/>
          <w:lang w:val="zh-CN"/>
        </w:rPr>
        <w:t>治理能力有效提升。</w:t>
      </w:r>
      <w:r>
        <w:rPr>
          <w:rFonts w:hint="eastAsia" w:eastAsia="仿宋_GB2312"/>
          <w:bCs/>
          <w:snapToGrid w:val="0"/>
          <w:sz w:val="32"/>
          <w:szCs w:val="32"/>
          <w:lang w:val="zh-CN"/>
        </w:rPr>
        <w:t>“13337党建引领”工程深入实施，在全省率先实施“吹哨报到”治理模式，创新探索“以诉为哨、接诉即办、未诉先办”工作机制，累计吹哨4662件，部门报到5254次，直接受益群众达55万人次。“协商在基层”试点取得进展，通过居民协商为老旧小区加装电梯38部，20余个无人管理小区引入物业。“民事民提、民事民议”等机制逐步完善，成功创建全国“民主法治示范村（社区）”2个、省级“民主法治村（社区）”5个，市级民主法治街道创建实现全覆盖。新时代“枫桥经验”全面拓展，五华“智慧调解”试点在全省率先实现纠纷案件全流程网上办理，在全省首创“诉前委派调解服务中心”“未成年人关爱中心”，五华区成为全省基层社会治理试点县区。</w:t>
      </w:r>
    </w:p>
    <w:p w14:paraId="391F2AD8">
      <w:pPr>
        <w:overflowPunct w:val="0"/>
        <w:topLinePunct/>
        <w:adjustRightInd w:val="0"/>
        <w:snapToGrid w:val="0"/>
        <w:spacing w:line="592" w:lineRule="exact"/>
        <w:ind w:firstLine="680" w:firstLineChars="200"/>
        <w:rPr>
          <w:rFonts w:ascii="楷体_GB2312" w:eastAsia="楷体_GB2312"/>
          <w:b/>
          <w:bCs/>
          <w:snapToGrid w:val="0"/>
          <w:sz w:val="32"/>
          <w:szCs w:val="32"/>
          <w:lang w:val="zh-CN"/>
        </w:rPr>
      </w:pPr>
      <w:r>
        <w:rPr>
          <w:rFonts w:hint="eastAsia" w:ascii="楷体_GB2312" w:eastAsia="楷体_GB2312"/>
          <w:snapToGrid w:val="0"/>
          <w:sz w:val="32"/>
          <w:szCs w:val="32"/>
          <w:lang w:val="zh-CN"/>
        </w:rPr>
        <w:t>（八）立足实际谋划长远，高质量编制“十四五”规划</w:t>
      </w:r>
    </w:p>
    <w:p w14:paraId="3B8FA91A">
      <w:pPr>
        <w:overflowPunct w:val="0"/>
        <w:topLinePunct/>
        <w:adjustRightInd w:val="0"/>
        <w:snapToGrid w:val="0"/>
        <w:spacing w:line="592" w:lineRule="exact"/>
        <w:ind w:firstLine="680" w:firstLineChars="200"/>
        <w:rPr>
          <w:rFonts w:eastAsia="仿宋_GB2312"/>
          <w:bCs/>
          <w:snapToGrid w:val="0"/>
          <w:sz w:val="32"/>
          <w:szCs w:val="32"/>
          <w:lang w:val="zh-CN"/>
        </w:rPr>
      </w:pPr>
      <w:r>
        <w:rPr>
          <w:rFonts w:hint="eastAsia" w:eastAsia="仿宋_GB2312"/>
          <w:bCs/>
          <w:snapToGrid w:val="0"/>
          <w:sz w:val="32"/>
          <w:szCs w:val="32"/>
          <w:lang w:val="zh-CN"/>
        </w:rPr>
        <w:t>紧紧围绕市委对五华区提出的建设“历史文化名城核心区、科教创新先行区、现代服务业引领区”的战略定位，全力推进“十四五”规划编制工作，制定《五华区“十四五”规划编制工作实施方案》，提出18个重大前期研究课题和25个专项规划。创新规划工作方法和机制，夯实调查研究、认真摸清家底，不断强化前期重大课题参谋作用、专项规划的支撑作用和国土空间规划的基础作用，集智聚力高质量全面完成“十四五”规划编制工作，为建设区域性国际中心城市高品质核心区提供可靠的规划保障。</w:t>
      </w:r>
    </w:p>
    <w:p w14:paraId="3E1277E2">
      <w:pPr>
        <w:numPr>
          <w:ilvl w:val="0"/>
          <w:numId w:val="2"/>
        </w:numPr>
        <w:spacing w:before="69" w:line="560" w:lineRule="exact"/>
        <w:ind w:right="110"/>
        <w:rPr>
          <w:rFonts w:hint="eastAsia" w:ascii="黑体" w:hAnsi="黑体" w:eastAsia="黑体"/>
          <w:b/>
          <w:sz w:val="32"/>
          <w:szCs w:val="32"/>
        </w:rPr>
      </w:pPr>
      <w:r>
        <w:rPr>
          <w:rFonts w:hint="eastAsia" w:ascii="黑体" w:hAnsi="黑体" w:eastAsia="黑体"/>
          <w:b/>
          <w:sz w:val="32"/>
          <w:szCs w:val="32"/>
        </w:rPr>
        <w:t>经济运行情况</w:t>
      </w:r>
    </w:p>
    <w:p w14:paraId="5FE9CFF2">
      <w:pPr>
        <w:spacing w:line="560" w:lineRule="exact"/>
        <w:ind w:firstLine="680" w:firstLineChars="200"/>
        <w:rPr>
          <w:rFonts w:hint="eastAsia" w:ascii="仿宋_GB2312" w:eastAsia="仿宋_GB2312"/>
          <w:sz w:val="32"/>
          <w:szCs w:val="32"/>
        </w:rPr>
      </w:pPr>
      <w:r>
        <w:rPr>
          <w:rFonts w:hint="eastAsia" w:ascii="仿宋_GB2312" w:eastAsia="仿宋_GB2312"/>
          <w:sz w:val="32"/>
          <w:szCs w:val="32"/>
        </w:rPr>
        <w:t>年,面对复杂严峻的国内外形势,特别是突如其来的新冠肺炎疫情冲击,区委坚决按照党中央、省委、市委决策部署，扎实做好“六稳”工作，全面落实“六保”任务，确保经济社会发展大局稳定、态势向好。</w:t>
      </w:r>
    </w:p>
    <w:p w14:paraId="2335B171">
      <w:pPr>
        <w:spacing w:line="560" w:lineRule="exact"/>
        <w:ind w:left="640"/>
        <w:rPr>
          <w:rFonts w:ascii="黑体" w:hAnsi="黑体" w:eastAsia="黑体"/>
          <w:sz w:val="32"/>
          <w:szCs w:val="32"/>
        </w:rPr>
      </w:pPr>
      <w:r>
        <w:rPr>
          <w:rFonts w:hint="eastAsia" w:ascii="黑体" w:hAnsi="黑体" w:eastAsia="黑体"/>
          <w:sz w:val="32"/>
          <w:szCs w:val="32"/>
        </w:rPr>
        <w:t>（一）主要经济指标完成情况</w:t>
      </w:r>
    </w:p>
    <w:p w14:paraId="3F6926CE">
      <w:pPr>
        <w:spacing w:line="560" w:lineRule="exact"/>
        <w:ind w:firstLine="680" w:firstLineChars="200"/>
        <w:rPr>
          <w:rFonts w:ascii="楷体_GB2312" w:eastAsia="楷体_GB2312"/>
          <w:sz w:val="32"/>
          <w:szCs w:val="32"/>
        </w:rPr>
      </w:pPr>
      <w:r>
        <w:rPr>
          <w:rFonts w:hint="eastAsia" w:ascii="楷体_GB2312" w:eastAsia="楷体_GB2312"/>
          <w:sz w:val="32"/>
          <w:szCs w:val="32"/>
        </w:rPr>
        <w:t>1.地区生产总值</w:t>
      </w:r>
    </w:p>
    <w:p w14:paraId="49E8C9CE">
      <w:pPr>
        <w:spacing w:line="560" w:lineRule="exact"/>
        <w:ind w:firstLine="680" w:firstLineChars="200"/>
        <w:rPr>
          <w:rFonts w:ascii="仿宋_GB2312" w:eastAsia="仿宋_GB2312"/>
          <w:sz w:val="32"/>
          <w:szCs w:val="32"/>
        </w:rPr>
      </w:pPr>
      <w:r>
        <w:rPr>
          <w:rFonts w:hint="eastAsia" w:ascii="仿宋_GB2312" w:eastAsia="仿宋_GB2312"/>
          <w:sz w:val="32"/>
          <w:szCs w:val="32"/>
        </w:rPr>
        <w:t>年，五华区完成地区生产总值1</w:t>
      </w:r>
      <w:r>
        <w:rPr>
          <w:rFonts w:ascii="仿宋_GB2312" w:eastAsia="仿宋_GB2312"/>
          <w:sz w:val="32"/>
          <w:szCs w:val="32"/>
        </w:rPr>
        <w:t>242.35</w:t>
      </w:r>
      <w:r>
        <w:rPr>
          <w:rFonts w:hint="eastAsia" w:ascii="仿宋_GB2312" w:eastAsia="仿宋_GB2312"/>
          <w:sz w:val="32"/>
          <w:szCs w:val="32"/>
        </w:rPr>
        <w:t>亿元，按可比价计算，同比增长2</w:t>
      </w:r>
      <w:r>
        <w:rPr>
          <w:rFonts w:ascii="仿宋_GB2312" w:eastAsia="仿宋_GB2312"/>
          <w:sz w:val="32"/>
          <w:szCs w:val="32"/>
        </w:rPr>
        <w:t>.6%</w:t>
      </w:r>
      <w:r>
        <w:rPr>
          <w:rFonts w:hint="eastAsia" w:ascii="仿宋_GB2312" w:eastAsia="仿宋_GB2312"/>
          <w:sz w:val="32"/>
          <w:szCs w:val="32"/>
        </w:rPr>
        <w:t>。其中，第一产业增加值为</w:t>
      </w:r>
      <w:r>
        <w:rPr>
          <w:rFonts w:ascii="仿宋_GB2312" w:eastAsia="仿宋_GB2312"/>
          <w:sz w:val="32"/>
          <w:szCs w:val="32"/>
        </w:rPr>
        <w:t>2.59亿元，同比下降5.0%；第二产业增加值为491.86亿元，同比增长2.4%；第三产业增加值为747.90亿元，同比增长2.8%。</w:t>
      </w:r>
      <w:r>
        <w:rPr>
          <w:rFonts w:hint="eastAsia" w:ascii="仿宋_GB2312" w:eastAsia="仿宋_GB2312"/>
          <w:sz w:val="32"/>
          <w:szCs w:val="32"/>
        </w:rPr>
        <w:t>五华区是全市唯一四个季度均实现地区生产总值正增长的县区。三次产业结构比为0</w:t>
      </w: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39.6</w:t>
      </w:r>
      <w:r>
        <w:rPr>
          <w:rFonts w:hint="eastAsia" w:ascii="仿宋_GB2312" w:eastAsia="仿宋_GB2312"/>
          <w:sz w:val="32"/>
          <w:szCs w:val="32"/>
        </w:rPr>
        <w:t>:</w:t>
      </w:r>
      <w:r>
        <w:rPr>
          <w:rFonts w:ascii="仿宋_GB2312" w:eastAsia="仿宋_GB2312"/>
          <w:sz w:val="32"/>
          <w:szCs w:val="32"/>
        </w:rPr>
        <w:t>60.2</w:t>
      </w:r>
      <w:r>
        <w:rPr>
          <w:rFonts w:hint="eastAsia" w:ascii="仿宋_GB2312" w:eastAsia="仿宋_GB2312"/>
          <w:sz w:val="32"/>
          <w:szCs w:val="32"/>
        </w:rPr>
        <w:t>，第三产业占比逐年提升，现代都市经济产业结构特征更加明显。</w:t>
      </w:r>
    </w:p>
    <w:p w14:paraId="6D038B6B">
      <w:pPr>
        <w:spacing w:line="560" w:lineRule="exact"/>
        <w:ind w:firstLine="680" w:firstLineChars="200"/>
        <w:rPr>
          <w:rFonts w:ascii="楷体_GB2312" w:hAnsi="黑体" w:eastAsia="楷体_GB2312"/>
          <w:sz w:val="32"/>
          <w:szCs w:val="32"/>
        </w:rPr>
      </w:pPr>
      <w:r>
        <w:rPr>
          <w:rFonts w:hint="eastAsia" w:ascii="楷体_GB2312" w:hAnsi="黑体" w:eastAsia="楷体_GB2312"/>
          <w:sz w:val="32"/>
          <w:szCs w:val="32"/>
        </w:rPr>
        <w:t>2.消费市场逐步回暖</w:t>
      </w:r>
    </w:p>
    <w:p w14:paraId="5AAF2F97">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2020年，五华区完成</w:t>
      </w:r>
      <w:bookmarkStart w:id="1" w:name="_Hlk63253804"/>
      <w:r>
        <w:rPr>
          <w:rFonts w:hint="eastAsia" w:ascii="仿宋_GB2312" w:hAnsi="黑体" w:eastAsia="仿宋_GB2312"/>
          <w:sz w:val="32"/>
          <w:szCs w:val="32"/>
        </w:rPr>
        <w:t>社会消费品零售总额</w:t>
      </w:r>
      <w:bookmarkEnd w:id="1"/>
      <w:r>
        <w:rPr>
          <w:rFonts w:hint="eastAsia" w:ascii="仿宋_GB2312" w:hAnsi="黑体" w:eastAsia="仿宋_GB2312"/>
          <w:sz w:val="32"/>
          <w:szCs w:val="32"/>
        </w:rPr>
        <w:t>5</w:t>
      </w:r>
      <w:r>
        <w:rPr>
          <w:rFonts w:ascii="仿宋_GB2312" w:hAnsi="黑体" w:eastAsia="仿宋_GB2312"/>
          <w:sz w:val="32"/>
          <w:szCs w:val="32"/>
        </w:rPr>
        <w:t>96.12</w:t>
      </w:r>
      <w:r>
        <w:rPr>
          <w:rFonts w:hint="eastAsia" w:ascii="仿宋_GB2312" w:hAnsi="黑体" w:eastAsia="仿宋_GB2312"/>
          <w:sz w:val="32"/>
          <w:szCs w:val="32"/>
        </w:rPr>
        <w:t>亿元，同比下降4</w:t>
      </w:r>
      <w:r>
        <w:rPr>
          <w:rFonts w:ascii="仿宋_GB2312" w:hAnsi="黑体" w:eastAsia="仿宋_GB2312"/>
          <w:sz w:val="32"/>
          <w:szCs w:val="32"/>
        </w:rPr>
        <w:t>.5%</w:t>
      </w:r>
      <w:r>
        <w:rPr>
          <w:rFonts w:hint="eastAsia" w:ascii="仿宋_GB2312" w:hAnsi="黑体" w:eastAsia="仿宋_GB2312"/>
          <w:sz w:val="32"/>
          <w:szCs w:val="32"/>
        </w:rPr>
        <w:t>。其中，限额以上社会消费品零售总额完成1</w:t>
      </w:r>
      <w:r>
        <w:rPr>
          <w:rFonts w:ascii="仿宋_GB2312" w:hAnsi="黑体" w:eastAsia="仿宋_GB2312"/>
          <w:sz w:val="32"/>
          <w:szCs w:val="32"/>
        </w:rPr>
        <w:t>87.48</w:t>
      </w:r>
      <w:r>
        <w:rPr>
          <w:rFonts w:hint="eastAsia" w:ascii="仿宋_GB2312" w:hAnsi="黑体" w:eastAsia="仿宋_GB2312"/>
          <w:sz w:val="32"/>
          <w:szCs w:val="32"/>
        </w:rPr>
        <w:t>亿元，同比下降4</w:t>
      </w:r>
      <w:r>
        <w:rPr>
          <w:rFonts w:ascii="仿宋_GB2312" w:hAnsi="黑体" w:eastAsia="仿宋_GB2312"/>
          <w:sz w:val="32"/>
          <w:szCs w:val="32"/>
        </w:rPr>
        <w:t>.2%</w:t>
      </w:r>
      <w:r>
        <w:rPr>
          <w:rFonts w:hint="eastAsia" w:ascii="仿宋_GB2312" w:hAnsi="黑体" w:eastAsia="仿宋_GB2312"/>
          <w:sz w:val="32"/>
          <w:szCs w:val="32"/>
        </w:rPr>
        <w:t>。社会消费品零售总额该项指标虽然全年未实现正增长，但从季度数据来看，消费市场是处于逐步回暖的，一季度、上半年、前三季度增加了5</w:t>
      </w:r>
      <w:r>
        <w:rPr>
          <w:rFonts w:ascii="仿宋_GB2312" w:hAnsi="黑体" w:eastAsia="仿宋_GB2312"/>
          <w:sz w:val="32"/>
          <w:szCs w:val="32"/>
        </w:rPr>
        <w:t>.2</w:t>
      </w:r>
      <w:r>
        <w:rPr>
          <w:rFonts w:hint="eastAsia" w:ascii="仿宋_GB2312" w:hAnsi="黑体" w:eastAsia="仿宋_GB2312"/>
          <w:sz w:val="32"/>
          <w:szCs w:val="32"/>
        </w:rPr>
        <w:t>、</w:t>
      </w:r>
      <w:r>
        <w:rPr>
          <w:rFonts w:ascii="仿宋_GB2312" w:hAnsi="黑体" w:eastAsia="仿宋_GB2312"/>
          <w:sz w:val="32"/>
          <w:szCs w:val="32"/>
        </w:rPr>
        <w:t>1</w:t>
      </w:r>
      <w:r>
        <w:rPr>
          <w:rFonts w:hint="eastAsia" w:ascii="仿宋_GB2312" w:hAnsi="黑体" w:eastAsia="仿宋_GB2312"/>
          <w:sz w:val="32"/>
          <w:szCs w:val="32"/>
        </w:rPr>
        <w:t>、</w:t>
      </w:r>
      <w:r>
        <w:rPr>
          <w:rFonts w:ascii="仿宋_GB2312" w:hAnsi="黑体" w:eastAsia="仿宋_GB2312"/>
          <w:sz w:val="32"/>
          <w:szCs w:val="32"/>
        </w:rPr>
        <w:t>0.8</w:t>
      </w:r>
      <w:r>
        <w:rPr>
          <w:rFonts w:hint="eastAsia" w:ascii="仿宋_GB2312" w:hAnsi="黑体" w:eastAsia="仿宋_GB2312"/>
          <w:sz w:val="32"/>
          <w:szCs w:val="32"/>
        </w:rPr>
        <w:t>个百分点，但是回暖速度低于全市水平。</w:t>
      </w:r>
    </w:p>
    <w:p w14:paraId="3E43C6E7">
      <w:pPr>
        <w:spacing w:line="560" w:lineRule="exact"/>
        <w:ind w:firstLine="680" w:firstLineChars="200"/>
        <w:rPr>
          <w:rFonts w:ascii="仿宋_GB2312" w:hAnsi="黑体" w:eastAsia="仿宋_GB2312"/>
          <w:sz w:val="32"/>
          <w:szCs w:val="32"/>
        </w:rPr>
      </w:pPr>
      <w:r>
        <w:rPr>
          <w:rFonts w:ascii="仿宋_GB2312" w:hAnsi="黑体" w:eastAsia="仿宋_GB2312"/>
          <w:sz w:val="32"/>
          <w:szCs w:val="32"/>
          <w:lang/>
        </w:rPr>
        <w:drawing>
          <wp:anchor distT="0" distB="0" distL="114300" distR="114300" simplePos="0" relativeHeight="251659264" behindDoc="1" locked="0" layoutInCell="1" allowOverlap="1">
            <wp:simplePos x="0" y="0"/>
            <wp:positionH relativeFrom="column">
              <wp:posOffset>572770</wp:posOffset>
            </wp:positionH>
            <wp:positionV relativeFrom="paragraph">
              <wp:posOffset>233045</wp:posOffset>
            </wp:positionV>
            <wp:extent cx="4584700" cy="2755900"/>
            <wp:effectExtent l="0" t="0" r="6350" b="6350"/>
            <wp:wrapTight wrapText="bothSides">
              <wp:wrapPolygon>
                <wp:start x="0" y="0"/>
                <wp:lineTo x="0" y="21500"/>
                <wp:lineTo x="21540" y="21500"/>
                <wp:lineTo x="21540" y="0"/>
                <wp:lineTo x="0" y="0"/>
              </wp:wrapPolygon>
            </wp:wrapTight>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1"/>
                    <a:stretch>
                      <a:fillRect/>
                    </a:stretch>
                  </pic:blipFill>
                  <pic:spPr>
                    <a:xfrm>
                      <a:off x="0" y="0"/>
                      <a:ext cx="4584700" cy="2755900"/>
                    </a:xfrm>
                    <a:prstGeom prst="rect">
                      <a:avLst/>
                    </a:prstGeom>
                    <a:noFill/>
                    <a:ln>
                      <a:noFill/>
                    </a:ln>
                  </pic:spPr>
                </pic:pic>
              </a:graphicData>
            </a:graphic>
          </wp:anchor>
        </w:drawing>
      </w:r>
      <w:r>
        <w:rPr>
          <w:rFonts w:hint="eastAsia" w:ascii="仿宋_GB2312" w:hAnsi="黑体" w:eastAsia="仿宋_GB2312"/>
          <w:sz w:val="32"/>
          <w:szCs w:val="32"/>
        </w:rPr>
        <w:t xml:space="preserve"> </w:t>
      </w:r>
    </w:p>
    <w:p w14:paraId="49639B9A">
      <w:pPr>
        <w:spacing w:line="560" w:lineRule="exact"/>
        <w:ind w:firstLine="680" w:firstLineChars="200"/>
        <w:rPr>
          <w:rFonts w:ascii="仿宋_GB2312" w:hAnsi="黑体" w:eastAsia="仿宋_GB2312"/>
          <w:sz w:val="32"/>
          <w:szCs w:val="32"/>
        </w:rPr>
      </w:pPr>
    </w:p>
    <w:p w14:paraId="0C9019E9">
      <w:pPr>
        <w:spacing w:line="560" w:lineRule="exact"/>
        <w:ind w:firstLine="680" w:firstLineChars="200"/>
        <w:rPr>
          <w:rFonts w:ascii="仿宋_GB2312" w:hAnsi="黑体" w:eastAsia="仿宋_GB2312"/>
          <w:sz w:val="32"/>
          <w:szCs w:val="32"/>
        </w:rPr>
      </w:pPr>
    </w:p>
    <w:p w14:paraId="42A26CE3">
      <w:pPr>
        <w:spacing w:line="560" w:lineRule="exact"/>
        <w:ind w:firstLine="680" w:firstLineChars="200"/>
        <w:rPr>
          <w:rFonts w:ascii="仿宋_GB2312" w:hAnsi="黑体" w:eastAsia="仿宋_GB2312"/>
          <w:sz w:val="32"/>
          <w:szCs w:val="32"/>
        </w:rPr>
      </w:pPr>
    </w:p>
    <w:p w14:paraId="094C1838">
      <w:pPr>
        <w:spacing w:line="560" w:lineRule="exact"/>
        <w:ind w:firstLine="680" w:firstLineChars="200"/>
        <w:rPr>
          <w:rFonts w:ascii="仿宋_GB2312" w:hAnsi="黑体" w:eastAsia="仿宋_GB2312"/>
          <w:sz w:val="32"/>
          <w:szCs w:val="32"/>
        </w:rPr>
      </w:pPr>
    </w:p>
    <w:p w14:paraId="2AFB585E">
      <w:pPr>
        <w:spacing w:line="560" w:lineRule="exact"/>
        <w:ind w:firstLine="680" w:firstLineChars="200"/>
        <w:rPr>
          <w:rFonts w:ascii="仿宋_GB2312" w:hAnsi="黑体" w:eastAsia="仿宋_GB2312"/>
          <w:sz w:val="32"/>
          <w:szCs w:val="32"/>
        </w:rPr>
      </w:pPr>
    </w:p>
    <w:p w14:paraId="1FED6A8F">
      <w:pPr>
        <w:spacing w:line="560" w:lineRule="exact"/>
        <w:ind w:firstLine="680" w:firstLineChars="200"/>
        <w:rPr>
          <w:rFonts w:ascii="仿宋_GB2312" w:hAnsi="黑体" w:eastAsia="仿宋_GB2312"/>
          <w:sz w:val="32"/>
          <w:szCs w:val="32"/>
        </w:rPr>
      </w:pPr>
    </w:p>
    <w:p w14:paraId="5DC6FF8A">
      <w:pPr>
        <w:spacing w:line="560" w:lineRule="exact"/>
        <w:ind w:firstLine="510" w:firstLineChars="150"/>
        <w:rPr>
          <w:rFonts w:hint="eastAsia" w:ascii="楷体_GB2312" w:hAnsi="黑体" w:eastAsia="楷体_GB2312"/>
          <w:sz w:val="32"/>
          <w:szCs w:val="32"/>
        </w:rPr>
      </w:pPr>
    </w:p>
    <w:p w14:paraId="27581139">
      <w:pPr>
        <w:spacing w:line="560" w:lineRule="exact"/>
        <w:ind w:firstLine="510" w:firstLineChars="150"/>
        <w:rPr>
          <w:rFonts w:hint="eastAsia" w:ascii="楷体_GB2312" w:hAnsi="黑体" w:eastAsia="楷体_GB2312"/>
          <w:sz w:val="32"/>
          <w:szCs w:val="32"/>
        </w:rPr>
      </w:pPr>
    </w:p>
    <w:p w14:paraId="7FA7D03C">
      <w:pPr>
        <w:spacing w:line="560" w:lineRule="exact"/>
        <w:ind w:firstLine="510" w:firstLineChars="150"/>
        <w:rPr>
          <w:rFonts w:ascii="楷体_GB2312" w:hAnsi="黑体" w:eastAsia="楷体_GB2312"/>
          <w:sz w:val="32"/>
          <w:szCs w:val="32"/>
        </w:rPr>
      </w:pPr>
      <w:r>
        <w:rPr>
          <w:rFonts w:hint="eastAsia" w:ascii="楷体_GB2312" w:hAnsi="黑体" w:eastAsia="楷体_GB2312"/>
          <w:sz w:val="32"/>
          <w:szCs w:val="32"/>
        </w:rPr>
        <w:t>3.固定资产投资增长动能不足</w:t>
      </w:r>
    </w:p>
    <w:p w14:paraId="3C2AA080">
      <w:pPr>
        <w:spacing w:line="560" w:lineRule="exact"/>
        <w:ind w:firstLine="645"/>
        <w:rPr>
          <w:rFonts w:ascii="仿宋_GB2312" w:hAnsi="黑体" w:eastAsia="仿宋_GB2312"/>
          <w:sz w:val="32"/>
          <w:szCs w:val="32"/>
        </w:rPr>
      </w:pPr>
      <w:r>
        <w:rPr>
          <w:rFonts w:hint="eastAsia" w:ascii="仿宋_GB2312" w:hAnsi="黑体" w:eastAsia="仿宋_GB2312"/>
          <w:sz w:val="32"/>
          <w:szCs w:val="32"/>
        </w:rPr>
        <w:t>2020年，五华区固定资产投资同比下降</w:t>
      </w:r>
      <w:r>
        <w:rPr>
          <w:rFonts w:ascii="仿宋_GB2312" w:hAnsi="黑体" w:eastAsia="仿宋_GB2312"/>
          <w:sz w:val="32"/>
          <w:szCs w:val="32"/>
        </w:rPr>
        <w:t>5.4%，降幅低于昆明市13.5个百分点（昆明市增长8.1%）。其中，非房地产开发投资下降8.1%，</w:t>
      </w:r>
      <w:r>
        <w:rPr>
          <w:rFonts w:hint="eastAsia" w:ascii="仿宋_GB2312" w:hAnsi="黑体" w:eastAsia="仿宋_GB2312"/>
          <w:sz w:val="32"/>
          <w:szCs w:val="32"/>
        </w:rPr>
        <w:t>低于昆明市1</w:t>
      </w:r>
      <w:r>
        <w:rPr>
          <w:rFonts w:ascii="仿宋_GB2312" w:hAnsi="黑体" w:eastAsia="仿宋_GB2312"/>
          <w:sz w:val="32"/>
          <w:szCs w:val="32"/>
        </w:rPr>
        <w:t>6.3</w:t>
      </w:r>
      <w:r>
        <w:rPr>
          <w:rFonts w:hint="eastAsia" w:ascii="仿宋_GB2312" w:hAnsi="黑体" w:eastAsia="仿宋_GB2312"/>
          <w:sz w:val="32"/>
          <w:szCs w:val="32"/>
        </w:rPr>
        <w:t>个百分点，</w:t>
      </w:r>
      <w:r>
        <w:rPr>
          <w:rFonts w:ascii="仿宋_GB2312" w:hAnsi="黑体" w:eastAsia="仿宋_GB2312"/>
          <w:sz w:val="32"/>
          <w:szCs w:val="32"/>
        </w:rPr>
        <w:t>房地产开发投资下降4.2%</w:t>
      </w:r>
      <w:r>
        <w:rPr>
          <w:rFonts w:hint="eastAsia" w:ascii="仿宋_GB2312" w:hAnsi="黑体" w:eastAsia="仿宋_GB2312"/>
          <w:sz w:val="32"/>
          <w:szCs w:val="32"/>
        </w:rPr>
        <w:t>，低于全市1</w:t>
      </w:r>
      <w:r>
        <w:rPr>
          <w:rFonts w:ascii="仿宋_GB2312" w:hAnsi="黑体" w:eastAsia="仿宋_GB2312"/>
          <w:sz w:val="32"/>
          <w:szCs w:val="32"/>
        </w:rPr>
        <w:t>2.2</w:t>
      </w:r>
      <w:r>
        <w:rPr>
          <w:rFonts w:hint="eastAsia" w:ascii="仿宋_GB2312" w:hAnsi="黑体" w:eastAsia="仿宋_GB2312"/>
          <w:sz w:val="32"/>
          <w:szCs w:val="32"/>
        </w:rPr>
        <w:t>个百分点</w:t>
      </w:r>
      <w:r>
        <w:rPr>
          <w:rFonts w:ascii="仿宋_GB2312" w:hAnsi="黑体" w:eastAsia="仿宋_GB2312"/>
          <w:sz w:val="32"/>
          <w:szCs w:val="32"/>
        </w:rPr>
        <w:t>。</w:t>
      </w:r>
      <w:r>
        <w:rPr>
          <w:rFonts w:hint="eastAsia" w:ascii="仿宋_GB2312" w:hAnsi="黑体" w:eastAsia="仿宋_GB2312"/>
          <w:sz w:val="32"/>
          <w:szCs w:val="32"/>
        </w:rPr>
        <w:t>我区固定资产投资房地产开发占据主导地位，房地产开发投资占全区固定资产投资比重达到</w:t>
      </w:r>
      <w:r>
        <w:rPr>
          <w:rFonts w:ascii="仿宋_GB2312" w:hAnsi="黑体" w:eastAsia="仿宋_GB2312"/>
          <w:sz w:val="32"/>
          <w:szCs w:val="32"/>
        </w:rPr>
        <w:t>68.6%</w:t>
      </w:r>
      <w:r>
        <w:rPr>
          <w:rFonts w:hint="eastAsia" w:ascii="仿宋_GB2312" w:hAnsi="黑体" w:eastAsia="仿宋_GB2312"/>
          <w:sz w:val="32"/>
          <w:szCs w:val="32"/>
        </w:rPr>
        <w:t>。</w:t>
      </w:r>
      <w:r>
        <w:rPr>
          <w:rFonts w:ascii="仿宋_GB2312" w:hAnsi="黑体" w:eastAsia="仿宋_GB2312"/>
          <w:sz w:val="32"/>
          <w:szCs w:val="32"/>
        </w:rPr>
        <w:t>年全区商品房销售面积（不含高新区）完成181.88万平方米，同比下降31.87%。</w:t>
      </w:r>
    </w:p>
    <w:p w14:paraId="58BDB392">
      <w:pPr>
        <w:spacing w:line="560" w:lineRule="exact"/>
        <w:ind w:firstLine="645"/>
        <w:rPr>
          <w:rFonts w:ascii="仿宋_GB2312" w:hAnsi="黑体" w:eastAsia="仿宋_GB2312"/>
          <w:sz w:val="32"/>
          <w:szCs w:val="32"/>
        </w:rPr>
      </w:pPr>
      <w:r>
        <w:rPr>
          <w:rFonts w:hint="eastAsia" w:ascii="仿宋_GB2312" w:hAnsi="黑体" w:eastAsia="仿宋_GB2312"/>
          <w:sz w:val="32"/>
          <w:szCs w:val="32"/>
        </w:rPr>
        <w:t>从投资产业看，第一、二、三产业投资（不含省市跨境项目，下同）占全区固定资产投资占比分别为</w:t>
      </w:r>
      <w:r>
        <w:rPr>
          <w:rFonts w:ascii="仿宋_GB2312" w:hAnsi="黑体" w:eastAsia="仿宋_GB2312"/>
          <w:sz w:val="32"/>
          <w:szCs w:val="32"/>
        </w:rPr>
        <w:t>0.06%、2.42%、97.52%，</w:t>
      </w:r>
      <w:r>
        <w:rPr>
          <w:rFonts w:hint="eastAsia" w:ascii="仿宋_GB2312" w:hAnsi="黑体" w:eastAsia="仿宋_GB2312"/>
          <w:sz w:val="32"/>
          <w:szCs w:val="32"/>
        </w:rPr>
        <w:t>投资基本投向第三产业，与我区三次产业结构相一致。</w:t>
      </w:r>
    </w:p>
    <w:p w14:paraId="0C972B88">
      <w:pPr>
        <w:spacing w:line="560" w:lineRule="exact"/>
        <w:jc w:val="center"/>
        <w:rPr>
          <w:rFonts w:ascii="仿宋_GB2312" w:hAnsi="黑体" w:eastAsia="仿宋_GB2312"/>
          <w:sz w:val="32"/>
          <w:szCs w:val="32"/>
        </w:rPr>
      </w:pPr>
      <w:r>
        <w:rPr>
          <w:rFonts w:hint="eastAsia" w:ascii="仿宋_GB2312" w:hAnsi="黑体" w:eastAsia="仿宋_GB2312"/>
          <w:sz w:val="32"/>
          <w:szCs w:val="32"/>
        </w:rPr>
        <w:t>区属非房地产固定资产投资重点领域投资情况</w:t>
      </w:r>
    </w:p>
    <w:tbl>
      <w:tblPr>
        <w:tblStyle w:val="13"/>
        <w:tblW w:w="6804" w:type="dxa"/>
        <w:tblInd w:w="851" w:type="dxa"/>
        <w:tblLayout w:type="autofit"/>
        <w:tblCellMar>
          <w:top w:w="0" w:type="dxa"/>
          <w:left w:w="108" w:type="dxa"/>
          <w:bottom w:w="0" w:type="dxa"/>
          <w:right w:w="108" w:type="dxa"/>
        </w:tblCellMar>
      </w:tblPr>
      <w:tblGrid>
        <w:gridCol w:w="4819"/>
        <w:gridCol w:w="1985"/>
      </w:tblGrid>
      <w:tr w14:paraId="4FDED30F">
        <w:tblPrEx>
          <w:tblCellMar>
            <w:top w:w="0" w:type="dxa"/>
            <w:left w:w="108" w:type="dxa"/>
            <w:bottom w:w="0" w:type="dxa"/>
            <w:right w:w="108" w:type="dxa"/>
          </w:tblCellMar>
        </w:tblPrEx>
        <w:trPr>
          <w:wBefore w:w="0" w:type="dxa"/>
          <w:trHeight w:val="480" w:hRule="atLeast"/>
        </w:trPr>
        <w:tc>
          <w:tcPr>
            <w:tcW w:w="4819" w:type="dxa"/>
            <w:tcBorders>
              <w:top w:val="single" w:color="auto" w:sz="4" w:space="0"/>
              <w:left w:val="nil"/>
              <w:bottom w:val="single" w:color="auto" w:sz="4" w:space="0"/>
              <w:right w:val="single" w:color="auto" w:sz="4" w:space="0"/>
            </w:tcBorders>
            <w:noWrap w:val="0"/>
            <w:vAlign w:val="center"/>
          </w:tcPr>
          <w:p w14:paraId="61539DCE">
            <w:pPr>
              <w:widowControl/>
              <w:jc w:val="center"/>
              <w:rPr>
                <w:rFonts w:ascii="等线" w:hAnsi="等线" w:eastAsia="等线" w:cs="宋体"/>
                <w:kern w:val="0"/>
                <w:sz w:val="22"/>
              </w:rPr>
            </w:pPr>
            <w:r>
              <w:rPr>
                <w:rFonts w:hint="eastAsia" w:ascii="等线" w:hAnsi="等线" w:eastAsia="等线" w:cs="宋体"/>
                <w:kern w:val="0"/>
                <w:sz w:val="22"/>
              </w:rPr>
              <w:t>行业名称</w:t>
            </w:r>
          </w:p>
        </w:tc>
        <w:tc>
          <w:tcPr>
            <w:tcW w:w="1985" w:type="dxa"/>
            <w:tcBorders>
              <w:top w:val="single" w:color="auto" w:sz="4" w:space="0"/>
              <w:left w:val="nil"/>
              <w:bottom w:val="single" w:color="auto" w:sz="4" w:space="0"/>
              <w:right w:val="nil"/>
            </w:tcBorders>
            <w:noWrap w:val="0"/>
            <w:vAlign w:val="center"/>
          </w:tcPr>
          <w:p w14:paraId="28396009">
            <w:pPr>
              <w:widowControl/>
              <w:jc w:val="center"/>
              <w:rPr>
                <w:rFonts w:ascii="等线" w:hAnsi="等线" w:eastAsia="等线" w:cs="宋体"/>
                <w:kern w:val="0"/>
                <w:sz w:val="22"/>
              </w:rPr>
            </w:pPr>
            <w:r>
              <w:rPr>
                <w:rFonts w:hint="eastAsia" w:ascii="等线" w:hAnsi="等线" w:eastAsia="等线" w:cs="宋体"/>
                <w:kern w:val="0"/>
                <w:sz w:val="22"/>
              </w:rPr>
              <w:t>占比（%）</w:t>
            </w:r>
          </w:p>
        </w:tc>
      </w:tr>
      <w:tr w14:paraId="10D8A986">
        <w:tblPrEx>
          <w:tblCellMar>
            <w:top w:w="0" w:type="dxa"/>
            <w:left w:w="108" w:type="dxa"/>
            <w:bottom w:w="0" w:type="dxa"/>
            <w:right w:w="108" w:type="dxa"/>
          </w:tblCellMar>
        </w:tblPrEx>
        <w:trPr>
          <w:wBefore w:w="0" w:type="dxa"/>
          <w:trHeight w:val="285" w:hRule="atLeast"/>
        </w:trPr>
        <w:tc>
          <w:tcPr>
            <w:tcW w:w="4819" w:type="dxa"/>
            <w:tcBorders>
              <w:top w:val="nil"/>
              <w:left w:val="nil"/>
              <w:bottom w:val="nil"/>
              <w:right w:val="single" w:color="auto" w:sz="4" w:space="0"/>
            </w:tcBorders>
            <w:noWrap w:val="0"/>
            <w:vAlign w:val="bottom"/>
          </w:tcPr>
          <w:p w14:paraId="733F97EA">
            <w:pPr>
              <w:widowControl/>
              <w:jc w:val="left"/>
              <w:rPr>
                <w:rFonts w:ascii="等线" w:hAnsi="等线" w:eastAsia="等线" w:cs="宋体"/>
                <w:kern w:val="0"/>
                <w:sz w:val="22"/>
              </w:rPr>
            </w:pPr>
            <w:r>
              <w:rPr>
                <w:rFonts w:hint="eastAsia" w:ascii="等线" w:hAnsi="等线" w:eastAsia="等线" w:cs="宋体"/>
                <w:kern w:val="0"/>
                <w:sz w:val="22"/>
              </w:rPr>
              <w:t>工业投资</w:t>
            </w:r>
          </w:p>
        </w:tc>
        <w:tc>
          <w:tcPr>
            <w:tcW w:w="1985" w:type="dxa"/>
            <w:tcBorders>
              <w:top w:val="nil"/>
              <w:left w:val="nil"/>
              <w:bottom w:val="nil"/>
              <w:right w:val="nil"/>
            </w:tcBorders>
            <w:noWrap w:val="0"/>
            <w:vAlign w:val="bottom"/>
          </w:tcPr>
          <w:p w14:paraId="4844F550">
            <w:pPr>
              <w:widowControl/>
              <w:jc w:val="right"/>
              <w:rPr>
                <w:rFonts w:ascii="等线" w:hAnsi="等线" w:eastAsia="等线" w:cs="宋体"/>
                <w:kern w:val="0"/>
                <w:sz w:val="22"/>
              </w:rPr>
            </w:pPr>
            <w:r>
              <w:rPr>
                <w:rFonts w:hint="eastAsia" w:ascii="等线" w:hAnsi="等线" w:eastAsia="等线" w:cs="宋体"/>
                <w:kern w:val="0"/>
                <w:sz w:val="22"/>
              </w:rPr>
              <w:t>15.5</w:t>
            </w:r>
          </w:p>
        </w:tc>
      </w:tr>
      <w:tr w14:paraId="7FC38A40">
        <w:tblPrEx>
          <w:tblCellMar>
            <w:top w:w="0" w:type="dxa"/>
            <w:left w:w="108" w:type="dxa"/>
            <w:bottom w:w="0" w:type="dxa"/>
            <w:right w:w="108" w:type="dxa"/>
          </w:tblCellMar>
        </w:tblPrEx>
        <w:trPr>
          <w:wBefore w:w="0" w:type="dxa"/>
          <w:trHeight w:val="285" w:hRule="atLeast"/>
        </w:trPr>
        <w:tc>
          <w:tcPr>
            <w:tcW w:w="4819" w:type="dxa"/>
            <w:tcBorders>
              <w:top w:val="nil"/>
              <w:left w:val="nil"/>
              <w:bottom w:val="nil"/>
              <w:right w:val="single" w:color="auto" w:sz="4" w:space="0"/>
            </w:tcBorders>
            <w:noWrap w:val="0"/>
            <w:vAlign w:val="bottom"/>
          </w:tcPr>
          <w:p w14:paraId="3CC944B4">
            <w:pPr>
              <w:widowControl/>
              <w:jc w:val="left"/>
              <w:rPr>
                <w:rFonts w:ascii="等线" w:hAnsi="等线" w:eastAsia="等线" w:cs="宋体"/>
                <w:kern w:val="0"/>
                <w:sz w:val="22"/>
              </w:rPr>
            </w:pPr>
            <w:r>
              <w:rPr>
                <w:rFonts w:hint="eastAsia" w:ascii="等线" w:hAnsi="等线" w:eastAsia="等线" w:cs="宋体"/>
                <w:kern w:val="0"/>
                <w:sz w:val="22"/>
              </w:rPr>
              <w:t>商贸业</w:t>
            </w:r>
          </w:p>
        </w:tc>
        <w:tc>
          <w:tcPr>
            <w:tcW w:w="1985" w:type="dxa"/>
            <w:tcBorders>
              <w:top w:val="nil"/>
              <w:left w:val="nil"/>
              <w:bottom w:val="nil"/>
              <w:right w:val="nil"/>
            </w:tcBorders>
            <w:noWrap w:val="0"/>
            <w:vAlign w:val="bottom"/>
          </w:tcPr>
          <w:p w14:paraId="01B99C7A">
            <w:pPr>
              <w:widowControl/>
              <w:jc w:val="right"/>
              <w:rPr>
                <w:rFonts w:ascii="等线" w:hAnsi="等线" w:eastAsia="等线" w:cs="宋体"/>
                <w:kern w:val="0"/>
                <w:sz w:val="22"/>
              </w:rPr>
            </w:pPr>
            <w:r>
              <w:rPr>
                <w:rFonts w:hint="eastAsia" w:ascii="等线" w:hAnsi="等线" w:eastAsia="等线" w:cs="宋体"/>
                <w:kern w:val="0"/>
                <w:sz w:val="22"/>
              </w:rPr>
              <w:t>31.2</w:t>
            </w:r>
          </w:p>
        </w:tc>
      </w:tr>
      <w:tr w14:paraId="5261F115">
        <w:tblPrEx>
          <w:tblCellMar>
            <w:top w:w="0" w:type="dxa"/>
            <w:left w:w="108" w:type="dxa"/>
            <w:bottom w:w="0" w:type="dxa"/>
            <w:right w:w="108" w:type="dxa"/>
          </w:tblCellMar>
        </w:tblPrEx>
        <w:trPr>
          <w:wBefore w:w="0" w:type="dxa"/>
          <w:trHeight w:val="285" w:hRule="atLeast"/>
        </w:trPr>
        <w:tc>
          <w:tcPr>
            <w:tcW w:w="4819" w:type="dxa"/>
            <w:tcBorders>
              <w:top w:val="nil"/>
              <w:left w:val="nil"/>
              <w:bottom w:val="nil"/>
              <w:right w:val="single" w:color="auto" w:sz="4" w:space="0"/>
            </w:tcBorders>
            <w:noWrap w:val="0"/>
            <w:vAlign w:val="bottom"/>
          </w:tcPr>
          <w:p w14:paraId="7CBCBE6D">
            <w:pPr>
              <w:widowControl/>
              <w:jc w:val="left"/>
              <w:rPr>
                <w:rFonts w:ascii="等线" w:hAnsi="等线" w:eastAsia="等线" w:cs="宋体"/>
                <w:kern w:val="0"/>
                <w:sz w:val="22"/>
              </w:rPr>
            </w:pPr>
            <w:r>
              <w:rPr>
                <w:rFonts w:hint="eastAsia" w:ascii="等线" w:hAnsi="等线" w:eastAsia="等线" w:cs="宋体"/>
                <w:kern w:val="0"/>
                <w:sz w:val="22"/>
              </w:rPr>
              <w:t>卫生和社会工作</w:t>
            </w:r>
          </w:p>
        </w:tc>
        <w:tc>
          <w:tcPr>
            <w:tcW w:w="1985" w:type="dxa"/>
            <w:tcBorders>
              <w:top w:val="nil"/>
              <w:left w:val="nil"/>
              <w:bottom w:val="nil"/>
              <w:right w:val="nil"/>
            </w:tcBorders>
            <w:noWrap w:val="0"/>
            <w:vAlign w:val="bottom"/>
          </w:tcPr>
          <w:p w14:paraId="03FBFB5A">
            <w:pPr>
              <w:widowControl/>
              <w:jc w:val="right"/>
              <w:rPr>
                <w:rFonts w:ascii="等线" w:hAnsi="等线" w:eastAsia="等线" w:cs="宋体"/>
                <w:kern w:val="0"/>
                <w:sz w:val="22"/>
              </w:rPr>
            </w:pPr>
            <w:r>
              <w:rPr>
                <w:rFonts w:hint="eastAsia" w:ascii="等线" w:hAnsi="等线" w:eastAsia="等线" w:cs="宋体"/>
                <w:kern w:val="0"/>
                <w:sz w:val="22"/>
              </w:rPr>
              <w:t>21.3</w:t>
            </w:r>
          </w:p>
        </w:tc>
      </w:tr>
      <w:tr w14:paraId="2AB81C41">
        <w:tblPrEx>
          <w:tblCellMar>
            <w:top w:w="0" w:type="dxa"/>
            <w:left w:w="108" w:type="dxa"/>
            <w:bottom w:w="0" w:type="dxa"/>
            <w:right w:w="108" w:type="dxa"/>
          </w:tblCellMar>
        </w:tblPrEx>
        <w:trPr>
          <w:wBefore w:w="0" w:type="dxa"/>
          <w:trHeight w:val="285" w:hRule="atLeast"/>
        </w:trPr>
        <w:tc>
          <w:tcPr>
            <w:tcW w:w="4819" w:type="dxa"/>
            <w:tcBorders>
              <w:top w:val="nil"/>
              <w:left w:val="nil"/>
              <w:bottom w:val="nil"/>
              <w:right w:val="single" w:color="auto" w:sz="4" w:space="0"/>
            </w:tcBorders>
            <w:noWrap w:val="0"/>
            <w:vAlign w:val="bottom"/>
          </w:tcPr>
          <w:p w14:paraId="446E7877">
            <w:pPr>
              <w:widowControl/>
              <w:jc w:val="left"/>
              <w:rPr>
                <w:rFonts w:ascii="等线" w:hAnsi="等线" w:eastAsia="等线" w:cs="宋体"/>
                <w:kern w:val="0"/>
                <w:sz w:val="22"/>
              </w:rPr>
            </w:pPr>
            <w:r>
              <w:rPr>
                <w:rFonts w:hint="eastAsia" w:ascii="等线" w:hAnsi="等线" w:eastAsia="等线" w:cs="宋体"/>
                <w:kern w:val="0"/>
                <w:sz w:val="22"/>
              </w:rPr>
              <w:t>水利、环境和公共设施管理</w:t>
            </w:r>
          </w:p>
        </w:tc>
        <w:tc>
          <w:tcPr>
            <w:tcW w:w="1985" w:type="dxa"/>
            <w:tcBorders>
              <w:top w:val="nil"/>
              <w:left w:val="nil"/>
              <w:bottom w:val="nil"/>
              <w:right w:val="nil"/>
            </w:tcBorders>
            <w:noWrap w:val="0"/>
            <w:vAlign w:val="bottom"/>
          </w:tcPr>
          <w:p w14:paraId="246FCE0B">
            <w:pPr>
              <w:widowControl/>
              <w:jc w:val="right"/>
              <w:rPr>
                <w:rFonts w:ascii="等线" w:hAnsi="等线" w:eastAsia="等线" w:cs="宋体"/>
                <w:kern w:val="0"/>
                <w:sz w:val="22"/>
              </w:rPr>
            </w:pPr>
            <w:r>
              <w:rPr>
                <w:rFonts w:hint="eastAsia" w:ascii="等线" w:hAnsi="等线" w:eastAsia="等线" w:cs="宋体"/>
                <w:kern w:val="0"/>
                <w:sz w:val="22"/>
              </w:rPr>
              <w:t>17</w:t>
            </w:r>
          </w:p>
        </w:tc>
      </w:tr>
      <w:tr w14:paraId="4C0E77D1">
        <w:tblPrEx>
          <w:tblCellMar>
            <w:top w:w="0" w:type="dxa"/>
            <w:left w:w="108" w:type="dxa"/>
            <w:bottom w:w="0" w:type="dxa"/>
            <w:right w:w="108" w:type="dxa"/>
          </w:tblCellMar>
        </w:tblPrEx>
        <w:trPr>
          <w:wBefore w:w="0" w:type="dxa"/>
          <w:trHeight w:val="285" w:hRule="atLeast"/>
        </w:trPr>
        <w:tc>
          <w:tcPr>
            <w:tcW w:w="4819" w:type="dxa"/>
            <w:tcBorders>
              <w:top w:val="nil"/>
              <w:left w:val="nil"/>
              <w:bottom w:val="nil"/>
              <w:right w:val="single" w:color="auto" w:sz="4" w:space="0"/>
            </w:tcBorders>
            <w:noWrap w:val="0"/>
            <w:vAlign w:val="bottom"/>
          </w:tcPr>
          <w:p w14:paraId="1A9A55C5">
            <w:pPr>
              <w:widowControl/>
              <w:jc w:val="left"/>
              <w:rPr>
                <w:rFonts w:ascii="等线" w:hAnsi="等线" w:eastAsia="等线" w:cs="宋体"/>
                <w:kern w:val="0"/>
                <w:sz w:val="22"/>
              </w:rPr>
            </w:pPr>
            <w:r>
              <w:rPr>
                <w:rFonts w:hint="eastAsia" w:ascii="等线" w:hAnsi="等线" w:eastAsia="等线" w:cs="宋体"/>
                <w:kern w:val="0"/>
                <w:sz w:val="22"/>
              </w:rPr>
              <w:t>教育</w:t>
            </w:r>
          </w:p>
        </w:tc>
        <w:tc>
          <w:tcPr>
            <w:tcW w:w="1985" w:type="dxa"/>
            <w:tcBorders>
              <w:top w:val="nil"/>
              <w:left w:val="nil"/>
              <w:bottom w:val="nil"/>
              <w:right w:val="nil"/>
            </w:tcBorders>
            <w:noWrap w:val="0"/>
            <w:vAlign w:val="bottom"/>
          </w:tcPr>
          <w:p w14:paraId="2C2A57A0">
            <w:pPr>
              <w:widowControl/>
              <w:jc w:val="right"/>
              <w:rPr>
                <w:rFonts w:ascii="等线" w:hAnsi="等线" w:eastAsia="等线" w:cs="宋体"/>
                <w:kern w:val="0"/>
                <w:sz w:val="22"/>
              </w:rPr>
            </w:pPr>
            <w:r>
              <w:rPr>
                <w:rFonts w:hint="eastAsia" w:ascii="等线" w:hAnsi="等线" w:eastAsia="等线" w:cs="宋体"/>
                <w:kern w:val="0"/>
                <w:sz w:val="22"/>
              </w:rPr>
              <w:t>12.4</w:t>
            </w:r>
          </w:p>
        </w:tc>
      </w:tr>
      <w:tr w14:paraId="3D855A1B">
        <w:tblPrEx>
          <w:tblCellMar>
            <w:top w:w="0" w:type="dxa"/>
            <w:left w:w="108" w:type="dxa"/>
            <w:bottom w:w="0" w:type="dxa"/>
            <w:right w:w="108" w:type="dxa"/>
          </w:tblCellMar>
        </w:tblPrEx>
        <w:trPr>
          <w:wBefore w:w="0" w:type="dxa"/>
          <w:trHeight w:val="285" w:hRule="atLeast"/>
        </w:trPr>
        <w:tc>
          <w:tcPr>
            <w:tcW w:w="4819" w:type="dxa"/>
            <w:tcBorders>
              <w:top w:val="nil"/>
              <w:left w:val="nil"/>
              <w:bottom w:val="nil"/>
              <w:right w:val="single" w:color="auto" w:sz="4" w:space="0"/>
            </w:tcBorders>
            <w:noWrap w:val="0"/>
            <w:vAlign w:val="bottom"/>
          </w:tcPr>
          <w:p w14:paraId="4251D439">
            <w:pPr>
              <w:widowControl/>
              <w:jc w:val="left"/>
              <w:rPr>
                <w:rFonts w:ascii="等线" w:hAnsi="等线" w:eastAsia="等线" w:cs="宋体"/>
                <w:kern w:val="0"/>
                <w:sz w:val="22"/>
              </w:rPr>
            </w:pPr>
            <w:r>
              <w:rPr>
                <w:rFonts w:hint="eastAsia" w:ascii="等线" w:hAnsi="等线" w:eastAsia="等线" w:cs="宋体"/>
                <w:kern w:val="0"/>
                <w:sz w:val="22"/>
              </w:rPr>
              <w:t>文化、体育娱乐业</w:t>
            </w:r>
          </w:p>
        </w:tc>
        <w:tc>
          <w:tcPr>
            <w:tcW w:w="1985" w:type="dxa"/>
            <w:tcBorders>
              <w:top w:val="nil"/>
              <w:left w:val="nil"/>
              <w:bottom w:val="nil"/>
              <w:right w:val="nil"/>
            </w:tcBorders>
            <w:noWrap w:val="0"/>
            <w:vAlign w:val="bottom"/>
          </w:tcPr>
          <w:p w14:paraId="738055DD">
            <w:pPr>
              <w:widowControl/>
              <w:jc w:val="right"/>
              <w:rPr>
                <w:rFonts w:ascii="等线" w:hAnsi="等线" w:eastAsia="等线" w:cs="宋体"/>
                <w:kern w:val="0"/>
                <w:sz w:val="22"/>
              </w:rPr>
            </w:pPr>
            <w:r>
              <w:rPr>
                <w:rFonts w:hint="eastAsia" w:ascii="等线" w:hAnsi="等线" w:eastAsia="等线" w:cs="宋体"/>
                <w:kern w:val="0"/>
                <w:sz w:val="22"/>
              </w:rPr>
              <w:t>7.8</w:t>
            </w:r>
          </w:p>
        </w:tc>
      </w:tr>
      <w:tr w14:paraId="37E87150">
        <w:tblPrEx>
          <w:tblCellMar>
            <w:top w:w="0" w:type="dxa"/>
            <w:left w:w="108" w:type="dxa"/>
            <w:bottom w:w="0" w:type="dxa"/>
            <w:right w:w="108" w:type="dxa"/>
          </w:tblCellMar>
        </w:tblPrEx>
        <w:trPr>
          <w:wBefore w:w="0" w:type="dxa"/>
          <w:trHeight w:val="285" w:hRule="atLeast"/>
        </w:trPr>
        <w:tc>
          <w:tcPr>
            <w:tcW w:w="4819" w:type="dxa"/>
            <w:tcBorders>
              <w:top w:val="nil"/>
              <w:left w:val="nil"/>
              <w:bottom w:val="single" w:color="auto" w:sz="4" w:space="0"/>
              <w:right w:val="single" w:color="auto" w:sz="4" w:space="0"/>
            </w:tcBorders>
            <w:noWrap w:val="0"/>
            <w:vAlign w:val="bottom"/>
          </w:tcPr>
          <w:p w14:paraId="59BD032E">
            <w:pPr>
              <w:widowControl/>
              <w:jc w:val="left"/>
              <w:rPr>
                <w:rFonts w:ascii="等线" w:hAnsi="等线" w:eastAsia="等线" w:cs="宋体"/>
                <w:kern w:val="0"/>
                <w:sz w:val="22"/>
              </w:rPr>
            </w:pPr>
            <w:r>
              <w:rPr>
                <w:rFonts w:hint="eastAsia" w:ascii="等线" w:hAnsi="等线" w:eastAsia="等线" w:cs="宋体"/>
                <w:kern w:val="0"/>
                <w:sz w:val="22"/>
              </w:rPr>
              <w:t>交通运输业</w:t>
            </w:r>
          </w:p>
        </w:tc>
        <w:tc>
          <w:tcPr>
            <w:tcW w:w="1985" w:type="dxa"/>
            <w:tcBorders>
              <w:top w:val="nil"/>
              <w:left w:val="nil"/>
              <w:bottom w:val="single" w:color="auto" w:sz="4" w:space="0"/>
              <w:right w:val="nil"/>
            </w:tcBorders>
            <w:noWrap w:val="0"/>
            <w:vAlign w:val="bottom"/>
          </w:tcPr>
          <w:p w14:paraId="3AE0FB90">
            <w:pPr>
              <w:widowControl/>
              <w:jc w:val="right"/>
              <w:rPr>
                <w:rFonts w:ascii="等线" w:hAnsi="等线" w:eastAsia="等线" w:cs="宋体"/>
                <w:kern w:val="0"/>
                <w:sz w:val="22"/>
              </w:rPr>
            </w:pPr>
            <w:r>
              <w:rPr>
                <w:rFonts w:hint="eastAsia" w:ascii="等线" w:hAnsi="等线" w:eastAsia="等线" w:cs="宋体"/>
                <w:kern w:val="0"/>
                <w:sz w:val="22"/>
              </w:rPr>
              <w:t>7.6</w:t>
            </w:r>
          </w:p>
        </w:tc>
      </w:tr>
    </w:tbl>
    <w:p w14:paraId="1E23FCE4">
      <w:pPr>
        <w:spacing w:line="560" w:lineRule="exact"/>
        <w:ind w:firstLine="645"/>
        <w:rPr>
          <w:rFonts w:ascii="楷体_GB2312" w:hAnsi="黑体" w:eastAsia="楷体_GB2312"/>
          <w:sz w:val="32"/>
          <w:szCs w:val="32"/>
        </w:rPr>
      </w:pPr>
      <w:r>
        <w:rPr>
          <w:rFonts w:hint="eastAsia" w:ascii="楷体_GB2312" w:hAnsi="黑体" w:eastAsia="楷体_GB2312"/>
          <w:sz w:val="32"/>
          <w:szCs w:val="32"/>
        </w:rPr>
        <w:t>4.规模以上工业平稳运行</w:t>
      </w:r>
    </w:p>
    <w:p w14:paraId="49237DE9">
      <w:pPr>
        <w:spacing w:line="560" w:lineRule="exact"/>
        <w:ind w:firstLine="645"/>
        <w:rPr>
          <w:rFonts w:ascii="仿宋_GB2312" w:hAnsi="黑体" w:eastAsia="仿宋_GB2312"/>
          <w:sz w:val="32"/>
          <w:szCs w:val="32"/>
        </w:rPr>
      </w:pPr>
      <w:r>
        <w:rPr>
          <w:rFonts w:hint="eastAsia" w:ascii="仿宋_GB2312" w:hAnsi="黑体" w:eastAsia="仿宋_GB2312"/>
          <w:sz w:val="32"/>
          <w:szCs w:val="32"/>
        </w:rPr>
        <w:t>2020年，全区规模以上工业增加值增长3</w:t>
      </w:r>
      <w:r>
        <w:rPr>
          <w:rFonts w:ascii="仿宋_GB2312" w:hAnsi="黑体" w:eastAsia="仿宋_GB2312"/>
          <w:sz w:val="32"/>
          <w:szCs w:val="32"/>
        </w:rPr>
        <w:t>.8%</w:t>
      </w:r>
      <w:r>
        <w:rPr>
          <w:rFonts w:hint="eastAsia" w:ascii="仿宋_GB2312" w:hAnsi="黑体" w:eastAsia="仿宋_GB2312"/>
          <w:sz w:val="32"/>
          <w:szCs w:val="32"/>
        </w:rPr>
        <w:t>，高于全市2</w:t>
      </w:r>
      <w:r>
        <w:rPr>
          <w:rFonts w:ascii="仿宋_GB2312" w:hAnsi="黑体" w:eastAsia="仿宋_GB2312"/>
          <w:sz w:val="32"/>
          <w:szCs w:val="32"/>
        </w:rPr>
        <w:t>.7</w:t>
      </w:r>
      <w:r>
        <w:rPr>
          <w:rFonts w:hint="eastAsia" w:ascii="仿宋_GB2312" w:hAnsi="黑体" w:eastAsia="仿宋_GB2312"/>
          <w:sz w:val="32"/>
          <w:szCs w:val="32"/>
        </w:rPr>
        <w:t>个百分点。我区规模以上工业四季度较前三季度虽有所回落，但整体在平稳运行的合理区间内。从支柱行业贡献来看，规上工业增长主要得益于化学原料和化学制品制造业、有色金属压延加工业和烟草制品业，而医药制造业呈负向拉动。</w:t>
      </w:r>
    </w:p>
    <w:p w14:paraId="6ED9E5CD">
      <w:pPr>
        <w:spacing w:line="560" w:lineRule="exact"/>
        <w:ind w:firstLine="645"/>
        <w:rPr>
          <w:rFonts w:ascii="仿宋_GB2312" w:hAnsi="黑体" w:eastAsia="仿宋_GB2312"/>
          <w:sz w:val="32"/>
          <w:szCs w:val="32"/>
        </w:rPr>
      </w:pPr>
      <w:r>
        <w:rPr>
          <w:rFonts w:ascii="仿宋_GB2312" w:hAnsi="黑体" w:eastAsia="仿宋_GB2312"/>
          <w:sz w:val="32"/>
          <w:szCs w:val="32"/>
          <w:lang/>
        </w:rPr>
        <w:drawing>
          <wp:anchor distT="0" distB="0" distL="114300" distR="114300" simplePos="0" relativeHeight="251660288" behindDoc="1" locked="0" layoutInCell="1" allowOverlap="1">
            <wp:simplePos x="0" y="0"/>
            <wp:positionH relativeFrom="column">
              <wp:posOffset>606425</wp:posOffset>
            </wp:positionH>
            <wp:positionV relativeFrom="paragraph">
              <wp:posOffset>20320</wp:posOffset>
            </wp:positionV>
            <wp:extent cx="4531360" cy="2724150"/>
            <wp:effectExtent l="0" t="0" r="2540" b="0"/>
            <wp:wrapTight wrapText="bothSides">
              <wp:wrapPolygon>
                <wp:start x="0" y="0"/>
                <wp:lineTo x="0" y="21449"/>
                <wp:lineTo x="21521" y="21449"/>
                <wp:lineTo x="21521"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4531360" cy="2724150"/>
                    </a:xfrm>
                    <a:prstGeom prst="rect">
                      <a:avLst/>
                    </a:prstGeom>
                    <a:noFill/>
                    <a:ln>
                      <a:noFill/>
                    </a:ln>
                  </pic:spPr>
                </pic:pic>
              </a:graphicData>
            </a:graphic>
          </wp:anchor>
        </w:drawing>
      </w:r>
    </w:p>
    <w:p w14:paraId="43D3C046">
      <w:pPr>
        <w:rPr>
          <w:rFonts w:ascii="仿宋_GB2312" w:hAnsi="黑体" w:eastAsia="仿宋_GB2312"/>
          <w:sz w:val="32"/>
          <w:szCs w:val="32"/>
        </w:rPr>
      </w:pPr>
    </w:p>
    <w:p w14:paraId="65926FD4">
      <w:pPr>
        <w:rPr>
          <w:rFonts w:ascii="仿宋_GB2312" w:hAnsi="黑体" w:eastAsia="仿宋_GB2312"/>
          <w:sz w:val="32"/>
          <w:szCs w:val="32"/>
        </w:rPr>
      </w:pPr>
    </w:p>
    <w:p w14:paraId="753C0D8C">
      <w:pPr>
        <w:rPr>
          <w:rFonts w:ascii="仿宋_GB2312" w:hAnsi="黑体" w:eastAsia="仿宋_GB2312"/>
          <w:sz w:val="32"/>
          <w:szCs w:val="32"/>
        </w:rPr>
      </w:pPr>
    </w:p>
    <w:p w14:paraId="287F50FA">
      <w:pPr>
        <w:rPr>
          <w:rFonts w:ascii="仿宋_GB2312" w:hAnsi="黑体" w:eastAsia="仿宋_GB2312"/>
          <w:sz w:val="32"/>
          <w:szCs w:val="32"/>
        </w:rPr>
      </w:pPr>
    </w:p>
    <w:p w14:paraId="2F3C8CC3">
      <w:pPr>
        <w:rPr>
          <w:rFonts w:ascii="仿宋_GB2312" w:hAnsi="黑体" w:eastAsia="仿宋_GB2312"/>
          <w:sz w:val="32"/>
          <w:szCs w:val="32"/>
        </w:rPr>
      </w:pPr>
    </w:p>
    <w:p w14:paraId="70DFA9D6">
      <w:pPr>
        <w:rPr>
          <w:rFonts w:ascii="仿宋_GB2312" w:hAnsi="黑体" w:eastAsia="仿宋_GB2312"/>
          <w:sz w:val="32"/>
          <w:szCs w:val="32"/>
        </w:rPr>
      </w:pPr>
    </w:p>
    <w:p w14:paraId="0E3EC9F9">
      <w:pPr>
        <w:spacing w:line="560" w:lineRule="exact"/>
        <w:ind w:firstLine="680" w:firstLineChars="200"/>
        <w:rPr>
          <w:rFonts w:ascii="楷体_GB2312" w:hAnsi="黑体" w:eastAsia="楷体_GB2312"/>
          <w:sz w:val="32"/>
          <w:szCs w:val="32"/>
        </w:rPr>
      </w:pPr>
      <w:r>
        <w:rPr>
          <w:rFonts w:hint="eastAsia" w:ascii="楷体_GB2312" w:hAnsi="黑体" w:eastAsia="楷体_GB2312"/>
          <w:sz w:val="32"/>
          <w:szCs w:val="32"/>
        </w:rPr>
        <w:t>5.一般公共预算支出主要投向民生领域</w:t>
      </w:r>
    </w:p>
    <w:p w14:paraId="1D665096">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2020年，全区一般公共预算收入4</w:t>
      </w:r>
      <w:r>
        <w:rPr>
          <w:rFonts w:ascii="仿宋_GB2312" w:hAnsi="黑体" w:eastAsia="仿宋_GB2312"/>
          <w:sz w:val="32"/>
          <w:szCs w:val="32"/>
        </w:rPr>
        <w:t>5.82</w:t>
      </w:r>
      <w:r>
        <w:rPr>
          <w:rFonts w:hint="eastAsia" w:ascii="仿宋_GB2312" w:hAnsi="黑体" w:eastAsia="仿宋_GB2312"/>
          <w:sz w:val="32"/>
          <w:szCs w:val="32"/>
        </w:rPr>
        <w:t>亿元，同比增长2</w:t>
      </w:r>
      <w:r>
        <w:rPr>
          <w:rFonts w:ascii="仿宋_GB2312" w:hAnsi="黑体" w:eastAsia="仿宋_GB2312"/>
          <w:sz w:val="32"/>
          <w:szCs w:val="32"/>
        </w:rPr>
        <w:t>.5%</w:t>
      </w:r>
      <w:r>
        <w:rPr>
          <w:rFonts w:hint="eastAsia" w:ascii="仿宋_GB2312" w:hAnsi="黑体" w:eastAsia="仿宋_GB2312"/>
          <w:sz w:val="32"/>
          <w:szCs w:val="32"/>
        </w:rPr>
        <w:t>。其中，税收收入占比达到8</w:t>
      </w:r>
      <w:r>
        <w:rPr>
          <w:rFonts w:ascii="仿宋_GB2312" w:hAnsi="黑体" w:eastAsia="仿宋_GB2312"/>
          <w:sz w:val="32"/>
          <w:szCs w:val="32"/>
        </w:rPr>
        <w:t>0.6%</w:t>
      </w:r>
      <w:r>
        <w:rPr>
          <w:rFonts w:hint="eastAsia" w:ascii="仿宋_GB2312" w:hAnsi="黑体" w:eastAsia="仿宋_GB2312"/>
          <w:sz w:val="32"/>
          <w:szCs w:val="32"/>
        </w:rPr>
        <w:t>，非税收入占比为1</w:t>
      </w:r>
      <w:r>
        <w:rPr>
          <w:rFonts w:ascii="仿宋_GB2312" w:hAnsi="黑体" w:eastAsia="仿宋_GB2312"/>
          <w:sz w:val="32"/>
          <w:szCs w:val="32"/>
        </w:rPr>
        <w:t>9.4%</w:t>
      </w:r>
      <w:r>
        <w:rPr>
          <w:rFonts w:hint="eastAsia" w:ascii="仿宋_GB2312" w:hAnsi="黑体" w:eastAsia="仿宋_GB2312"/>
          <w:sz w:val="32"/>
          <w:szCs w:val="32"/>
        </w:rPr>
        <w:t>，税收结构趋于合理。</w:t>
      </w:r>
    </w:p>
    <w:p w14:paraId="100650E1">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全区一般公共预算支出5</w:t>
      </w:r>
      <w:r>
        <w:rPr>
          <w:rFonts w:ascii="仿宋_GB2312" w:hAnsi="黑体" w:eastAsia="仿宋_GB2312"/>
          <w:sz w:val="32"/>
          <w:szCs w:val="32"/>
        </w:rPr>
        <w:t>1.75</w:t>
      </w:r>
      <w:r>
        <w:rPr>
          <w:rFonts w:hint="eastAsia" w:ascii="仿宋_GB2312" w:hAnsi="黑体" w:eastAsia="仿宋_GB2312"/>
          <w:sz w:val="32"/>
          <w:szCs w:val="32"/>
        </w:rPr>
        <w:t>亿元，同比下降2</w:t>
      </w:r>
      <w:r>
        <w:rPr>
          <w:rFonts w:ascii="仿宋_GB2312" w:hAnsi="黑体" w:eastAsia="仿宋_GB2312"/>
          <w:sz w:val="32"/>
          <w:szCs w:val="32"/>
        </w:rPr>
        <w:t>.1%</w:t>
      </w:r>
      <w:r>
        <w:rPr>
          <w:rFonts w:hint="eastAsia" w:ascii="仿宋_GB2312" w:hAnsi="黑体" w:eastAsia="仿宋_GB2312"/>
          <w:sz w:val="32"/>
          <w:szCs w:val="32"/>
        </w:rPr>
        <w:t>。其中，社会保障和就业支出占2</w:t>
      </w:r>
      <w:r>
        <w:rPr>
          <w:rFonts w:ascii="仿宋_GB2312" w:hAnsi="黑体" w:eastAsia="仿宋_GB2312"/>
          <w:sz w:val="32"/>
          <w:szCs w:val="32"/>
        </w:rPr>
        <w:t>3.3%</w:t>
      </w:r>
      <w:r>
        <w:rPr>
          <w:rFonts w:hint="eastAsia" w:ascii="仿宋_GB2312" w:hAnsi="黑体" w:eastAsia="仿宋_GB2312"/>
          <w:sz w:val="32"/>
          <w:szCs w:val="32"/>
        </w:rPr>
        <w:t>，教育支出占1</w:t>
      </w:r>
      <w:r>
        <w:rPr>
          <w:rFonts w:ascii="仿宋_GB2312" w:hAnsi="黑体" w:eastAsia="仿宋_GB2312"/>
          <w:sz w:val="32"/>
          <w:szCs w:val="32"/>
        </w:rPr>
        <w:t>8%</w:t>
      </w:r>
      <w:r>
        <w:rPr>
          <w:rFonts w:hint="eastAsia" w:ascii="仿宋_GB2312" w:hAnsi="黑体" w:eastAsia="仿宋_GB2312"/>
          <w:sz w:val="32"/>
          <w:szCs w:val="32"/>
        </w:rPr>
        <w:t>，城乡社区支出占1</w:t>
      </w:r>
      <w:r>
        <w:rPr>
          <w:rFonts w:ascii="仿宋_GB2312" w:hAnsi="黑体" w:eastAsia="仿宋_GB2312"/>
          <w:sz w:val="32"/>
          <w:szCs w:val="32"/>
        </w:rPr>
        <w:t>1.7%</w:t>
      </w:r>
      <w:r>
        <w:rPr>
          <w:rFonts w:hint="eastAsia" w:ascii="仿宋_GB2312" w:hAnsi="黑体" w:eastAsia="仿宋_GB2312"/>
          <w:sz w:val="32"/>
          <w:szCs w:val="32"/>
        </w:rPr>
        <w:t>，公共安全支出占1</w:t>
      </w:r>
      <w:r>
        <w:rPr>
          <w:rFonts w:ascii="仿宋_GB2312" w:hAnsi="黑体" w:eastAsia="仿宋_GB2312"/>
          <w:sz w:val="32"/>
          <w:szCs w:val="32"/>
        </w:rPr>
        <w:t>1.4%</w:t>
      </w:r>
      <w:r>
        <w:rPr>
          <w:rFonts w:hint="eastAsia" w:ascii="仿宋_GB2312" w:hAnsi="黑体" w:eastAsia="仿宋_GB2312"/>
          <w:sz w:val="32"/>
          <w:szCs w:val="32"/>
        </w:rPr>
        <w:t>，一般公共服务支出占1</w:t>
      </w:r>
      <w:r>
        <w:rPr>
          <w:rFonts w:ascii="仿宋_GB2312" w:hAnsi="黑体" w:eastAsia="仿宋_GB2312"/>
          <w:sz w:val="32"/>
          <w:szCs w:val="32"/>
        </w:rPr>
        <w:t>0.4%</w:t>
      </w:r>
      <w:r>
        <w:rPr>
          <w:rFonts w:hint="eastAsia" w:ascii="仿宋_GB2312" w:hAnsi="黑体" w:eastAsia="仿宋_GB2312"/>
          <w:sz w:val="32"/>
          <w:szCs w:val="32"/>
        </w:rPr>
        <w:t>，卫生健康支出占7</w:t>
      </w:r>
      <w:r>
        <w:rPr>
          <w:rFonts w:ascii="仿宋_GB2312" w:hAnsi="黑体" w:eastAsia="仿宋_GB2312"/>
          <w:sz w:val="32"/>
          <w:szCs w:val="32"/>
        </w:rPr>
        <w:t>.8%</w:t>
      </w:r>
      <w:r>
        <w:rPr>
          <w:rFonts w:hint="eastAsia" w:ascii="仿宋_GB2312" w:hAnsi="黑体" w:eastAsia="仿宋_GB2312"/>
          <w:sz w:val="32"/>
          <w:szCs w:val="32"/>
        </w:rPr>
        <w:t>，全区一般公共预算支出主要投向民生领域。</w:t>
      </w:r>
    </w:p>
    <w:p w14:paraId="5C85E0C4">
      <w:pPr>
        <w:spacing w:line="560" w:lineRule="exact"/>
        <w:ind w:firstLine="680" w:firstLineChars="200"/>
        <w:rPr>
          <w:rFonts w:ascii="楷体_GB2312" w:hAnsi="黑体" w:eastAsia="楷体_GB2312"/>
          <w:sz w:val="32"/>
          <w:szCs w:val="32"/>
        </w:rPr>
      </w:pPr>
      <w:r>
        <w:rPr>
          <w:rFonts w:hint="eastAsia" w:ascii="楷体_GB2312" w:hAnsi="黑体" w:eastAsia="楷体_GB2312"/>
          <w:sz w:val="32"/>
          <w:szCs w:val="32"/>
        </w:rPr>
        <w:t>6.规模以上服务业增长降幅收窄</w:t>
      </w:r>
    </w:p>
    <w:p w14:paraId="18438ABD">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全区规模以上服务业企业实现营业收入</w:t>
      </w:r>
      <w:r>
        <w:rPr>
          <w:rFonts w:ascii="仿宋_GB2312" w:hAnsi="黑体" w:eastAsia="仿宋_GB2312"/>
          <w:sz w:val="32"/>
          <w:szCs w:val="32"/>
        </w:rPr>
        <w:t>82.12亿元，同比下降7.2%，降幅分别比前三季度收窄17.2、12.6、4.2个百分点</w:t>
      </w:r>
      <w:r>
        <w:rPr>
          <w:rFonts w:hint="eastAsia" w:ascii="仿宋_GB2312" w:hAnsi="黑体" w:eastAsia="仿宋_GB2312"/>
          <w:sz w:val="32"/>
          <w:szCs w:val="32"/>
        </w:rPr>
        <w:t>。装卸搬运和仓储业、科学研究和技术服务业、租赁和商务服务业实现正增长，分别</w:t>
      </w:r>
      <w:r>
        <w:rPr>
          <w:rFonts w:ascii="仿宋_GB2312" w:hAnsi="黑体" w:eastAsia="仿宋_GB2312"/>
          <w:sz w:val="32"/>
          <w:szCs w:val="32"/>
        </w:rPr>
        <w:t>同比增长11.4%</w:t>
      </w:r>
      <w:r>
        <w:rPr>
          <w:rFonts w:hint="eastAsia" w:ascii="仿宋_GB2312" w:hAnsi="黑体" w:eastAsia="仿宋_GB2312"/>
          <w:sz w:val="32"/>
          <w:szCs w:val="32"/>
        </w:rPr>
        <w:t>、</w:t>
      </w:r>
      <w:r>
        <w:rPr>
          <w:rFonts w:ascii="仿宋_GB2312" w:hAnsi="黑体" w:eastAsia="仿宋_GB2312"/>
          <w:sz w:val="32"/>
          <w:szCs w:val="32"/>
        </w:rPr>
        <w:t xml:space="preserve"> 2.2%</w:t>
      </w:r>
      <w:r>
        <w:rPr>
          <w:rFonts w:hint="eastAsia" w:ascii="仿宋_GB2312" w:hAnsi="黑体" w:eastAsia="仿宋_GB2312"/>
          <w:sz w:val="32"/>
          <w:szCs w:val="32"/>
        </w:rPr>
        <w:t>、</w:t>
      </w:r>
      <w:r>
        <w:rPr>
          <w:rFonts w:ascii="仿宋_GB2312" w:hAnsi="黑体" w:eastAsia="仿宋_GB2312"/>
          <w:sz w:val="32"/>
          <w:szCs w:val="32"/>
        </w:rPr>
        <w:t xml:space="preserve"> 1.4%。居民服务、修理和其他服务业；文化、体育和娱乐业；互联网和相关服务、软件和信息技术服务业</w:t>
      </w:r>
      <w:r>
        <w:rPr>
          <w:rFonts w:hint="eastAsia" w:ascii="仿宋_GB2312" w:hAnsi="黑体" w:eastAsia="仿宋_GB2312"/>
          <w:sz w:val="32"/>
          <w:szCs w:val="32"/>
        </w:rPr>
        <w:t>受疫情冲击严重，全年仍为</w:t>
      </w:r>
      <w:r>
        <w:rPr>
          <w:rFonts w:ascii="仿宋_GB2312" w:hAnsi="黑体" w:eastAsia="仿宋_GB2312"/>
          <w:sz w:val="32"/>
          <w:szCs w:val="32"/>
        </w:rPr>
        <w:t>负增长</w:t>
      </w:r>
      <w:r>
        <w:rPr>
          <w:rFonts w:hint="eastAsia" w:ascii="仿宋_GB2312" w:hAnsi="黑体" w:eastAsia="仿宋_GB2312"/>
          <w:sz w:val="32"/>
          <w:szCs w:val="32"/>
        </w:rPr>
        <w:t>，分别</w:t>
      </w:r>
      <w:r>
        <w:rPr>
          <w:rFonts w:ascii="仿宋_GB2312" w:hAnsi="黑体" w:eastAsia="仿宋_GB2312"/>
          <w:sz w:val="32"/>
          <w:szCs w:val="32"/>
        </w:rPr>
        <w:t>同比下降42.4%</w:t>
      </w:r>
      <w:r>
        <w:rPr>
          <w:rFonts w:hint="eastAsia" w:ascii="仿宋_GB2312" w:hAnsi="黑体" w:eastAsia="仿宋_GB2312"/>
          <w:sz w:val="32"/>
          <w:szCs w:val="32"/>
        </w:rPr>
        <w:t>、</w:t>
      </w:r>
      <w:r>
        <w:rPr>
          <w:rFonts w:ascii="仿宋_GB2312" w:hAnsi="黑体" w:eastAsia="仿宋_GB2312"/>
          <w:sz w:val="32"/>
          <w:szCs w:val="32"/>
        </w:rPr>
        <w:t>31.5%</w:t>
      </w:r>
      <w:r>
        <w:rPr>
          <w:rFonts w:hint="eastAsia" w:ascii="仿宋_GB2312" w:hAnsi="黑体" w:eastAsia="仿宋_GB2312"/>
          <w:sz w:val="32"/>
          <w:szCs w:val="32"/>
        </w:rPr>
        <w:t>、</w:t>
      </w:r>
      <w:r>
        <w:rPr>
          <w:rFonts w:ascii="仿宋_GB2312" w:hAnsi="黑体" w:eastAsia="仿宋_GB2312"/>
          <w:sz w:val="32"/>
          <w:szCs w:val="32"/>
        </w:rPr>
        <w:t xml:space="preserve"> 3.9%</w:t>
      </w:r>
      <w:r>
        <w:rPr>
          <w:rFonts w:hint="eastAsia" w:ascii="仿宋_GB2312" w:hAnsi="黑体" w:eastAsia="仿宋_GB2312"/>
          <w:sz w:val="32"/>
          <w:szCs w:val="32"/>
        </w:rPr>
        <w:t>。</w:t>
      </w:r>
    </w:p>
    <w:p w14:paraId="1E2FBA48">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全区规模以上服务业企业主要集中在租赁和商务服务业，信息传输、软件和信息技术服务业两个行业，占全区规上服务业数量比重分别为</w:t>
      </w:r>
      <w:r>
        <w:rPr>
          <w:rFonts w:ascii="仿宋_GB2312" w:hAnsi="黑体" w:eastAsia="仿宋_GB2312"/>
          <w:sz w:val="32"/>
          <w:szCs w:val="32"/>
        </w:rPr>
        <w:t>25.8%和20.3%。</w:t>
      </w:r>
    </w:p>
    <w:p w14:paraId="3706F658">
      <w:pPr>
        <w:spacing w:line="560" w:lineRule="exact"/>
        <w:ind w:firstLine="680" w:firstLineChars="200"/>
        <w:rPr>
          <w:rFonts w:ascii="楷体_GB2312" w:hAnsi="黑体" w:eastAsia="楷体_GB2312"/>
          <w:sz w:val="32"/>
          <w:szCs w:val="32"/>
        </w:rPr>
      </w:pPr>
      <w:r>
        <w:rPr>
          <w:rFonts w:hint="eastAsia" w:ascii="楷体_GB2312" w:hAnsi="黑体" w:eastAsia="楷体_GB2312"/>
          <w:sz w:val="32"/>
          <w:szCs w:val="32"/>
        </w:rPr>
        <w:t>7.居民收入增长与经济增长同步</w:t>
      </w:r>
    </w:p>
    <w:p w14:paraId="0BCD6DD1">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2020年，五华区实现城镇居民人均可支配收入</w:t>
      </w:r>
      <w:r>
        <w:rPr>
          <w:rFonts w:ascii="仿宋_GB2312" w:hAnsi="黑体" w:eastAsia="仿宋_GB2312"/>
          <w:sz w:val="32"/>
          <w:szCs w:val="32"/>
        </w:rPr>
        <w:t>48942</w:t>
      </w:r>
      <w:r>
        <w:rPr>
          <w:rFonts w:hint="eastAsia" w:ascii="仿宋_GB2312" w:hAnsi="黑体" w:eastAsia="仿宋_GB2312"/>
          <w:sz w:val="32"/>
          <w:szCs w:val="32"/>
        </w:rPr>
        <w:t>元，同比增长3</w:t>
      </w:r>
      <w:r>
        <w:rPr>
          <w:rFonts w:ascii="仿宋_GB2312" w:hAnsi="黑体" w:eastAsia="仿宋_GB2312"/>
          <w:sz w:val="32"/>
          <w:szCs w:val="32"/>
        </w:rPr>
        <w:t>.7%</w:t>
      </w:r>
      <w:r>
        <w:rPr>
          <w:rFonts w:hint="eastAsia" w:ascii="仿宋_GB2312" w:hAnsi="黑体" w:eastAsia="仿宋_GB2312"/>
          <w:sz w:val="32"/>
          <w:szCs w:val="32"/>
        </w:rPr>
        <w:t>；农村常住居民人均可支配收入2</w:t>
      </w:r>
      <w:r>
        <w:rPr>
          <w:rFonts w:ascii="仿宋_GB2312" w:hAnsi="黑体" w:eastAsia="仿宋_GB2312"/>
          <w:sz w:val="32"/>
          <w:szCs w:val="32"/>
        </w:rPr>
        <w:t>2790</w:t>
      </w:r>
      <w:r>
        <w:rPr>
          <w:rFonts w:hint="eastAsia" w:ascii="仿宋_GB2312" w:hAnsi="黑体" w:eastAsia="仿宋_GB2312"/>
          <w:sz w:val="32"/>
          <w:szCs w:val="32"/>
        </w:rPr>
        <w:t>元，同比增长</w:t>
      </w:r>
      <w:r>
        <w:rPr>
          <w:rFonts w:ascii="仿宋_GB2312" w:hAnsi="黑体" w:eastAsia="仿宋_GB2312"/>
          <w:sz w:val="32"/>
          <w:szCs w:val="32"/>
        </w:rPr>
        <w:t>8.2</w:t>
      </w:r>
      <w:r>
        <w:rPr>
          <w:rFonts w:hint="eastAsia" w:ascii="仿宋_GB2312" w:hAnsi="黑体" w:eastAsia="仿宋_GB2312"/>
          <w:sz w:val="32"/>
          <w:szCs w:val="32"/>
        </w:rPr>
        <w:t>%。“两个收入”增速均高于G</w:t>
      </w:r>
      <w:r>
        <w:rPr>
          <w:rFonts w:ascii="仿宋_GB2312" w:hAnsi="黑体" w:eastAsia="仿宋_GB2312"/>
          <w:sz w:val="32"/>
          <w:szCs w:val="32"/>
        </w:rPr>
        <w:t>DP</w:t>
      </w:r>
      <w:r>
        <w:rPr>
          <w:rFonts w:hint="eastAsia" w:ascii="仿宋_GB2312" w:hAnsi="黑体" w:eastAsia="仿宋_GB2312"/>
          <w:sz w:val="32"/>
          <w:szCs w:val="32"/>
        </w:rPr>
        <w:t>增长，居民收入增长与经济增长同步。</w:t>
      </w:r>
    </w:p>
    <w:p w14:paraId="227B9648">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2020</w:t>
      </w:r>
      <w:r>
        <w:rPr>
          <w:rFonts w:ascii="仿宋_GB2312" w:hAnsi="黑体" w:eastAsia="仿宋_GB2312"/>
          <w:sz w:val="32"/>
          <w:szCs w:val="32"/>
        </w:rPr>
        <w:t>年</w:t>
      </w:r>
      <w:r>
        <w:rPr>
          <w:rFonts w:hint="eastAsia" w:ascii="仿宋_GB2312" w:hAnsi="黑体" w:eastAsia="仿宋_GB2312"/>
          <w:sz w:val="32"/>
          <w:szCs w:val="32"/>
        </w:rPr>
        <w:t>，</w:t>
      </w:r>
      <w:r>
        <w:rPr>
          <w:rFonts w:ascii="仿宋_GB2312" w:hAnsi="黑体" w:eastAsia="仿宋_GB2312"/>
          <w:sz w:val="32"/>
          <w:szCs w:val="32"/>
        </w:rPr>
        <w:t>五华区城镇居民人均生活消费支出为30920元，同比</w:t>
      </w:r>
      <w:r>
        <w:rPr>
          <w:rFonts w:hint="eastAsia" w:ascii="仿宋_GB2312" w:hAnsi="黑体" w:eastAsia="仿宋_GB2312"/>
          <w:sz w:val="32"/>
          <w:szCs w:val="32"/>
        </w:rPr>
        <w:t>增长</w:t>
      </w:r>
      <w:r>
        <w:rPr>
          <w:rFonts w:ascii="仿宋_GB2312" w:hAnsi="黑体" w:eastAsia="仿宋_GB2312"/>
          <w:sz w:val="32"/>
          <w:szCs w:val="32"/>
        </w:rPr>
        <w:t>3.9%，农村居民人均生活消费支出为18565元，同比增</w:t>
      </w:r>
      <w:r>
        <w:rPr>
          <w:rFonts w:hint="eastAsia" w:ascii="仿宋_GB2312" w:hAnsi="黑体" w:eastAsia="仿宋_GB2312"/>
          <w:sz w:val="32"/>
          <w:szCs w:val="32"/>
        </w:rPr>
        <w:t>长</w:t>
      </w:r>
      <w:r>
        <w:rPr>
          <w:rFonts w:ascii="仿宋_GB2312" w:hAnsi="黑体" w:eastAsia="仿宋_GB2312"/>
          <w:sz w:val="32"/>
          <w:szCs w:val="32"/>
        </w:rPr>
        <w:t>13.1%</w:t>
      </w:r>
      <w:r>
        <w:rPr>
          <w:rFonts w:hint="eastAsia" w:ascii="仿宋_GB2312" w:hAnsi="黑体" w:eastAsia="仿宋_GB2312"/>
          <w:sz w:val="32"/>
          <w:szCs w:val="32"/>
        </w:rPr>
        <w:t>。</w:t>
      </w:r>
    </w:p>
    <w:p w14:paraId="47F2DC78">
      <w:pPr>
        <w:spacing w:line="560" w:lineRule="exact"/>
        <w:ind w:firstLine="680" w:firstLineChars="200"/>
        <w:rPr>
          <w:rFonts w:ascii="仿宋_GB2312" w:hAnsi="黑体" w:eastAsia="仿宋_GB2312"/>
          <w:sz w:val="32"/>
          <w:szCs w:val="32"/>
        </w:rPr>
      </w:pPr>
      <w:r>
        <w:rPr>
          <w:rFonts w:ascii="仿宋_GB2312" w:hAnsi="黑体" w:eastAsia="仿宋_GB2312"/>
          <w:sz w:val="32"/>
          <w:szCs w:val="32"/>
          <w:lang/>
        </w:rPr>
        <w:drawing>
          <wp:anchor distT="0" distB="0" distL="114300" distR="114300" simplePos="0" relativeHeight="251661312" behindDoc="1" locked="0" layoutInCell="1" allowOverlap="1">
            <wp:simplePos x="0" y="0"/>
            <wp:positionH relativeFrom="page">
              <wp:align>center</wp:align>
            </wp:positionH>
            <wp:positionV relativeFrom="paragraph">
              <wp:posOffset>98425</wp:posOffset>
            </wp:positionV>
            <wp:extent cx="4584700" cy="1779270"/>
            <wp:effectExtent l="0" t="0" r="6350" b="11430"/>
            <wp:wrapTight wrapText="bothSides">
              <wp:wrapPolygon>
                <wp:start x="0" y="0"/>
                <wp:lineTo x="0" y="21500"/>
                <wp:lineTo x="21540" y="21500"/>
                <wp:lineTo x="21540"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4584700" cy="1779270"/>
                    </a:xfrm>
                    <a:prstGeom prst="rect">
                      <a:avLst/>
                    </a:prstGeom>
                    <a:noFill/>
                    <a:ln>
                      <a:noFill/>
                    </a:ln>
                  </pic:spPr>
                </pic:pic>
              </a:graphicData>
            </a:graphic>
          </wp:anchor>
        </w:drawing>
      </w:r>
    </w:p>
    <w:p w14:paraId="15349A74">
      <w:pPr>
        <w:spacing w:line="560" w:lineRule="exact"/>
        <w:ind w:firstLine="680" w:firstLineChars="200"/>
        <w:rPr>
          <w:rFonts w:ascii="仿宋_GB2312" w:hAnsi="黑体" w:eastAsia="仿宋_GB2312"/>
          <w:sz w:val="32"/>
          <w:szCs w:val="32"/>
        </w:rPr>
      </w:pPr>
    </w:p>
    <w:p w14:paraId="14C9232D">
      <w:pPr>
        <w:spacing w:line="560" w:lineRule="exact"/>
        <w:rPr>
          <w:rFonts w:ascii="仿宋_GB2312" w:hAnsi="黑体" w:eastAsia="仿宋_GB2312"/>
          <w:sz w:val="32"/>
          <w:szCs w:val="32"/>
        </w:rPr>
      </w:pPr>
    </w:p>
    <w:p w14:paraId="1D14A03B">
      <w:pPr>
        <w:spacing w:line="560" w:lineRule="exact"/>
        <w:ind w:firstLine="680" w:firstLineChars="200"/>
        <w:rPr>
          <w:rFonts w:ascii="黑体" w:hAnsi="黑体" w:eastAsia="黑体"/>
          <w:sz w:val="32"/>
          <w:szCs w:val="32"/>
        </w:rPr>
      </w:pPr>
      <w:r>
        <w:rPr>
          <w:rFonts w:hint="eastAsia" w:ascii="黑体" w:hAnsi="黑体" w:eastAsia="黑体"/>
          <w:sz w:val="32"/>
          <w:szCs w:val="32"/>
        </w:rPr>
        <w:t>（二）存在的问题</w:t>
      </w:r>
    </w:p>
    <w:p w14:paraId="6FD95E12">
      <w:pPr>
        <w:spacing w:line="560" w:lineRule="exact"/>
        <w:ind w:firstLine="680" w:firstLineChars="200"/>
        <w:rPr>
          <w:rFonts w:ascii="楷体_GB2312" w:hAnsi="黑体" w:eastAsia="楷体_GB2312"/>
          <w:sz w:val="32"/>
          <w:szCs w:val="32"/>
        </w:rPr>
      </w:pPr>
      <w:r>
        <w:rPr>
          <w:rFonts w:hint="eastAsia" w:ascii="楷体_GB2312" w:hAnsi="黑体" w:eastAsia="楷体_GB2312"/>
          <w:sz w:val="32"/>
          <w:szCs w:val="32"/>
        </w:rPr>
        <w:t>1.消费市场逐步回暖，但回暖速度小于预期。</w:t>
      </w:r>
    </w:p>
    <w:p w14:paraId="7937F87D">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消费市场虽整体呈现出回暖态势，但是回暖态势低于全市水平，从全年数据来看，全市社会消费品零售总额较一季度回升1</w:t>
      </w:r>
      <w:r>
        <w:rPr>
          <w:rFonts w:ascii="仿宋_GB2312" w:hAnsi="黑体" w:eastAsia="仿宋_GB2312"/>
          <w:sz w:val="32"/>
          <w:szCs w:val="32"/>
        </w:rPr>
        <w:t>0.4</w:t>
      </w:r>
      <w:r>
        <w:rPr>
          <w:rFonts w:hint="eastAsia" w:ascii="仿宋_GB2312" w:hAnsi="黑体" w:eastAsia="仿宋_GB2312"/>
          <w:sz w:val="32"/>
          <w:szCs w:val="32"/>
        </w:rPr>
        <w:t>个百分点，而我区仅回升5</w:t>
      </w:r>
      <w:r>
        <w:rPr>
          <w:rFonts w:ascii="仿宋_GB2312" w:hAnsi="黑体" w:eastAsia="仿宋_GB2312"/>
          <w:sz w:val="32"/>
          <w:szCs w:val="32"/>
        </w:rPr>
        <w:t>.2</w:t>
      </w:r>
      <w:r>
        <w:rPr>
          <w:rFonts w:hint="eastAsia" w:ascii="仿宋_GB2312" w:hAnsi="黑体" w:eastAsia="仿宋_GB2312"/>
          <w:sz w:val="32"/>
          <w:szCs w:val="32"/>
        </w:rPr>
        <w:t>个百分点。受疫情影响，居民消费模式发生改变，全年限额以上单位通过互联网实现的商品销售额</w:t>
      </w:r>
      <w:r>
        <w:rPr>
          <w:rFonts w:ascii="仿宋_GB2312" w:hAnsi="黑体" w:eastAsia="仿宋_GB2312"/>
          <w:sz w:val="32"/>
          <w:szCs w:val="32"/>
        </w:rPr>
        <w:t>33.73亿元，比上年增长77.6%</w:t>
      </w:r>
      <w:r>
        <w:rPr>
          <w:rFonts w:hint="eastAsia" w:ascii="仿宋_GB2312" w:hAnsi="黑体" w:eastAsia="仿宋_GB2312"/>
          <w:sz w:val="32"/>
          <w:szCs w:val="32"/>
        </w:rPr>
        <w:t>，高于限额以上社会消费品零售总额增速</w:t>
      </w:r>
      <w:r>
        <w:rPr>
          <w:rFonts w:ascii="仿宋_GB2312" w:hAnsi="黑体" w:eastAsia="仿宋_GB2312"/>
          <w:sz w:val="32"/>
          <w:szCs w:val="32"/>
        </w:rPr>
        <w:t>81.8</w:t>
      </w:r>
      <w:r>
        <w:rPr>
          <w:rFonts w:hint="eastAsia" w:ascii="仿宋_GB2312" w:hAnsi="黑体" w:eastAsia="仿宋_GB2312"/>
          <w:sz w:val="32"/>
          <w:szCs w:val="32"/>
        </w:rPr>
        <w:t>个百分点，虽然线上消费高速增长，但是占全区社会消费零售品总额的比重不大，难以弥补实体消费下滑带来的影响，所以社会消费市场回暖低于预期水平。</w:t>
      </w:r>
    </w:p>
    <w:p w14:paraId="7282C811">
      <w:pPr>
        <w:spacing w:line="560" w:lineRule="exact"/>
        <w:ind w:firstLine="680" w:firstLineChars="200"/>
        <w:rPr>
          <w:rFonts w:ascii="仿宋_GB2312" w:hAnsi="黑体" w:eastAsia="仿宋_GB2312"/>
          <w:sz w:val="32"/>
          <w:szCs w:val="32"/>
        </w:rPr>
      </w:pPr>
      <w:r>
        <w:rPr>
          <w:rFonts w:hint="eastAsia" w:ascii="楷体_GB2312" w:hAnsi="黑体" w:eastAsia="楷体_GB2312"/>
          <w:sz w:val="32"/>
          <w:szCs w:val="32"/>
        </w:rPr>
        <w:t>2.工业产业增长主要依赖传统产业，新兴工业产业未形成有效带动。</w:t>
      </w:r>
      <w:r>
        <w:rPr>
          <w:rFonts w:hint="eastAsia" w:ascii="仿宋_GB2312" w:hAnsi="黑体" w:eastAsia="仿宋_GB2312"/>
          <w:sz w:val="32"/>
          <w:szCs w:val="32"/>
        </w:rPr>
        <w:t>从我区工业结构来看，主要支柱产业为烟草制品业、有色金属冶炼和压延加工业、化学原料和化学制品制造业以及医药制造业，前三者占比为8</w:t>
      </w:r>
      <w:r>
        <w:rPr>
          <w:rFonts w:ascii="仿宋_GB2312" w:hAnsi="黑体" w:eastAsia="仿宋_GB2312"/>
          <w:sz w:val="32"/>
          <w:szCs w:val="32"/>
        </w:rPr>
        <w:t>9.6%</w:t>
      </w:r>
      <w:r>
        <w:rPr>
          <w:rFonts w:hint="eastAsia" w:ascii="仿宋_GB2312" w:hAnsi="黑体" w:eastAsia="仿宋_GB2312"/>
          <w:sz w:val="32"/>
          <w:szCs w:val="32"/>
        </w:rPr>
        <w:t>，医药制造业仅占5</w:t>
      </w:r>
      <w:r>
        <w:rPr>
          <w:rFonts w:ascii="仿宋_GB2312" w:hAnsi="黑体" w:eastAsia="仿宋_GB2312"/>
          <w:sz w:val="32"/>
          <w:szCs w:val="32"/>
        </w:rPr>
        <w:t>%</w:t>
      </w:r>
      <w:r>
        <w:rPr>
          <w:rFonts w:hint="eastAsia" w:ascii="仿宋_GB2312" w:hAnsi="黑体" w:eastAsia="仿宋_GB2312"/>
          <w:sz w:val="32"/>
          <w:szCs w:val="32"/>
        </w:rPr>
        <w:t>，工业增长主要依赖于传统工业，新兴工业还未能成为工业增长的主力军。</w:t>
      </w:r>
    </w:p>
    <w:p w14:paraId="095FF744">
      <w:pPr>
        <w:spacing w:line="560" w:lineRule="exact"/>
        <w:ind w:firstLine="680" w:firstLineChars="200"/>
        <w:rPr>
          <w:rFonts w:hint="eastAsia" w:ascii="楷体_GB2312" w:hAnsi="黑体" w:eastAsia="楷体_GB2312"/>
          <w:sz w:val="32"/>
          <w:szCs w:val="32"/>
        </w:rPr>
      </w:pPr>
      <w:r>
        <w:rPr>
          <w:rFonts w:hint="eastAsia" w:ascii="楷体_GB2312" w:hAnsi="黑体" w:eastAsia="楷体_GB2312"/>
          <w:sz w:val="32"/>
          <w:szCs w:val="32"/>
        </w:rPr>
        <w:t>3.固定资产投资潜力亟需挖掘。</w:t>
      </w:r>
    </w:p>
    <w:p w14:paraId="172C520A">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从我区投资进度来看，固定资产投资在库项目241个，总体投资进度达到74.13%。其中，房地产开发项目92个，投资进度达到77%，计划投资5000万元及以上项目61个，投资进度达到60%，计划投资500—5000万元项目88个，投资进度达到60.26%，投资进度均已过半。</w:t>
      </w:r>
      <w:r>
        <w:rPr>
          <w:rFonts w:ascii="仿宋_GB2312" w:hAnsi="黑体" w:eastAsia="仿宋_GB2312"/>
          <w:sz w:val="32"/>
          <w:szCs w:val="32"/>
        </w:rPr>
        <w:t>年入库项目中，有16个项目为单纯设备购置项目</w:t>
      </w:r>
      <w:r>
        <w:rPr>
          <w:rFonts w:hint="eastAsia" w:ascii="仿宋_GB2312" w:hAnsi="黑体" w:eastAsia="仿宋_GB2312"/>
          <w:sz w:val="32"/>
          <w:szCs w:val="32"/>
        </w:rPr>
        <w:t>，</w:t>
      </w:r>
      <w:r>
        <w:rPr>
          <w:rFonts w:ascii="仿宋_GB2312" w:hAnsi="黑体" w:eastAsia="仿宋_GB2312"/>
          <w:sz w:val="32"/>
          <w:szCs w:val="32"/>
        </w:rPr>
        <w:t>占</w:t>
      </w:r>
      <w:r>
        <w:rPr>
          <w:rFonts w:hint="eastAsia" w:ascii="仿宋_GB2312" w:hAnsi="黑体" w:eastAsia="仿宋_GB2312"/>
          <w:sz w:val="32"/>
          <w:szCs w:val="32"/>
        </w:rPr>
        <w:t>年</w:t>
      </w:r>
      <w:r>
        <w:rPr>
          <w:rFonts w:ascii="仿宋_GB2312" w:hAnsi="黑体" w:eastAsia="仿宋_GB2312"/>
          <w:sz w:val="32"/>
          <w:szCs w:val="32"/>
        </w:rPr>
        <w:t>入库项目个数的19.28%，对全区后续投资无有效支撑。</w:t>
      </w:r>
    </w:p>
    <w:p w14:paraId="71CC4D29">
      <w:pPr>
        <w:spacing w:line="560" w:lineRule="exact"/>
        <w:ind w:firstLine="680" w:firstLineChars="200"/>
        <w:rPr>
          <w:rFonts w:ascii="楷体_GB2312" w:hAnsi="黑体" w:eastAsia="楷体_GB2312"/>
          <w:sz w:val="32"/>
          <w:szCs w:val="32"/>
        </w:rPr>
      </w:pPr>
      <w:r>
        <w:rPr>
          <w:rFonts w:hint="eastAsia" w:ascii="楷体_GB2312" w:hAnsi="黑体" w:eastAsia="楷体_GB2312"/>
          <w:sz w:val="32"/>
          <w:szCs w:val="32"/>
        </w:rPr>
        <w:t>4.规模以上服务业行业结构不够合理</w:t>
      </w:r>
    </w:p>
    <w:p w14:paraId="34F5261A">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全区规上重点服务业仍以传统行业为主，产业层次较低、结构单一，抵御政策变动因素和经济下行压力等风险的能力较弱。在服务业内部结构中，新兴服务业中科学研究和技术服务业营业收入占重点服务业比重仅</w:t>
      </w:r>
      <w:r>
        <w:rPr>
          <w:rFonts w:ascii="仿宋_GB2312" w:hAnsi="黑体" w:eastAsia="仿宋_GB2312"/>
          <w:sz w:val="32"/>
          <w:szCs w:val="32"/>
        </w:rPr>
        <w:t>15.3%，增速仅为2.2%，暂无法形成规模优势。在服务业新经济蓬勃发展、“互联网+”等不断改造服务业经营流程、颠覆服务业经营和盈利模式的今天，全区服务业面临较大转型升级压力。</w:t>
      </w:r>
    </w:p>
    <w:p w14:paraId="5E36C6AD">
      <w:pPr>
        <w:spacing w:line="560" w:lineRule="exact"/>
        <w:ind w:firstLine="680" w:firstLineChars="200"/>
        <w:rPr>
          <w:rFonts w:ascii="黑体" w:hAnsi="黑体" w:eastAsia="黑体"/>
          <w:sz w:val="32"/>
          <w:szCs w:val="32"/>
        </w:rPr>
      </w:pPr>
      <w:r>
        <w:rPr>
          <w:rFonts w:hint="eastAsia" w:ascii="黑体" w:hAnsi="黑体" w:eastAsia="黑体"/>
          <w:sz w:val="32"/>
          <w:szCs w:val="32"/>
        </w:rPr>
        <w:t>（三）对策及建议</w:t>
      </w:r>
    </w:p>
    <w:p w14:paraId="30750D6D">
      <w:pPr>
        <w:spacing w:line="560" w:lineRule="exact"/>
        <w:ind w:firstLine="680" w:firstLineChars="200"/>
        <w:rPr>
          <w:rFonts w:ascii="仿宋_GB2312" w:hAnsi="黑体" w:eastAsia="仿宋_GB2312"/>
          <w:sz w:val="32"/>
          <w:szCs w:val="32"/>
        </w:rPr>
      </w:pPr>
      <w:r>
        <w:rPr>
          <w:rFonts w:hint="eastAsia" w:ascii="楷体_GB2312" w:hAnsi="黑体" w:eastAsia="楷体_GB2312"/>
          <w:sz w:val="32"/>
          <w:szCs w:val="32"/>
        </w:rPr>
        <w:t>1.结合区位优势，重塑竞争优势，立足“三大定位功能”加快融入新发展格局。</w:t>
      </w:r>
      <w:r>
        <w:rPr>
          <w:rFonts w:hint="eastAsia" w:ascii="仿宋_GB2312" w:hAnsi="黑体" w:eastAsia="仿宋_GB2312"/>
          <w:sz w:val="32"/>
          <w:szCs w:val="32"/>
        </w:rPr>
        <w:t>聚焦五华“历史文化名城核心区、科教创新先行区、现代服务业引领区”功能定位，塑造楼宇特色品牌，打造“垂直产业园”。加快实施南屏街全国步行街改造提升试点，发挥首创奥特莱斯、宜家家居等项目品牌效应，助力消费能级提升。推动园区产业集聚发展，依托厂口产业园等产业空间载体，继续吸引高质量产业项目落地建设，形成产业项目梯次推进格局。</w:t>
      </w:r>
    </w:p>
    <w:p w14:paraId="139BC62D">
      <w:pPr>
        <w:spacing w:line="560" w:lineRule="exact"/>
        <w:ind w:firstLine="680" w:firstLineChars="200"/>
        <w:rPr>
          <w:rFonts w:ascii="楷体_GB2312" w:hAnsi="黑体" w:eastAsia="楷体_GB2312"/>
          <w:sz w:val="32"/>
          <w:szCs w:val="32"/>
        </w:rPr>
      </w:pPr>
      <w:r>
        <w:rPr>
          <w:rFonts w:hint="eastAsia" w:ascii="楷体_GB2312" w:hAnsi="黑体" w:eastAsia="楷体_GB2312"/>
          <w:sz w:val="32"/>
          <w:szCs w:val="32"/>
        </w:rPr>
        <w:t>2.加强企业培育工作力促行业转型升级</w:t>
      </w:r>
    </w:p>
    <w:p w14:paraId="0A2B0ED3">
      <w:pPr>
        <w:spacing w:line="560" w:lineRule="exact"/>
        <w:ind w:firstLine="680" w:firstLineChars="200"/>
        <w:rPr>
          <w:rFonts w:ascii="仿宋_GB2312" w:hAnsi="黑体" w:eastAsia="仿宋_GB2312"/>
          <w:sz w:val="32"/>
          <w:szCs w:val="32"/>
        </w:rPr>
      </w:pPr>
      <w:r>
        <w:rPr>
          <w:rFonts w:hint="eastAsia" w:ascii="仿宋_GB2312" w:hAnsi="黑体" w:eastAsia="仿宋_GB2312"/>
          <w:sz w:val="32"/>
          <w:szCs w:val="32"/>
        </w:rPr>
        <w:t>一是有针对性的做好升规纳统工作，对重点行业进行梳理挖掘，加大政策引导和扶持力度，重点引进、培育相关企业，增加拟达规企业储备量；二是做好准规模以上企业的摸排工作，通过与相关部门信息比对，摸排已达标未入库和有望达标的准规上服务业企业，加强对这部分企业经营状况的监测，对规模较大、成长性较好的企业重点关注，达到规模企业第一时间纳入统计库。</w:t>
      </w:r>
    </w:p>
    <w:p w14:paraId="1FB288EA">
      <w:pPr>
        <w:spacing w:line="560" w:lineRule="exact"/>
        <w:ind w:firstLine="680" w:firstLineChars="200"/>
        <w:rPr>
          <w:rFonts w:hint="eastAsia" w:ascii="仿宋_GB2312" w:hAnsi="黑体" w:eastAsia="仿宋_GB2312"/>
          <w:sz w:val="32"/>
          <w:szCs w:val="32"/>
        </w:rPr>
      </w:pPr>
      <w:r>
        <w:rPr>
          <w:rFonts w:hint="eastAsia" w:ascii="楷体_GB2312" w:hAnsi="黑体" w:eastAsia="楷体_GB2312"/>
          <w:sz w:val="32"/>
          <w:szCs w:val="32"/>
        </w:rPr>
        <w:t>3.做好统计宣传，提高报表单位配合度，做到应统尽统，夯实源头数据，充分发挥统计部门经济运行“记分员”职能。</w:t>
      </w:r>
      <w:r>
        <w:rPr>
          <w:rFonts w:hint="eastAsia" w:ascii="仿宋_GB2312" w:hAnsi="黑体" w:eastAsia="仿宋_GB2312"/>
          <w:sz w:val="32"/>
          <w:szCs w:val="32"/>
        </w:rPr>
        <w:t>做好对报表单位的服务，加强统计法律法规宣传，报表单位充分认识到统计数据重要性，提高报表单位配合度，从源头夯实统计数据。同时，提高经济运行分析精度，持续提升统计监测预测预警能力，聚焦关键指标动态反映经济运行质量。加强对业务知识学习，提高统计专业能力，分行业对经济运行现状按月度、季度进行分析，充分发挥统计的监督职能作用，为区委、区政府工作决策提供更加科学、准确统计数据依据。</w:t>
      </w:r>
    </w:p>
    <w:p w14:paraId="5322120E">
      <w:pPr>
        <w:spacing w:line="560" w:lineRule="exact"/>
        <w:rPr>
          <w:rFonts w:hint="eastAsia" w:ascii="黑体" w:hAnsi="黑体" w:eastAsia="黑体" w:cs="宋体"/>
          <w:b/>
          <w:bCs/>
          <w:color w:val="000000"/>
          <w:sz w:val="44"/>
          <w:szCs w:val="44"/>
        </w:rPr>
      </w:pPr>
    </w:p>
    <w:p w14:paraId="65A18B6A">
      <w:pPr>
        <w:spacing w:line="560" w:lineRule="exact"/>
        <w:rPr>
          <w:rFonts w:hint="eastAsia" w:ascii="黑体" w:hAnsi="黑体" w:eastAsia="黑体" w:cs="宋体"/>
          <w:b/>
          <w:bCs/>
          <w:color w:val="000000"/>
          <w:sz w:val="44"/>
          <w:szCs w:val="44"/>
        </w:rPr>
      </w:pPr>
    </w:p>
    <w:p w14:paraId="7461C6F6">
      <w:pPr>
        <w:spacing w:line="560" w:lineRule="exact"/>
        <w:jc w:val="center"/>
        <w:rPr>
          <w:rFonts w:hint="eastAsia" w:ascii="黑体" w:hAnsi="黑体" w:eastAsia="黑体" w:cs="宋体"/>
          <w:b/>
          <w:bCs/>
          <w:color w:val="000000"/>
          <w:sz w:val="44"/>
          <w:szCs w:val="44"/>
        </w:rPr>
      </w:pPr>
    </w:p>
    <w:p w14:paraId="2B05F99E">
      <w:pPr>
        <w:spacing w:line="560" w:lineRule="exact"/>
        <w:jc w:val="center"/>
        <w:rPr>
          <w:rFonts w:hint="eastAsia" w:ascii="黑体" w:hAnsi="黑体" w:eastAsia="黑体" w:cs="宋体"/>
          <w:b/>
          <w:bCs/>
          <w:color w:val="000000"/>
          <w:sz w:val="44"/>
          <w:szCs w:val="44"/>
        </w:rPr>
      </w:pPr>
    </w:p>
    <w:p w14:paraId="00D94873">
      <w:pPr>
        <w:spacing w:line="560" w:lineRule="exact"/>
        <w:jc w:val="center"/>
        <w:rPr>
          <w:rFonts w:hint="eastAsia" w:ascii="黑体" w:hAnsi="黑体" w:eastAsia="黑体" w:cs="宋体"/>
          <w:b/>
          <w:bCs/>
          <w:color w:val="000000"/>
          <w:sz w:val="44"/>
          <w:szCs w:val="44"/>
        </w:rPr>
      </w:pPr>
    </w:p>
    <w:p w14:paraId="4FF15FA2">
      <w:pPr>
        <w:spacing w:line="560" w:lineRule="exact"/>
        <w:jc w:val="center"/>
        <w:rPr>
          <w:rFonts w:hint="eastAsia" w:ascii="黑体" w:hAnsi="黑体" w:eastAsia="黑体" w:cs="宋体"/>
          <w:b/>
          <w:bCs/>
          <w:color w:val="000000"/>
          <w:sz w:val="44"/>
          <w:szCs w:val="44"/>
        </w:rPr>
      </w:pPr>
    </w:p>
    <w:p w14:paraId="146812B3">
      <w:pPr>
        <w:spacing w:line="560" w:lineRule="exact"/>
        <w:jc w:val="center"/>
        <w:rPr>
          <w:rFonts w:ascii="黑体" w:hAnsi="黑体" w:eastAsia="黑体" w:cs="宋体"/>
          <w:b/>
          <w:bCs/>
          <w:color w:val="000000"/>
          <w:sz w:val="44"/>
          <w:szCs w:val="44"/>
        </w:rPr>
      </w:pPr>
      <w:r>
        <w:rPr>
          <w:rFonts w:hint="eastAsia" w:ascii="黑体" w:hAnsi="黑体" w:eastAsia="黑体" w:cs="宋体"/>
          <w:b/>
          <w:bCs/>
          <w:color w:val="000000"/>
          <w:sz w:val="44"/>
          <w:szCs w:val="44"/>
        </w:rPr>
        <w:t>第二章  产品质量状况</w:t>
      </w:r>
    </w:p>
    <w:p w14:paraId="6AEB2D9D">
      <w:pPr>
        <w:spacing w:line="560" w:lineRule="exact"/>
        <w:ind w:firstLine="680" w:firstLineChars="200"/>
        <w:rPr>
          <w:rFonts w:ascii="楷体_GB2312" w:hAnsi="仿宋" w:eastAsia="楷体_GB2312" w:cs="宋体"/>
          <w:b/>
          <w:bCs/>
          <w:color w:val="000000"/>
          <w:sz w:val="32"/>
          <w:szCs w:val="32"/>
        </w:rPr>
      </w:pPr>
      <w:r>
        <w:rPr>
          <w:rFonts w:hint="eastAsia" w:ascii="楷体_GB2312" w:hAnsi="仿宋" w:eastAsia="楷体_GB2312" w:cs="宋体"/>
          <w:b/>
          <w:bCs/>
          <w:color w:val="000000"/>
          <w:sz w:val="32"/>
          <w:szCs w:val="32"/>
        </w:rPr>
        <w:t>一、工业产品质量状况</w:t>
      </w:r>
    </w:p>
    <w:p w14:paraId="25AC29E8">
      <w:pPr>
        <w:pStyle w:val="11"/>
        <w:widowControl/>
        <w:spacing w:before="0" w:beforeAutospacing="0" w:after="0" w:afterAutospacing="0" w:line="450" w:lineRule="atLeast"/>
        <w:ind w:firstLine="645"/>
        <w:jc w:val="both"/>
        <w:rPr>
          <w:rFonts w:hint="eastAsia" w:ascii="仿宋" w:hAnsi="仿宋" w:eastAsia="仿宋" w:cs="黑体"/>
          <w:sz w:val="32"/>
          <w:szCs w:val="32"/>
        </w:rPr>
      </w:pPr>
      <w:r>
        <w:rPr>
          <w:rFonts w:hint="eastAsia" w:ascii="仿宋" w:hAnsi="仿宋" w:eastAsia="仿宋" w:cs="黑体"/>
          <w:sz w:val="32"/>
          <w:szCs w:val="32"/>
        </w:rPr>
        <w:t>五华区人民政府高度重视工业产品质量状况，根据五华区服务业占比较大的实际情况，在流通渠道按照国家、省、市的统一安排，全年对校服、眼镜、学生用品、贵金属、生活用纸、消防器材、节水产品、液化石油气、车用燃油、洗涤用品、农用棚膜、</w:t>
      </w:r>
      <w:r>
        <w:rPr>
          <w:rFonts w:hint="eastAsia" w:ascii="仿宋" w:hAnsi="仿宋" w:eastAsia="仿宋"/>
          <w:sz w:val="32"/>
          <w:szCs w:val="32"/>
        </w:rPr>
        <w:t>电动自行车</w:t>
      </w:r>
      <w:r>
        <w:rPr>
          <w:rFonts w:hint="eastAsia" w:ascii="仿宋" w:hAnsi="仿宋" w:eastAsia="仿宋" w:cs="黑体"/>
          <w:sz w:val="32"/>
          <w:szCs w:val="32"/>
        </w:rPr>
        <w:t>等涉及明生的产品进行了160余个批次的抽检。在生产领域先后对工业硫酸、防伪技术产品、</w:t>
      </w:r>
      <w:r>
        <w:rPr>
          <w:rFonts w:hint="eastAsia" w:ascii="仿宋" w:hAnsi="仿宋" w:eastAsia="仿宋"/>
          <w:sz w:val="32"/>
          <w:szCs w:val="32"/>
        </w:rPr>
        <w:t>混凝土实心砖、</w:t>
      </w:r>
      <w:r>
        <w:rPr>
          <w:rFonts w:hint="eastAsia" w:ascii="仿宋" w:hAnsi="仿宋" w:eastAsia="仿宋" w:cs="黑体"/>
          <w:sz w:val="32"/>
          <w:szCs w:val="32"/>
        </w:rPr>
        <w:t>建筑玻璃等产品进行了20余批次的抽检。其中13个批次的产品不合格。</w:t>
      </w:r>
    </w:p>
    <w:p w14:paraId="63351AAD">
      <w:pPr>
        <w:pStyle w:val="11"/>
        <w:widowControl/>
        <w:spacing w:before="0" w:beforeAutospacing="0" w:after="0" w:afterAutospacing="0" w:line="450" w:lineRule="atLeast"/>
        <w:ind w:firstLine="645"/>
        <w:jc w:val="both"/>
        <w:rPr>
          <w:rFonts w:hint="eastAsia" w:ascii="仿宋" w:hAnsi="仿宋" w:eastAsia="仿宋" w:cs="黑体"/>
          <w:sz w:val="32"/>
          <w:szCs w:val="32"/>
        </w:rPr>
      </w:pPr>
      <w:r>
        <w:rPr>
          <w:rFonts w:hint="eastAsia" w:ascii="仿宋" w:hAnsi="仿宋" w:eastAsia="仿宋" w:cs="黑体"/>
          <w:sz w:val="32"/>
          <w:szCs w:val="32"/>
        </w:rPr>
        <w:t>抽检不合格流通领域主要集中在定配眼镜、贵金属和生活用纸，生产领域主要集中在</w:t>
      </w:r>
      <w:r>
        <w:rPr>
          <w:rFonts w:hint="eastAsia" w:ascii="仿宋" w:hAnsi="仿宋" w:eastAsia="仿宋"/>
          <w:sz w:val="32"/>
          <w:szCs w:val="32"/>
        </w:rPr>
        <w:t>混凝土实心砖、</w:t>
      </w:r>
      <w:r>
        <w:rPr>
          <w:rFonts w:hint="eastAsia" w:ascii="仿宋" w:hAnsi="仿宋" w:eastAsia="仿宋" w:cs="黑体"/>
          <w:sz w:val="32"/>
          <w:szCs w:val="32"/>
        </w:rPr>
        <w:t>建筑玻璃上。</w:t>
      </w:r>
    </w:p>
    <w:p w14:paraId="78C50508">
      <w:pPr>
        <w:pStyle w:val="11"/>
        <w:widowControl/>
        <w:spacing w:before="0" w:beforeAutospacing="0" w:after="0" w:afterAutospacing="0" w:line="450" w:lineRule="atLeast"/>
        <w:ind w:firstLine="645"/>
        <w:jc w:val="both"/>
        <w:rPr>
          <w:rFonts w:hint="eastAsia" w:ascii="仿宋" w:hAnsi="仿宋" w:eastAsia="仿宋" w:cs="黑体"/>
          <w:sz w:val="32"/>
          <w:szCs w:val="32"/>
        </w:rPr>
      </w:pPr>
      <w:r>
        <w:rPr>
          <w:rFonts w:hint="eastAsia" w:ascii="仿宋" w:hAnsi="仿宋" w:eastAsia="仿宋" w:cs="黑体"/>
          <w:sz w:val="32"/>
          <w:szCs w:val="32"/>
        </w:rPr>
        <w:t>其中定配眼镜、贵金属主要是标识标签不规范，生活用纸、</w:t>
      </w:r>
      <w:r>
        <w:rPr>
          <w:rFonts w:hint="eastAsia" w:ascii="仿宋" w:hAnsi="仿宋" w:eastAsia="仿宋"/>
          <w:sz w:val="32"/>
          <w:szCs w:val="32"/>
        </w:rPr>
        <w:t>混凝土实心砖及</w:t>
      </w:r>
      <w:r>
        <w:rPr>
          <w:rFonts w:hint="eastAsia" w:ascii="仿宋" w:hAnsi="仿宋" w:eastAsia="仿宋" w:cs="黑体"/>
          <w:sz w:val="32"/>
          <w:szCs w:val="32"/>
        </w:rPr>
        <w:t>建筑玻璃主要是主要指标不达标。</w:t>
      </w:r>
    </w:p>
    <w:p w14:paraId="285B2EE0">
      <w:pPr>
        <w:spacing w:line="450" w:lineRule="atLeast"/>
        <w:ind w:firstLine="680" w:firstLineChars="200"/>
        <w:rPr>
          <w:rFonts w:ascii="仿宋" w:hAnsi="仿宋" w:eastAsia="仿宋" w:cs="宋体"/>
          <w:color w:val="000000"/>
          <w:sz w:val="32"/>
          <w:szCs w:val="32"/>
          <w:shd w:val="clear" w:color="auto" w:fill="FFFFFF"/>
        </w:rPr>
      </w:pPr>
      <w:r>
        <w:rPr>
          <w:rFonts w:hint="eastAsia" w:ascii="仿宋" w:hAnsi="仿宋" w:eastAsia="仿宋" w:cs="宋体"/>
          <w:color w:val="000000"/>
          <w:sz w:val="32"/>
          <w:szCs w:val="32"/>
          <w:shd w:val="clear" w:color="auto" w:fill="FFFFFF"/>
        </w:rPr>
        <w:t>根据监督抽查情况分析，我区工业产品主要存在以下方面问题：</w:t>
      </w:r>
    </w:p>
    <w:p w14:paraId="306DEB08">
      <w:pPr>
        <w:spacing w:line="450" w:lineRule="atLeast"/>
        <w:ind w:firstLine="680" w:firstLineChars="200"/>
        <w:rPr>
          <w:rFonts w:hint="eastAsia" w:ascii="仿宋" w:hAnsi="仿宋" w:eastAsia="仿宋" w:cs="宋体"/>
          <w:color w:val="000000"/>
          <w:sz w:val="32"/>
          <w:szCs w:val="32"/>
          <w:shd w:val="clear" w:color="auto" w:fill="FFFFFF"/>
        </w:rPr>
      </w:pPr>
      <w:r>
        <w:rPr>
          <w:rFonts w:hint="eastAsia" w:ascii="仿宋" w:hAnsi="仿宋" w:eastAsia="仿宋" w:cs="宋体"/>
          <w:color w:val="000000"/>
          <w:sz w:val="32"/>
          <w:szCs w:val="32"/>
          <w:shd w:val="clear" w:color="auto" w:fill="FFFFFF"/>
        </w:rPr>
        <w:t>一是流通渠道的企业没有认真执行国家相关法律法规及标准。</w:t>
      </w:r>
    </w:p>
    <w:p w14:paraId="6032EAA0">
      <w:pPr>
        <w:spacing w:line="450" w:lineRule="atLeast"/>
        <w:ind w:firstLine="680" w:firstLineChars="200"/>
        <w:rPr>
          <w:rFonts w:ascii="仿宋" w:hAnsi="仿宋" w:eastAsia="仿宋" w:cs="宋体"/>
          <w:color w:val="000000"/>
          <w:sz w:val="32"/>
          <w:szCs w:val="32"/>
          <w:shd w:val="clear" w:color="auto" w:fill="FFFFFF"/>
        </w:rPr>
      </w:pPr>
      <w:r>
        <w:rPr>
          <w:rFonts w:hint="eastAsia" w:ascii="仿宋" w:hAnsi="仿宋" w:eastAsia="仿宋" w:cs="宋体"/>
          <w:color w:val="000000"/>
          <w:sz w:val="32"/>
          <w:szCs w:val="32"/>
          <w:shd w:val="clear" w:color="auto" w:fill="FFFFFF"/>
        </w:rPr>
        <w:t>二是小型微型生产企业的自身质量管理水平较低，缺乏必要的产品质量监控能力；</w:t>
      </w:r>
    </w:p>
    <w:p w14:paraId="1B1A519A">
      <w:pPr>
        <w:spacing w:line="450" w:lineRule="atLeast"/>
        <w:ind w:firstLine="680" w:firstLineChars="200"/>
        <w:rPr>
          <w:rFonts w:hint="eastAsia" w:ascii="仿宋" w:hAnsi="仿宋" w:eastAsia="仿宋" w:cs="宋体"/>
          <w:color w:val="000000"/>
          <w:sz w:val="32"/>
          <w:szCs w:val="32"/>
          <w:shd w:val="clear" w:color="auto" w:fill="FFFFFF"/>
        </w:rPr>
      </w:pPr>
      <w:r>
        <w:rPr>
          <w:rFonts w:hint="eastAsia" w:ascii="仿宋" w:hAnsi="仿宋" w:eastAsia="仿宋" w:cs="宋体"/>
          <w:color w:val="000000"/>
          <w:sz w:val="32"/>
          <w:szCs w:val="32"/>
          <w:shd w:val="clear" w:color="auto" w:fill="FFFFFF"/>
        </w:rPr>
        <w:t>三是生产企业法人忽视产品质量管理，一味追求经济效益，对国家强制性标准执行不严，没有严格按标准组织生产、偷工减料、降低标准。</w:t>
      </w:r>
    </w:p>
    <w:p w14:paraId="4DC533D8">
      <w:pPr>
        <w:spacing w:line="450" w:lineRule="atLeast"/>
        <w:ind w:firstLine="680" w:firstLineChars="200"/>
        <w:rPr>
          <w:rFonts w:hint="eastAsia" w:ascii="仿宋" w:hAnsi="仿宋" w:eastAsia="仿宋" w:cs="宋体"/>
          <w:color w:val="000000"/>
          <w:sz w:val="32"/>
          <w:szCs w:val="32"/>
          <w:shd w:val="clear" w:color="auto" w:fill="FFFFFF"/>
        </w:rPr>
      </w:pPr>
      <w:r>
        <w:rPr>
          <w:rFonts w:hint="eastAsia" w:ascii="仿宋" w:hAnsi="仿宋" w:eastAsia="仿宋" w:cs="宋体"/>
          <w:color w:val="000000"/>
          <w:sz w:val="32"/>
          <w:szCs w:val="32"/>
          <w:shd w:val="clear" w:color="auto" w:fill="FFFFFF"/>
        </w:rPr>
        <w:t>四是自主品牌附加值不高，核心竞争力不强。由于缺乏核心技术，原创性设计不够，产品档次偏低，结构性矛盾突出；</w:t>
      </w:r>
      <w:bookmarkStart w:id="2" w:name="_Toc30135"/>
      <w:bookmarkStart w:id="3" w:name="_Toc6145"/>
      <w:bookmarkStart w:id="4" w:name="_Toc511586991"/>
    </w:p>
    <w:p w14:paraId="23AD01E9">
      <w:pPr>
        <w:numPr>
          <w:ilvl w:val="0"/>
          <w:numId w:val="3"/>
        </w:numPr>
        <w:spacing w:line="360" w:lineRule="auto"/>
        <w:rPr>
          <w:rFonts w:hint="eastAsia" w:ascii="楷体_GB2312" w:eastAsia="楷体_GB2312"/>
          <w:b/>
          <w:color w:val="000000"/>
          <w:sz w:val="32"/>
          <w:szCs w:val="32"/>
        </w:rPr>
      </w:pPr>
      <w:r>
        <w:rPr>
          <w:rFonts w:hint="eastAsia" w:ascii="楷体_GB2312" w:eastAsia="楷体_GB2312"/>
          <w:b/>
          <w:color w:val="000000"/>
          <w:sz w:val="32"/>
          <w:szCs w:val="32"/>
        </w:rPr>
        <w:t>农产品质量状况</w:t>
      </w:r>
      <w:bookmarkEnd w:id="2"/>
      <w:bookmarkEnd w:id="3"/>
      <w:bookmarkEnd w:id="4"/>
    </w:p>
    <w:p w14:paraId="358F7196">
      <w:pPr>
        <w:pStyle w:val="11"/>
        <w:widowControl/>
        <w:spacing w:before="0" w:beforeAutospacing="0" w:after="0" w:afterAutospacing="0" w:line="600" w:lineRule="exact"/>
        <w:ind w:firstLine="680" w:firstLineChars="200"/>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（一）农业发展概况和质量基本情况</w:t>
      </w:r>
    </w:p>
    <w:p w14:paraId="7E402CA6">
      <w:pPr>
        <w:spacing w:line="600" w:lineRule="exact"/>
        <w:ind w:firstLine="680" w:firstLineChars="200"/>
        <w:rPr>
          <w:rFonts w:hint="eastAsia" w:ascii="仿宋_GB2312" w:hAnsi="仿宋_GB2312" w:eastAsia="仿宋_GB2312" w:cs="仿宋_GB2312"/>
          <w:color w:val="000000"/>
          <w:sz w:val="32"/>
          <w:szCs w:val="32"/>
        </w:rPr>
      </w:pPr>
      <w:r>
        <w:rPr>
          <w:rFonts w:hint="eastAsia" w:ascii="楷体_GB2312" w:hAnsi="楷体" w:eastAsia="楷体_GB2312" w:cs="楷体_GB2312"/>
          <w:b/>
          <w:bCs/>
          <w:color w:val="000000"/>
          <w:sz w:val="32"/>
          <w:szCs w:val="32"/>
        </w:rPr>
        <w:t>1.种植业：</w:t>
      </w:r>
      <w:r>
        <w:rPr>
          <w:rFonts w:hint="eastAsia" w:ascii="仿宋_GB2312" w:hAnsi="仿宋_GB2312" w:eastAsia="仿宋_GB2312" w:cs="仿宋_GB2312"/>
          <w:color w:val="000000"/>
          <w:sz w:val="32"/>
          <w:szCs w:val="32"/>
        </w:rPr>
        <w:t>稳定粮食生产，五华区以蔬菜为主导产业，积极推进特色农业发展。</w:t>
      </w:r>
    </w:p>
    <w:p w14:paraId="2845F086">
      <w:pPr>
        <w:spacing w:line="600" w:lineRule="exact"/>
        <w:ind w:firstLine="680" w:firstLineChars="200"/>
        <w:rPr>
          <w:rFonts w:hint="eastAsia" w:ascii="仿宋_GB2312" w:hAnsi="仿宋" w:eastAsia="仿宋_GB2312"/>
          <w:color w:val="000000"/>
          <w:sz w:val="32"/>
          <w:szCs w:val="32"/>
        </w:rPr>
      </w:pPr>
      <w:r>
        <w:rPr>
          <w:rFonts w:hint="eastAsia" w:ascii="仿宋_GB2312" w:hAnsi="仿宋" w:eastAsia="仿宋_GB2312"/>
          <w:b/>
          <w:color w:val="000000"/>
          <w:sz w:val="32"/>
          <w:szCs w:val="32"/>
        </w:rPr>
        <w:t>（1）粮食生产。</w:t>
      </w:r>
      <w:r>
        <w:rPr>
          <w:rFonts w:hint="eastAsia" w:ascii="仿宋_GB2312" w:hAnsi="仿宋" w:eastAsia="仿宋_GB2312"/>
          <w:color w:val="000000"/>
          <w:sz w:val="32"/>
          <w:szCs w:val="32"/>
        </w:rPr>
        <w:t>2020年全年完成粮作总播面积3.1548万亩，其中：小春粮食作物播种面积0.7万亩，大春粮食作物播种面积2.4548万亩。完成全年粮食总产1.0803万吨，其中：小春粮食总产0.179万吨，大春总产0.9013万吨。</w:t>
      </w:r>
    </w:p>
    <w:p w14:paraId="35134942">
      <w:pPr>
        <w:spacing w:line="600" w:lineRule="exact"/>
        <w:ind w:firstLine="680" w:firstLineChars="200"/>
        <w:rPr>
          <w:rFonts w:hint="eastAsia" w:ascii="仿宋_GB2312" w:hAnsi="楷体" w:eastAsia="仿宋_GB2312"/>
          <w:b/>
          <w:color w:val="000000"/>
          <w:sz w:val="32"/>
          <w:szCs w:val="32"/>
        </w:rPr>
      </w:pPr>
      <w:r>
        <w:rPr>
          <w:rFonts w:hint="eastAsia" w:ascii="仿宋_GB2312" w:hAnsi="楷体" w:eastAsia="仿宋_GB2312"/>
          <w:b/>
          <w:color w:val="000000"/>
          <w:sz w:val="32"/>
          <w:szCs w:val="32"/>
        </w:rPr>
        <w:t>（2）经济作物生产。</w:t>
      </w:r>
      <w:r>
        <w:rPr>
          <w:rFonts w:hint="eastAsia" w:ascii="仿宋_GB2312" w:hAnsi="仿宋" w:eastAsia="仿宋_GB2312"/>
          <w:color w:val="000000"/>
          <w:sz w:val="32"/>
          <w:szCs w:val="32"/>
        </w:rPr>
        <w:t>完成蔬菜播种面积2.6254万亩，产量4.8185万吨，产值1.684亿元。水果种植面积15660.5亩，产量15447.2吨，产值1.170104亿元。稻渔综合种养面积275亩，产量11845公斤，产值592250元。鲜切花种植面积872亩，产量1208万枝，产值26688.49万元。</w:t>
      </w:r>
    </w:p>
    <w:p w14:paraId="7EF56368">
      <w:pPr>
        <w:spacing w:line="600" w:lineRule="exact"/>
        <w:ind w:firstLine="680" w:firstLineChars="200"/>
        <w:rPr>
          <w:rFonts w:hint="eastAsia" w:ascii="仿宋_GB2312" w:eastAsia="仿宋_GB2312"/>
          <w:color w:val="000000"/>
          <w:sz w:val="32"/>
          <w:szCs w:val="32"/>
        </w:rPr>
      </w:pPr>
      <w:r>
        <w:rPr>
          <w:rFonts w:hint="eastAsia" w:ascii="楷体_GB2312" w:hAnsi="楷体" w:eastAsia="楷体_GB2312" w:cs="楷体_GB2312"/>
          <w:b/>
          <w:bCs/>
          <w:color w:val="000000"/>
          <w:sz w:val="32"/>
          <w:szCs w:val="32"/>
        </w:rPr>
        <w:t>2.养殖业：</w:t>
      </w:r>
      <w:r>
        <w:rPr>
          <w:rFonts w:hint="eastAsia" w:ascii="仿宋_GB2312" w:eastAsia="仿宋_GB2312"/>
          <w:color w:val="000000"/>
          <w:sz w:val="32"/>
          <w:szCs w:val="32"/>
        </w:rPr>
        <w:t>五华区畜禽养殖集中在西翥街道办事处，规模养殖化程度高，饲养种类以生猪、蛋鸡为主。2020年，五华区生猪存栏18635头，牛存栏1533头，羊存栏8133只;禽类存栏239997羽，其中蛋鸡存栏193900羽。生猪全年出栏6125头，牛全年出栏1234头，羊全年出栏2321头；禽类出栏86299羽，其中肉鸡出栏67459羽；肉类总产891.64吨，禽蛋产量4332吨，奶类总产量791.22吨，畜牧业产值0.845亿元，较去年同期1.46亿元下降42.12%，下降原因主要是受非洲猪瘟疫病防控形势及辖区无序养殖整治双重影响，生猪产能下降所致。</w:t>
      </w:r>
    </w:p>
    <w:p w14:paraId="2E8FD8C9">
      <w:pPr>
        <w:pStyle w:val="11"/>
        <w:widowControl/>
        <w:spacing w:before="0" w:beforeAutospacing="0" w:after="0" w:afterAutospacing="0" w:line="600" w:lineRule="exact"/>
        <w:ind w:firstLine="68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（二）农产品质量安全工作开展情况</w:t>
      </w:r>
    </w:p>
    <w:p w14:paraId="38667E09">
      <w:pPr>
        <w:pStyle w:val="11"/>
        <w:widowControl/>
        <w:spacing w:before="0" w:beforeAutospacing="0" w:after="0" w:afterAutospacing="0" w:line="600" w:lineRule="exact"/>
        <w:ind w:left="460" w:leftChars="200" w:firstLine="340" w:firstLineChars="100"/>
        <w:rPr>
          <w:rFonts w:hint="eastAsia" w:ascii="仿宋_GB2312" w:hAnsi="宋体" w:eastAsia="仿宋_GB2312" w:cs="宋体"/>
          <w:color w:val="000000"/>
          <w:sz w:val="32"/>
          <w:szCs w:val="32"/>
        </w:rPr>
      </w:pPr>
      <w:r>
        <w:rPr>
          <w:rFonts w:hint="eastAsia" w:ascii="楷体_GB2312" w:hAnsi="楷体" w:eastAsia="楷体_GB2312" w:cs="楷体_GB2312"/>
          <w:b/>
          <w:bCs/>
          <w:color w:val="000000"/>
          <w:sz w:val="32"/>
          <w:szCs w:val="32"/>
        </w:rPr>
        <w:t>1.</w:t>
      </w:r>
      <w:r>
        <w:rPr>
          <w:rFonts w:hint="eastAsia" w:ascii="楷体_GB2312" w:hAnsi="宋体" w:eastAsia="楷体_GB2312" w:cs="宋体"/>
          <w:b/>
          <w:color w:val="000000"/>
          <w:sz w:val="32"/>
          <w:szCs w:val="32"/>
        </w:rPr>
        <w:t>积极推行农产品质量安全追溯试点</w:t>
      </w:r>
      <w:r>
        <w:rPr>
          <w:rFonts w:hint="eastAsia" w:ascii="楷体_GB2312" w:hAnsi="仿宋" w:eastAsia="楷体_GB2312" w:cs="仿宋"/>
          <w:b/>
          <w:color w:val="000000"/>
          <w:sz w:val="32"/>
          <w:szCs w:val="32"/>
        </w:rPr>
        <w:t>。</w:t>
      </w:r>
    </w:p>
    <w:p w14:paraId="177A735D">
      <w:pPr>
        <w:spacing w:line="600" w:lineRule="exact"/>
        <w:ind w:firstLine="68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kern w:val="0"/>
          <w:sz w:val="32"/>
          <w:szCs w:val="32"/>
        </w:rPr>
        <w:t>（1）确定蔬菜质量安全追溯试点企业，通过前期认真筛选，推荐凯普和良道蔬菜生产企业作为我区产地农产品质量安全追溯试点网上平台操作的培训，逐步完善对蔬菜生产相关环节操作的田间档案和加工、包装运输等记录，确保在销售出的农产品中客户能够查询到从生产加工等流程全面透明化的质量安全可追溯信息、示范带动其他基地的产品质量安全追溯。</w:t>
      </w:r>
      <w:r>
        <w:rPr>
          <w:rFonts w:hint="eastAsia" w:ascii="仿宋_GB2312" w:hAnsi="仿宋_GB2312" w:eastAsia="仿宋_GB2312" w:cs="仿宋_GB2312"/>
          <w:color w:val="000000"/>
          <w:sz w:val="32"/>
          <w:szCs w:val="32"/>
        </w:rPr>
        <w:t>年辖区有14家龙头企业上线“云南省农产品质量安全追溯信息平台”，实现了产地农产品可追溯。</w:t>
      </w:r>
    </w:p>
    <w:p w14:paraId="31F38C25">
      <w:pPr>
        <w:spacing w:line="600" w:lineRule="exact"/>
        <w:ind w:firstLine="68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继续推行产地蔬菜农残快速检测。依托基层农技推广、农产品质量安全可追溯体系建设等项目已实现涉农街道办事处（西翥街道办事处）建立了农残快速测检测机构；辖区8家主要（种植类）农产品生产企业已建立农残快速检测室2家，开展农药残留检测率达25%。</w:t>
      </w:r>
    </w:p>
    <w:p w14:paraId="1882C680">
      <w:pPr>
        <w:widowControl/>
        <w:spacing w:line="600" w:lineRule="exact"/>
        <w:ind w:firstLine="68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（3）加强农业生态环境监测，</w:t>
      </w:r>
      <w:r>
        <w:rPr>
          <w:rFonts w:hint="eastAsia" w:ascii="仿宋_GB2312" w:hAnsi="仿宋_GB2312" w:eastAsia="仿宋_GB2312" w:cs="仿宋_GB2312"/>
          <w:color w:val="000000"/>
          <w:kern w:val="0"/>
          <w:sz w:val="32"/>
          <w:szCs w:val="32"/>
          <w:lang w:bidi="ar"/>
        </w:rPr>
        <w:t>推行农药零增长计划。坚持“预防为主，综合防治”的方针，树立“科学植保、绿色植保、公共植保”的理念，加强病、虫、草、鼠害预测预报和绿色防控，在蔬菜作物上积极推广有害生物综合防治IPM技术，应用农业、物理、生物等技术对农业有害生物进行综合治理，提高防治效益，减少化学农药施用量。在西翥街道办事处范围设置农药、化肥使用监测点11个，病虫害长期定位监测点2个，积极开展农药监测、调查工作，全面掌握辖区内农药使用品种、施用量及毒性情况，</w:t>
      </w:r>
      <w:r>
        <w:rPr>
          <w:rFonts w:hint="eastAsia" w:ascii="仿宋_GB2312" w:hAnsi="仿宋_GB2312" w:eastAsia="仿宋_GB2312" w:cs="仿宋_GB2312"/>
          <w:color w:val="000000"/>
          <w:kern w:val="0"/>
          <w:sz w:val="32"/>
          <w:szCs w:val="32"/>
        </w:rPr>
        <w:t>进一步分析评估环境质量安全水平。</w:t>
      </w:r>
    </w:p>
    <w:p w14:paraId="43ADE63E">
      <w:pPr>
        <w:pStyle w:val="11"/>
        <w:widowControl/>
        <w:spacing w:before="0" w:beforeAutospacing="0" w:after="0" w:afterAutospacing="0" w:line="600" w:lineRule="exact"/>
        <w:ind w:firstLine="680" w:firstLineChars="200"/>
        <w:rPr>
          <w:rFonts w:hint="eastAsia" w:ascii="仿宋_GB2312" w:hAnsi="仿宋_GB2312" w:eastAsia="仿宋_GB2312" w:cs="仿宋_GB2312"/>
          <w:b/>
          <w:bCs/>
          <w:color w:val="000000"/>
          <w:sz w:val="32"/>
          <w:szCs w:val="32"/>
          <w:shd w:val="clear" w:color="auto" w:fill="FFFFFF"/>
        </w:rPr>
      </w:pPr>
      <w:r>
        <w:rPr>
          <w:rFonts w:hint="eastAsia" w:ascii="楷体_GB2312" w:hAnsi="楷体" w:eastAsia="楷体_GB2312" w:cs="楷体_GB2312"/>
          <w:b/>
          <w:bCs/>
          <w:color w:val="000000"/>
          <w:sz w:val="32"/>
          <w:szCs w:val="32"/>
        </w:rPr>
        <w:t>2.</w:t>
      </w:r>
      <w:r>
        <w:rPr>
          <w:rFonts w:hint="eastAsia" w:ascii="仿宋_GB2312" w:hAnsi="仿宋_GB2312" w:eastAsia="仿宋_GB2312" w:cs="仿宋_GB2312"/>
          <w:b/>
          <w:bCs/>
          <w:color w:val="000000"/>
          <w:sz w:val="32"/>
          <w:szCs w:val="32"/>
          <w:shd w:val="clear" w:color="auto" w:fill="FFFFFF"/>
        </w:rPr>
        <w:t>农产品生态绿色品牌创建。</w:t>
      </w:r>
    </w:p>
    <w:p w14:paraId="37DFF3CE">
      <w:pPr>
        <w:spacing w:line="600" w:lineRule="exact"/>
        <w:ind w:firstLine="850" w:firstLineChars="250"/>
        <w:jc w:val="left"/>
        <w:rPr>
          <w:rFonts w:hint="eastAsia" w:ascii="仿宋_GB2312" w:hAnsi="仿宋" w:eastAsia="仿宋_GB2312" w:cs="仿宋"/>
          <w:color w:val="000000"/>
          <w:kern w:val="0"/>
          <w:sz w:val="32"/>
          <w:szCs w:val="32"/>
        </w:rPr>
      </w:pPr>
      <w:r>
        <w:rPr>
          <w:rFonts w:hint="eastAsia" w:ascii="仿宋_GB2312" w:eastAsia="仿宋_GB2312"/>
          <w:color w:val="000000"/>
          <w:sz w:val="32"/>
          <w:szCs w:val="32"/>
        </w:rPr>
        <w:t>全</w:t>
      </w:r>
      <w:r>
        <w:rPr>
          <w:rFonts w:ascii="仿宋_GB2312" w:hAnsi="仿宋" w:eastAsia="仿宋_GB2312" w:cs="仿宋"/>
          <w:color w:val="000000"/>
          <w:kern w:val="0"/>
          <w:sz w:val="32"/>
          <w:szCs w:val="32"/>
        </w:rPr>
        <w:t>面扶持农业品牌建设，优化主导产业，鼓励和支持企业提升品牌价值。其中，云澳达牌澳洲坚果被评为2018年</w:t>
      </w:r>
      <w:r>
        <w:rPr>
          <w:rFonts w:hint="eastAsia" w:ascii="仿宋_GB2312" w:hAnsi="仿宋" w:eastAsia="仿宋_GB2312" w:cs="仿宋"/>
          <w:color w:val="000000"/>
          <w:kern w:val="0"/>
          <w:sz w:val="32"/>
          <w:szCs w:val="32"/>
        </w:rPr>
        <w:t>和2020年</w:t>
      </w:r>
      <w:r>
        <w:rPr>
          <w:rFonts w:ascii="仿宋_GB2312" w:hAnsi="仿宋" w:eastAsia="仿宋_GB2312" w:cs="仿宋"/>
          <w:color w:val="000000"/>
          <w:kern w:val="0"/>
          <w:sz w:val="32"/>
          <w:szCs w:val="32"/>
        </w:rPr>
        <w:t>云南省“十大名果”</w:t>
      </w:r>
      <w:r>
        <w:rPr>
          <w:rFonts w:hint="eastAsia" w:ascii="仿宋_GB2312" w:hAnsi="仿宋" w:eastAsia="仿宋_GB2312" w:cs="仿宋"/>
          <w:color w:val="000000"/>
          <w:kern w:val="0"/>
          <w:sz w:val="32"/>
          <w:szCs w:val="32"/>
        </w:rPr>
        <w:t>、2020年昆明市“10大名优”农产品；凯普</w:t>
      </w:r>
      <w:r>
        <w:rPr>
          <w:rFonts w:ascii="仿宋_GB2312" w:hAnsi="仿宋" w:eastAsia="仿宋_GB2312" w:cs="仿宋"/>
          <w:color w:val="000000"/>
          <w:kern w:val="0"/>
          <w:sz w:val="32"/>
          <w:szCs w:val="32"/>
        </w:rPr>
        <w:t>“鲜为牌”绿色蔬菜被评为2019年云南省“十大名菜”</w:t>
      </w:r>
      <w:r>
        <w:rPr>
          <w:rFonts w:hint="eastAsia" w:ascii="仿宋_GB2312" w:hAnsi="仿宋" w:eastAsia="仿宋_GB2312" w:cs="仿宋"/>
          <w:color w:val="000000"/>
          <w:kern w:val="0"/>
          <w:sz w:val="32"/>
          <w:szCs w:val="32"/>
        </w:rPr>
        <w:t>和昆明市</w:t>
      </w:r>
      <w:r>
        <w:rPr>
          <w:rFonts w:ascii="仿宋_GB2312" w:hAnsi="仿宋" w:eastAsia="仿宋_GB2312" w:cs="仿宋"/>
          <w:color w:val="000000"/>
          <w:kern w:val="0"/>
          <w:sz w:val="32"/>
          <w:szCs w:val="32"/>
        </w:rPr>
        <w:t>“十大名菜”</w:t>
      </w:r>
      <w:r>
        <w:rPr>
          <w:rFonts w:hint="eastAsia" w:ascii="仿宋_GB2312" w:hAnsi="仿宋" w:eastAsia="仿宋_GB2312" w:cs="仿宋"/>
          <w:color w:val="000000"/>
          <w:kern w:val="0"/>
          <w:sz w:val="32"/>
          <w:szCs w:val="32"/>
        </w:rPr>
        <w:t>、2020年昆明市“十大名菜”；良道有机蔬菜被评为</w:t>
      </w:r>
      <w:r>
        <w:rPr>
          <w:rFonts w:ascii="仿宋_GB2312" w:hAnsi="仿宋" w:eastAsia="仿宋_GB2312" w:cs="仿宋"/>
          <w:color w:val="000000"/>
          <w:kern w:val="0"/>
          <w:sz w:val="32"/>
          <w:szCs w:val="32"/>
        </w:rPr>
        <w:t>2019年</w:t>
      </w:r>
      <w:r>
        <w:rPr>
          <w:rFonts w:hint="eastAsia" w:ascii="仿宋_GB2312" w:hAnsi="仿宋" w:eastAsia="仿宋_GB2312" w:cs="仿宋"/>
          <w:color w:val="000000"/>
          <w:kern w:val="0"/>
          <w:sz w:val="32"/>
          <w:szCs w:val="32"/>
        </w:rPr>
        <w:t>昆明市</w:t>
      </w:r>
      <w:r>
        <w:rPr>
          <w:rFonts w:ascii="仿宋_GB2312" w:hAnsi="仿宋" w:eastAsia="仿宋_GB2312" w:cs="仿宋"/>
          <w:color w:val="000000"/>
          <w:kern w:val="0"/>
          <w:sz w:val="32"/>
          <w:szCs w:val="32"/>
        </w:rPr>
        <w:t>“十大名菜”</w:t>
      </w:r>
      <w:r>
        <w:rPr>
          <w:rFonts w:hint="eastAsia" w:ascii="仿宋_GB2312" w:hAnsi="仿宋" w:eastAsia="仿宋_GB2312" w:cs="仿宋"/>
          <w:color w:val="000000"/>
          <w:kern w:val="0"/>
          <w:sz w:val="32"/>
          <w:szCs w:val="32"/>
        </w:rPr>
        <w:t>和2020年昆明市“十大名菜”；昆明德和罐头食品有限责任公司获云南省绿色食品“20佳创新企业”。</w:t>
      </w:r>
    </w:p>
    <w:p w14:paraId="19EF78CC">
      <w:pPr>
        <w:spacing w:line="600" w:lineRule="exact"/>
        <w:ind w:firstLine="850" w:firstLineChars="250"/>
        <w:jc w:val="left"/>
        <w:rPr>
          <w:rFonts w:hint="eastAsia"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截止2020年底，云南良道农业科技有限公司49个品种获得有机认证，云南凯普农业投资有限公司62个品种获得绿色认证，云南莱绸农业科技有限公司3个品种获得绿色认证，云南丁氏蜂业工贸有限公司2个蜂产品获得绿色食品认证。</w:t>
      </w:r>
    </w:p>
    <w:p w14:paraId="7471E11B">
      <w:pPr>
        <w:spacing w:line="600" w:lineRule="exact"/>
        <w:ind w:firstLine="850" w:firstLineChars="250"/>
        <w:jc w:val="left"/>
        <w:rPr>
          <w:rFonts w:hint="eastAsia" w:ascii="黑体" w:hAnsi="黑体" w:eastAsia="黑体" w:cs="楷体_GB2312"/>
          <w:bCs/>
          <w:color w:val="000000"/>
          <w:sz w:val="32"/>
          <w:szCs w:val="32"/>
        </w:rPr>
      </w:pPr>
      <w:r>
        <w:rPr>
          <w:rFonts w:hint="eastAsia" w:ascii="黑体" w:hAnsi="黑体" w:eastAsia="黑体"/>
          <w:color w:val="000000"/>
          <w:sz w:val="32"/>
          <w:szCs w:val="32"/>
        </w:rPr>
        <w:t>（三）</w:t>
      </w:r>
      <w:r>
        <w:rPr>
          <w:rFonts w:hint="eastAsia" w:ascii="黑体" w:hAnsi="黑体" w:eastAsia="黑体" w:cs="楷体_GB2312"/>
          <w:bCs/>
          <w:color w:val="000000"/>
          <w:sz w:val="32"/>
          <w:szCs w:val="32"/>
        </w:rPr>
        <w:t>质量安全监管和专项整治</w:t>
      </w:r>
    </w:p>
    <w:p w14:paraId="0E45D862">
      <w:pPr>
        <w:spacing w:line="600" w:lineRule="exact"/>
        <w:ind w:firstLine="680" w:firstLineChars="200"/>
        <w:rPr>
          <w:rFonts w:ascii="楷体_GB2312" w:hAnsi="黑体" w:eastAsia="楷体_GB2312" w:cs="仿宋"/>
          <w:color w:val="000000"/>
          <w:sz w:val="32"/>
          <w:szCs w:val="32"/>
        </w:rPr>
      </w:pPr>
      <w:r>
        <w:rPr>
          <w:rFonts w:hint="eastAsia" w:ascii="楷体_GB2312" w:hAnsi="黑体" w:eastAsia="楷体_GB2312" w:cs="仿宋"/>
          <w:b/>
          <w:bCs/>
          <w:color w:val="000000"/>
          <w:sz w:val="32"/>
          <w:szCs w:val="32"/>
        </w:rPr>
        <w:t>1.统一思想，切实加强监督管理。</w:t>
      </w:r>
      <w:r>
        <w:rPr>
          <w:rFonts w:hint="eastAsia" w:ascii="仿宋_GB2312" w:hAnsi="仿宋" w:eastAsia="仿宋_GB2312" w:cs="仿宋"/>
          <w:color w:val="000000"/>
          <w:sz w:val="32"/>
          <w:szCs w:val="32"/>
        </w:rPr>
        <w:t>年初</w:t>
      </w:r>
      <w:r>
        <w:rPr>
          <w:rFonts w:hint="eastAsia" w:ascii="仿宋_GB2312" w:hAnsi="仿宋" w:eastAsia="仿宋_GB2312" w:cs="仿宋"/>
          <w:color w:val="000000"/>
          <w:kern w:val="0"/>
          <w:sz w:val="32"/>
          <w:szCs w:val="32"/>
        </w:rPr>
        <w:t>召开了工作专题会议，</w:t>
      </w:r>
      <w:r>
        <w:rPr>
          <w:rFonts w:hint="eastAsia" w:ascii="仿宋_GB2312" w:hAnsi="仿宋" w:eastAsia="仿宋_GB2312" w:cs="仿宋"/>
          <w:color w:val="000000"/>
          <w:sz w:val="32"/>
          <w:szCs w:val="32"/>
        </w:rPr>
        <w:t>对全年的工作做了具体安排和部署。</w:t>
      </w:r>
      <w:r>
        <w:rPr>
          <w:rFonts w:hint="eastAsia" w:ascii="仿宋_GB2312" w:eastAsia="仿宋_GB2312"/>
          <w:color w:val="000000"/>
          <w:sz w:val="32"/>
          <w:szCs w:val="36"/>
        </w:rPr>
        <w:t>制定印发了《五华区年农产品质量安全监管工作方案》、《五华区年农资打假专项治理行动实施方案》、</w:t>
      </w:r>
      <w:r>
        <w:rPr>
          <w:rFonts w:hint="eastAsia" w:ascii="仿宋_GB2312" w:eastAsia="仿宋_GB2312"/>
          <w:color w:val="000000"/>
          <w:sz w:val="32"/>
          <w:szCs w:val="32"/>
        </w:rPr>
        <w:t>《五华区推广试行食用农产品合格证制度实施方案》</w:t>
      </w:r>
      <w:r>
        <w:rPr>
          <w:rFonts w:hint="eastAsia" w:ascii="仿宋_GB2312" w:eastAsia="仿宋_GB2312"/>
          <w:color w:val="000000"/>
          <w:sz w:val="32"/>
          <w:szCs w:val="36"/>
        </w:rPr>
        <w:t>等工作方案，定期召开工作会议研究解决工作中遇到的问题，确保食品质量安全监督管理工作有安排、有部署、有督促、有落实，见实效。</w:t>
      </w:r>
      <w:r>
        <w:rPr>
          <w:rFonts w:hint="eastAsia" w:ascii="仿宋_GB2312" w:hAnsi="仿宋" w:eastAsia="仿宋_GB2312" w:cs="仿宋"/>
          <w:color w:val="000000"/>
          <w:sz w:val="32"/>
          <w:szCs w:val="32"/>
        </w:rPr>
        <w:t>努力确保不发生重大农产品质量安全事件，为增加绿色优质农产品供给提供有力保障。</w:t>
      </w:r>
    </w:p>
    <w:p w14:paraId="74539509">
      <w:pPr>
        <w:spacing w:line="600" w:lineRule="exact"/>
        <w:ind w:firstLine="680" w:firstLineChars="200"/>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2.强化措施，全力推进各项工作开展。</w:t>
      </w:r>
    </w:p>
    <w:p w14:paraId="386C0731">
      <w:pPr>
        <w:spacing w:line="600" w:lineRule="exact"/>
        <w:ind w:firstLine="680" w:firstLineChars="200"/>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（1）</w:t>
      </w:r>
      <w:r>
        <w:rPr>
          <w:rFonts w:hint="eastAsia" w:ascii="楷体_GB2312" w:hAnsi="仿宋_GB2312" w:eastAsia="楷体_GB2312" w:cs="仿宋_GB2312"/>
          <w:bCs/>
          <w:color w:val="000000"/>
          <w:sz w:val="32"/>
          <w:szCs w:val="32"/>
        </w:rPr>
        <w:t>开展</w:t>
      </w:r>
      <w:r>
        <w:rPr>
          <w:rFonts w:hint="eastAsia" w:ascii="楷体_GB2312" w:eastAsia="楷体_GB2312"/>
          <w:color w:val="000000"/>
          <w:sz w:val="32"/>
          <w:szCs w:val="32"/>
        </w:rPr>
        <w:t>产地农产品质量安全网格化监测。</w:t>
      </w:r>
      <w:r>
        <w:rPr>
          <w:rFonts w:hint="eastAsia" w:ascii="仿宋_GB2312" w:hAnsi="楷体_GB2312" w:eastAsia="仿宋_GB2312" w:cs="楷体_GB2312"/>
          <w:b/>
          <w:color w:val="000000"/>
          <w:sz w:val="32"/>
          <w:szCs w:val="32"/>
        </w:rPr>
        <w:t>一是</w:t>
      </w:r>
      <w:r>
        <w:rPr>
          <w:rFonts w:hint="eastAsia" w:ascii="仿宋_GB2312" w:hAnsi="楷体_GB2312" w:eastAsia="仿宋_GB2312" w:cs="楷体_GB2312"/>
          <w:color w:val="000000"/>
          <w:sz w:val="32"/>
          <w:szCs w:val="32"/>
        </w:rPr>
        <w:t>开展流动速测。</w:t>
      </w:r>
      <w:r>
        <w:rPr>
          <w:rFonts w:hint="eastAsia" w:ascii="仿宋_GB2312" w:hAnsi="仿宋_GB2312" w:eastAsia="仿宋_GB2312" w:cs="仿宋_GB2312"/>
          <w:color w:val="000000"/>
          <w:sz w:val="32"/>
          <w:szCs w:val="32"/>
        </w:rPr>
        <w:t>应用配备的农残监测车实施流动监测 148个，合格145个，合格率98%。</w:t>
      </w:r>
      <w:r>
        <w:rPr>
          <w:rFonts w:hint="eastAsia" w:ascii="仿宋_GB2312" w:hAnsi="楷体" w:eastAsia="仿宋_GB2312" w:cs="仿宋_GB2312"/>
          <w:b/>
          <w:color w:val="000000"/>
          <w:sz w:val="32"/>
          <w:szCs w:val="32"/>
        </w:rPr>
        <w:t>二是</w:t>
      </w:r>
      <w:r>
        <w:rPr>
          <w:rFonts w:hint="eastAsia" w:ascii="仿宋_GB2312" w:hAnsi="楷体" w:eastAsia="仿宋_GB2312" w:cs="仿宋_GB2312"/>
          <w:color w:val="000000"/>
          <w:sz w:val="32"/>
          <w:szCs w:val="32"/>
        </w:rPr>
        <w:t>指导农产品生产企业采收前农残监测。</w:t>
      </w:r>
      <w:r>
        <w:rPr>
          <w:rFonts w:hint="eastAsia" w:ascii="仿宋_GB2312" w:hAnsi="仿宋_GB2312" w:eastAsia="仿宋_GB2312" w:cs="仿宋_GB2312"/>
          <w:color w:val="000000"/>
          <w:sz w:val="32"/>
          <w:szCs w:val="32"/>
        </w:rPr>
        <w:t>依托西翥3个农残快检室，开展农残快速检测 1243个，速测合格率达100%，有效降低了产地农药残留超标产品流入市场。</w:t>
      </w:r>
      <w:r>
        <w:rPr>
          <w:rFonts w:hint="eastAsia" w:ascii="仿宋_GB2312" w:hAnsi="楷体" w:eastAsia="仿宋_GB2312" w:cs="仿宋_GB2312"/>
          <w:b/>
          <w:color w:val="000000"/>
          <w:sz w:val="32"/>
          <w:szCs w:val="32"/>
        </w:rPr>
        <w:t>三是</w:t>
      </w:r>
      <w:r>
        <w:rPr>
          <w:rFonts w:hint="eastAsia" w:ascii="仿宋_GB2312" w:eastAsia="仿宋_GB2312"/>
          <w:color w:val="000000"/>
          <w:sz w:val="32"/>
          <w:szCs w:val="32"/>
        </w:rPr>
        <w:t>采购第三方检测机构协助开展监督抽检，</w:t>
      </w:r>
      <w:r>
        <w:rPr>
          <w:rFonts w:hint="eastAsia" w:ascii="仿宋_GB2312" w:hAnsi="Times New Roman" w:eastAsia="仿宋_GB2312"/>
          <w:color w:val="000000"/>
          <w:sz w:val="32"/>
          <w:szCs w:val="32"/>
        </w:rPr>
        <w:t>实施产地农产品定量检测16次，</w:t>
      </w:r>
      <w:r>
        <w:rPr>
          <w:rFonts w:hint="eastAsia" w:eastAsia="仿宋_GB2312"/>
          <w:color w:val="000000"/>
          <w:sz w:val="32"/>
          <w:szCs w:val="32"/>
        </w:rPr>
        <w:t>共抽检主要食用农产品样品数422个，合格样品420个，</w:t>
      </w:r>
      <w:r>
        <w:rPr>
          <w:rFonts w:hint="eastAsia" w:ascii="仿宋_GB2312" w:hAnsi="Arial" w:eastAsia="仿宋_GB2312" w:cs="Arial"/>
          <w:color w:val="000000"/>
          <w:sz w:val="32"/>
          <w:szCs w:val="32"/>
          <w:shd w:val="clear" w:color="auto" w:fill="FFFFFF"/>
        </w:rPr>
        <w:t>不合格样品2个（已完成立案查处 ），</w:t>
      </w:r>
      <w:r>
        <w:rPr>
          <w:rFonts w:hint="eastAsia" w:ascii="仿宋_GB2312" w:hAnsi="Times New Roman" w:eastAsia="仿宋_GB2312"/>
          <w:color w:val="000000"/>
          <w:sz w:val="32"/>
          <w:szCs w:val="32"/>
        </w:rPr>
        <w:t>检测合格率为99.5%</w:t>
      </w:r>
      <w:r>
        <w:rPr>
          <w:rFonts w:hint="eastAsia" w:ascii="仿宋_GB2312" w:hAnsi="仿宋_GB2312" w:eastAsia="仿宋_GB2312" w:cs="仿宋_GB2312"/>
          <w:color w:val="000000"/>
          <w:sz w:val="32"/>
          <w:szCs w:val="32"/>
          <w:shd w:val="clear" w:color="auto" w:fill="FFFFFF"/>
        </w:rPr>
        <w:t>。</w:t>
      </w:r>
      <w:r>
        <w:rPr>
          <w:rFonts w:hint="eastAsia" w:ascii="仿宋_GB2312" w:hAnsi="楷体" w:eastAsia="仿宋_GB2312" w:cs="仿宋_GB2312"/>
          <w:b/>
          <w:color w:val="000000"/>
          <w:sz w:val="32"/>
          <w:szCs w:val="32"/>
        </w:rPr>
        <w:t>四是</w:t>
      </w:r>
      <w:r>
        <w:rPr>
          <w:rFonts w:hint="eastAsia" w:ascii="仿宋_GB2312" w:hAnsi="楷体" w:eastAsia="仿宋_GB2312" w:cs="仿宋_GB2312"/>
          <w:color w:val="000000"/>
          <w:sz w:val="32"/>
          <w:szCs w:val="32"/>
        </w:rPr>
        <w:t>落实国家、省、市级实施例行抽检。</w:t>
      </w:r>
      <w:r>
        <w:rPr>
          <w:rFonts w:hint="eastAsia" w:ascii="仿宋_GB2312" w:hAnsi="仿宋_GB2312" w:eastAsia="仿宋_GB2312" w:cs="仿宋_GB2312"/>
          <w:color w:val="000000"/>
          <w:sz w:val="32"/>
          <w:szCs w:val="32"/>
        </w:rPr>
        <w:t xml:space="preserve">配合国家、省、市完成例行监测4次，共抽检样品数29个，完成县区交叉监督抽样1次，抽检样品10个，没有反馈有不合格样品。 </w:t>
      </w:r>
    </w:p>
    <w:p w14:paraId="5EEBFD0A">
      <w:pPr>
        <w:spacing w:line="600" w:lineRule="exact"/>
        <w:ind w:firstLine="680" w:firstLineChars="200"/>
        <w:rPr>
          <w:rFonts w:hint="eastAsia" w:ascii="仿宋_GB2312" w:hAnsi="仿宋_GB2312" w:eastAsia="仿宋_GB2312" w:cs="仿宋_GB2312"/>
          <w:b/>
          <w:color w:val="000000"/>
          <w:sz w:val="32"/>
          <w:szCs w:val="32"/>
          <w:shd w:val="clear" w:color="auto" w:fill="FFFFFF"/>
        </w:rPr>
      </w:pPr>
      <w:r>
        <w:rPr>
          <w:rFonts w:hint="eastAsia" w:ascii="楷体_GB2312" w:hAnsi="仿宋_GB2312" w:eastAsia="楷体_GB2312" w:cs="仿宋_GB2312"/>
          <w:bCs/>
          <w:color w:val="000000"/>
          <w:sz w:val="32"/>
          <w:szCs w:val="32"/>
          <w:shd w:val="clear" w:color="auto" w:fill="FFFFFF"/>
        </w:rPr>
        <w:t>（2）</w:t>
      </w:r>
      <w:r>
        <w:rPr>
          <w:rFonts w:hint="eastAsia" w:ascii="楷体_GB2312" w:hAnsi="楷体_GB2312" w:eastAsia="楷体_GB2312" w:cs="楷体_GB2312"/>
          <w:bCs/>
          <w:color w:val="000000"/>
          <w:sz w:val="32"/>
          <w:szCs w:val="32"/>
        </w:rPr>
        <w:t>积极推广试行食用农产品合格证制度。</w:t>
      </w:r>
      <w:r>
        <w:rPr>
          <w:rFonts w:hint="eastAsia" w:ascii="仿宋_GB2312" w:hAnsi="Times New Roman" w:eastAsia="仿宋_GB2312"/>
          <w:color w:val="000000"/>
          <w:sz w:val="32"/>
          <w:szCs w:val="32"/>
        </w:rPr>
        <w:t>根据国家、省、市级有关试行食用农产品合格证制度的工作部署，制定了《五华区推广试行食用农产品合格证制度实施方案》，并将方案下发至各生产主体企业，要求企业严格按照方案的标准来实施。</w:t>
      </w:r>
      <w:r>
        <w:rPr>
          <w:rFonts w:hint="eastAsia" w:ascii="仿宋_GB2312" w:hAnsi="仿宋_GB2312" w:eastAsia="仿宋_GB2312" w:cs="仿宋_GB2312"/>
          <w:bCs/>
          <w:color w:val="000000"/>
          <w:sz w:val="32"/>
          <w:szCs w:val="32"/>
        </w:rPr>
        <w:t>全年</w:t>
      </w:r>
      <w:r>
        <w:rPr>
          <w:rFonts w:hint="eastAsia" w:ascii="仿宋_GB2312" w:hAnsi="Times New Roman" w:eastAsia="仿宋_GB2312"/>
          <w:color w:val="000000"/>
          <w:sz w:val="32"/>
          <w:szCs w:val="32"/>
        </w:rPr>
        <w:t>开具食用农产品合格证509份，其中蔬菜</w:t>
      </w:r>
      <w:r>
        <w:rPr>
          <w:rFonts w:hint="eastAsia" w:ascii="仿宋_GB2312" w:eastAsia="仿宋_GB2312"/>
          <w:color w:val="000000"/>
          <w:sz w:val="32"/>
          <w:szCs w:val="32"/>
        </w:rPr>
        <w:t>443份、水果29份、禽蛋37份</w:t>
      </w:r>
      <w:r>
        <w:rPr>
          <w:rFonts w:hint="eastAsia" w:ascii="仿宋_GB2312" w:hAnsi="Times New Roman" w:eastAsia="仿宋_GB2312"/>
          <w:color w:val="000000"/>
          <w:sz w:val="32"/>
          <w:szCs w:val="32"/>
        </w:rPr>
        <w:t>。</w:t>
      </w:r>
      <w:r>
        <w:rPr>
          <w:rFonts w:hint="eastAsia" w:ascii="仿宋_GB2312" w:hAnsi="仿宋_GB2312" w:eastAsia="仿宋_GB2312" w:cs="仿宋_GB2312"/>
          <w:bCs/>
          <w:color w:val="000000"/>
          <w:sz w:val="32"/>
          <w:szCs w:val="32"/>
        </w:rPr>
        <w:t>其次结合农产品质量安全科普宣传、科技下乡等活动，深入生产经营主体、社区、市场等场所大力宣传合格证制度知识，</w:t>
      </w:r>
      <w:r>
        <w:rPr>
          <w:rFonts w:hint="eastAsia" w:ascii="仿宋_GB2312" w:hAnsi="Times New Roman" w:eastAsia="仿宋_GB2312"/>
          <w:color w:val="000000"/>
          <w:sz w:val="32"/>
          <w:szCs w:val="32"/>
        </w:rPr>
        <w:t>先后悬挂标语15幅，发放宣传资料200余份，张贴挂图20余套，营造了良好的社会共治氛围</w:t>
      </w:r>
      <w:r>
        <w:rPr>
          <w:rFonts w:hint="eastAsia" w:ascii="仿宋_GB2312" w:hAnsi="仿宋_GB2312" w:eastAsia="仿宋_GB2312" w:cs="仿宋_GB2312"/>
          <w:bCs/>
          <w:color w:val="000000"/>
          <w:sz w:val="32"/>
          <w:szCs w:val="32"/>
        </w:rPr>
        <w:t>。</w:t>
      </w:r>
    </w:p>
    <w:p w14:paraId="434540F7">
      <w:pPr>
        <w:spacing w:line="600" w:lineRule="exact"/>
        <w:ind w:firstLine="680" w:firstLineChars="200"/>
        <w:jc w:val="left"/>
        <w:rPr>
          <w:rFonts w:hint="eastAsia" w:ascii="仿宋_GB2312" w:hAnsi="仿宋_GB2312" w:eastAsia="仿宋_GB2312" w:cs="仿宋_GB2312"/>
          <w:color w:val="000000"/>
          <w:sz w:val="32"/>
          <w:szCs w:val="32"/>
        </w:rPr>
      </w:pPr>
      <w:r>
        <w:rPr>
          <w:rFonts w:hint="eastAsia" w:ascii="楷体_GB2312" w:hAnsi="仿宋_GB2312" w:eastAsia="楷体_GB2312" w:cs="仿宋_GB2312"/>
          <w:bCs/>
          <w:color w:val="000000"/>
          <w:sz w:val="32"/>
          <w:szCs w:val="32"/>
          <w:shd w:val="clear" w:color="auto" w:fill="FFFFFF"/>
        </w:rPr>
        <w:t>（3）开展产地水产品监管工作。</w:t>
      </w:r>
      <w:r>
        <w:rPr>
          <w:rFonts w:hint="eastAsia" w:ascii="仿宋_GB2312" w:eastAsia="仿宋_GB2312"/>
          <w:color w:val="000000"/>
          <w:sz w:val="32"/>
          <w:szCs w:val="32"/>
        </w:rPr>
        <w:t>重点对辖区池塘养殖户进行检查，向养殖户宣传相关农产品质量安全的法律法规，督促水产养殖户开展水产健康养殖，累计向辖区25户水产养殖户发放水产养殖禁限用药物宣传资料180份</w:t>
      </w:r>
      <w:r>
        <w:rPr>
          <w:rFonts w:hint="eastAsia" w:ascii="仿宋_GB2312" w:hAnsi="仿宋_GB2312" w:eastAsia="仿宋_GB2312" w:cs="仿宋_GB2312"/>
          <w:color w:val="000000"/>
          <w:sz w:val="32"/>
          <w:szCs w:val="32"/>
        </w:rPr>
        <w:t>。对辖区14户水产养殖户开展抽样送检4次，共计19个样品，检测结果合格。</w:t>
      </w:r>
    </w:p>
    <w:p w14:paraId="7D4A2929">
      <w:pPr>
        <w:widowControl/>
        <w:spacing w:line="600" w:lineRule="exact"/>
        <w:ind w:firstLine="680" w:firstLineChars="200"/>
        <w:rPr>
          <w:rFonts w:hint="eastAsia" w:ascii="仿宋_GB2312" w:hAnsi="Times New Roman" w:eastAsia="仿宋_GB2312"/>
          <w:color w:val="000000"/>
          <w:sz w:val="32"/>
          <w:szCs w:val="32"/>
        </w:rPr>
      </w:pPr>
      <w:r>
        <w:rPr>
          <w:rFonts w:hint="eastAsia" w:ascii="楷体_GB2312" w:hAnsi="黑体" w:eastAsia="楷体_GB2312"/>
          <w:color w:val="000000"/>
          <w:sz w:val="32"/>
          <w:szCs w:val="32"/>
        </w:rPr>
        <w:t>（4）抓好畜禽出场产地检疫监管及动物疫病防控工作。</w:t>
      </w:r>
      <w:r>
        <w:rPr>
          <w:rFonts w:hint="eastAsia" w:ascii="仿宋_GB2312" w:hAnsi="黑体" w:eastAsia="仿宋_GB2312"/>
          <w:color w:val="000000"/>
          <w:sz w:val="32"/>
          <w:szCs w:val="32"/>
        </w:rPr>
        <w:t>为确保辖区畜禽产品质量安全，五华区农业农村局派驻官方兽医进驻西翥检疫点开展畜禽出场检疫工作。年累计实施生猪产地检疫4043头，禽类24050羽，牛469头，马18匹，犬51只，兔子10200只，猫88只。无害化处理病死畜禽269头/只/羽。</w:t>
      </w:r>
      <w:r>
        <w:rPr>
          <w:rFonts w:hint="eastAsia" w:ascii="仿宋_GB2312" w:hAnsi="Times New Roman" w:eastAsia="仿宋_GB2312"/>
          <w:color w:val="000000"/>
          <w:sz w:val="32"/>
          <w:szCs w:val="32"/>
        </w:rPr>
        <w:t>年累计免疫高致病性禽流感46万羽，猪口蹄疫2.61万头，牛二价口蹄疫0.2397万头，羊二价口蹄疫1.3276万头，小反刍0.51万头。发生应激反应羊11只，死亡11只，其余畜种无应激及死亡情况。</w:t>
      </w:r>
    </w:p>
    <w:p w14:paraId="182ACCF0">
      <w:pPr>
        <w:spacing w:line="600" w:lineRule="exact"/>
        <w:ind w:firstLine="680" w:firstLineChars="200"/>
        <w:rPr>
          <w:rFonts w:hint="eastAsia" w:ascii="Times New Roman" w:hAnsi="Times New Roman" w:eastAsia="仿宋_GB2312"/>
          <w:color w:val="000000"/>
          <w:sz w:val="32"/>
          <w:szCs w:val="32"/>
        </w:rPr>
      </w:pPr>
      <w:r>
        <w:rPr>
          <w:rFonts w:hint="eastAsia" w:ascii="楷体_GB2312" w:hAnsi="仿宋_GB2312" w:eastAsia="楷体_GB2312" w:cs="仿宋_GB2312"/>
          <w:bCs/>
          <w:color w:val="000000"/>
          <w:sz w:val="32"/>
          <w:szCs w:val="32"/>
        </w:rPr>
        <w:t>（5）开展绿色防控示范与推广，减低农业面源污染防治。</w:t>
      </w:r>
      <w:r>
        <w:rPr>
          <w:rFonts w:hint="eastAsia" w:ascii="Times New Roman" w:hAnsi="Times New Roman" w:eastAsia="仿宋_GB2312"/>
          <w:b/>
          <w:color w:val="000000"/>
          <w:sz w:val="32"/>
          <w:szCs w:val="32"/>
        </w:rPr>
        <w:t>一是</w:t>
      </w:r>
      <w:r>
        <w:rPr>
          <w:rFonts w:hint="eastAsia" w:ascii="Times New Roman" w:hAnsi="Times New Roman" w:eastAsia="仿宋_GB2312"/>
          <w:color w:val="000000"/>
          <w:sz w:val="32"/>
          <w:szCs w:val="32"/>
        </w:rPr>
        <w:t>实施农药零增长行动。完成绿色防控示范</w:t>
      </w:r>
      <w:r>
        <w:rPr>
          <w:rFonts w:hint="eastAsia" w:ascii="仿宋_GB2312" w:hAnsi="Times New Roman" w:eastAsia="仿宋_GB2312"/>
          <w:color w:val="000000"/>
          <w:sz w:val="32"/>
          <w:szCs w:val="32"/>
        </w:rPr>
        <w:t>面积540亩，占计划任务500亩的108%，推广</w:t>
      </w:r>
      <w:r>
        <w:rPr>
          <w:rFonts w:hint="eastAsia" w:ascii="仿宋_GB2312" w:hAnsi="Times New Roman" w:eastAsia="仿宋_GB2312"/>
          <w:color w:val="000000"/>
          <w:sz w:val="32"/>
          <w:szCs w:val="32"/>
          <w:lang w:val="en-US" w:eastAsia="zh-Hans"/>
        </w:rPr>
        <w:t>辐</w:t>
      </w:r>
      <w:r>
        <w:rPr>
          <w:rFonts w:hint="eastAsia" w:ascii="仿宋_GB2312" w:hAnsi="Times New Roman" w:eastAsia="仿宋_GB2312"/>
          <w:color w:val="000000"/>
          <w:sz w:val="32"/>
          <w:szCs w:val="32"/>
        </w:rPr>
        <w:t>射3.02万亩次，占计划任务2万亩的150%。其中抗病虫品种3100亩、间套种4520亩、太阳能杀虫灯9090亩、粘虫2560亩、防虫网500亩、性诱剂600亩、生物农药5450亩、稻田养鱼275亩，以及环境友好型农药4150亩；以蔬菜为主的农残检测1012个，合格率99%以上。年使用农药总量（商品量）38.73 吨，（折纯）12.7吨，商品量较2015年减少8.62 吨，减18.2%，主要农作物病虫害绿色防控覆盖率为40.8%。</w:t>
      </w:r>
      <w:r>
        <w:rPr>
          <w:rFonts w:hint="eastAsia" w:ascii="仿宋_GB2312" w:hAnsi="Times New Roman" w:eastAsia="仿宋_GB2312"/>
          <w:b/>
          <w:color w:val="000000"/>
          <w:sz w:val="32"/>
          <w:szCs w:val="32"/>
        </w:rPr>
        <w:t>二是</w:t>
      </w:r>
      <w:r>
        <w:rPr>
          <w:rFonts w:hint="eastAsia" w:ascii="仿宋_GB2312" w:hAnsi="Times New Roman" w:eastAsia="仿宋_GB2312"/>
          <w:color w:val="000000"/>
          <w:sz w:val="32"/>
          <w:szCs w:val="32"/>
        </w:rPr>
        <w:t>实施化肥零增长行动。完成减肥增效技术措施5万亩，占计划5万亩的100%。其中测土配方施肥完成 1.65万亩，水肥一体化0.2万亩，稻鱼综合种养项目275亩，秸秆还田及有机废弃物利用2.51万亩（其中肥料化利用1.91万亩，饲料化利用0.6万亩），绿肥种植0.1万亩，有机肥施用0.5125万亩。</w:t>
      </w:r>
    </w:p>
    <w:p w14:paraId="5BCB315D">
      <w:pPr>
        <w:spacing w:line="600" w:lineRule="exact"/>
        <w:ind w:firstLine="680" w:firstLineChars="200"/>
        <w:rPr>
          <w:rFonts w:hint="eastAsia" w:ascii="仿宋_GB2312" w:hAnsi="仿宋" w:eastAsia="仿宋_GB2312"/>
          <w:color w:val="000000"/>
          <w:sz w:val="32"/>
          <w:szCs w:val="32"/>
        </w:rPr>
      </w:pPr>
      <w:r>
        <w:rPr>
          <w:rFonts w:hint="eastAsia" w:ascii="楷体_GB2312" w:hAnsi="仿宋_GB2312" w:eastAsia="楷体_GB2312" w:cs="仿宋_GB2312"/>
          <w:color w:val="000000"/>
          <w:sz w:val="32"/>
          <w:szCs w:val="32"/>
        </w:rPr>
        <w:t>（6）强化农产品土壤环境治理。</w:t>
      </w:r>
      <w:r>
        <w:rPr>
          <w:rFonts w:hint="eastAsia" w:ascii="仿宋_GB2312" w:hAnsi="仿宋" w:eastAsia="仿宋_GB2312"/>
          <w:color w:val="000000"/>
          <w:sz w:val="32"/>
          <w:szCs w:val="32"/>
        </w:rPr>
        <w:t>加强耕地管理，依法划定耕地类别，区政府研究制定《五华区耕地质量分类工作实施方案》，积极配合市级完成耕地环境质量分类，开展省级安排19个农产品样的点位核实及采样工作，已完成19个点位核实，19个农产品采样，完成率100%。按照市级反馈耕地质量类别划分成果资料和《五华区受污染农用地安全治理工作实施方案》要求，积极组织落实完成受污染耕地安全治理等工作。</w:t>
      </w:r>
    </w:p>
    <w:p w14:paraId="2CFBDF06">
      <w:pPr>
        <w:pStyle w:val="12"/>
        <w:spacing w:line="560" w:lineRule="exact"/>
        <w:ind w:left="0" w:leftChars="0" w:firstLine="680"/>
        <w:rPr>
          <w:rFonts w:hint="eastAsia" w:ascii="仿宋_GB2312" w:hAnsi="仿宋_GB2312" w:eastAsia="仿宋_GB2312" w:cs="仿宋_GB2312"/>
          <w:color w:val="000000"/>
          <w:sz w:val="32"/>
          <w:szCs w:val="32"/>
          <w:shd w:val="clear" w:color="auto" w:fill="FFFFFF"/>
        </w:rPr>
      </w:pPr>
      <w:r>
        <w:rPr>
          <w:rFonts w:hint="eastAsia" w:ascii="楷体" w:hAnsi="楷体" w:eastAsia="楷体"/>
          <w:color w:val="000000"/>
          <w:sz w:val="32"/>
          <w:szCs w:val="32"/>
        </w:rPr>
        <w:t>（7）农资市场整治。</w:t>
      </w:r>
      <w:r>
        <w:rPr>
          <w:rFonts w:hint="eastAsia" w:ascii="仿宋_GB2312" w:hAnsi="仿宋_GB2312" w:eastAsia="仿宋_GB2312" w:cs="仿宋_GB2312"/>
          <w:color w:val="000000"/>
          <w:sz w:val="32"/>
          <w:szCs w:val="32"/>
          <w:shd w:val="clear" w:color="auto" w:fill="FFFFFF"/>
        </w:rPr>
        <w:t>按照《五华区年农资打假专项治理行动整治方案》的要求，以种子、农药、肥料、兽药、饲料和饲料添加剂等产品为重点，以城乡结合部、果蔬、中草药等特色产区为重点区域，围绕春耕、三夏、秋冬等重点农时，开展农资打假专项治理行动。</w:t>
      </w:r>
      <w:r>
        <w:rPr>
          <w:rFonts w:hint="eastAsia" w:ascii="仿宋_GB2312" w:hAnsi="仿宋_GB2312" w:eastAsia="仿宋_GB2312" w:cs="仿宋_GB2312"/>
          <w:b/>
          <w:bCs/>
          <w:color w:val="000000"/>
          <w:sz w:val="32"/>
          <w:szCs w:val="32"/>
          <w:shd w:val="clear" w:color="auto" w:fill="FFFFFF"/>
        </w:rPr>
        <w:t>一是</w:t>
      </w:r>
      <w:r>
        <w:rPr>
          <w:rFonts w:hint="eastAsia" w:ascii="仿宋_GB2312" w:hAnsi="仿宋_GB2312" w:eastAsia="仿宋_GB2312" w:cs="仿宋_GB2312"/>
          <w:color w:val="000000"/>
          <w:sz w:val="32"/>
          <w:szCs w:val="32"/>
          <w:shd w:val="clear" w:color="auto" w:fill="FFFFFF"/>
        </w:rPr>
        <w:t>农药监管。2020</w:t>
      </w:r>
      <w:r>
        <w:rPr>
          <w:rFonts w:hint="eastAsia" w:ascii="仿宋_GB2312" w:hAnsi="仿宋_GB2312" w:eastAsia="仿宋_GB2312" w:cs="仿宋_GB2312"/>
          <w:color w:val="000000"/>
          <w:sz w:val="32"/>
          <w:szCs w:val="32"/>
        </w:rPr>
        <w:t>年，举办农药管理培训3期，培训农药从业人员60余人，累计开展农药监督检查7次，出动人员21人次，检查辖区农药经营网点12家，重点查处无证生产经营、制售含有未登记成分的假农药、非法生产经营禁用农药、生物农药添加化学成分，包装标签不规范等违法行为。暂未发现违法销售假劣农药的行为。</w:t>
      </w:r>
      <w:r>
        <w:rPr>
          <w:rFonts w:hint="eastAsia" w:ascii="仿宋_GB2312" w:hAnsi="仿宋_GB2312" w:eastAsia="仿宋_GB2312" w:cs="仿宋_GB2312"/>
          <w:b/>
          <w:color w:val="000000"/>
          <w:sz w:val="32"/>
          <w:szCs w:val="32"/>
        </w:rPr>
        <w:t>二</w:t>
      </w:r>
      <w:r>
        <w:rPr>
          <w:rFonts w:hint="eastAsia" w:ascii="仿宋_GB2312" w:hAnsi="仿宋_GB2312" w:eastAsia="仿宋_GB2312" w:cs="仿宋_GB2312"/>
          <w:b/>
          <w:bCs/>
          <w:color w:val="000000"/>
          <w:sz w:val="32"/>
          <w:szCs w:val="32"/>
          <w:shd w:val="clear" w:color="auto" w:fill="FFFFFF"/>
        </w:rPr>
        <w:t>是</w:t>
      </w:r>
      <w:r>
        <w:rPr>
          <w:rFonts w:hint="eastAsia" w:ascii="仿宋_GB2312" w:hAnsi="仿宋_GB2312" w:eastAsia="仿宋_GB2312" w:cs="仿宋_GB2312"/>
          <w:color w:val="000000"/>
          <w:sz w:val="32"/>
          <w:szCs w:val="32"/>
          <w:shd w:val="clear" w:color="auto" w:fill="FFFFFF"/>
        </w:rPr>
        <w:t>种子监管。在春、秋用种时段对西翥片区的种子经营户开展专项检查，主要对种子经营户的证照、进销台账、以及种子标签、包装、二维码、备案情况进行检查，年开展种子市场专项检查9次，检查种子经营户14家，劝导不规范经营行为3个，完成农作物种子备案13户62份种子信息的录入。</w:t>
      </w:r>
      <w:r>
        <w:rPr>
          <w:rFonts w:hint="eastAsia" w:ascii="仿宋_GB2312" w:hAnsi="仿宋_GB2312" w:eastAsia="仿宋_GB2312" w:cs="仿宋_GB2312"/>
          <w:b/>
          <w:color w:val="000000"/>
          <w:sz w:val="32"/>
          <w:szCs w:val="32"/>
          <w:shd w:val="clear" w:color="auto" w:fill="FFFFFF"/>
        </w:rPr>
        <w:t>三</w:t>
      </w:r>
      <w:r>
        <w:rPr>
          <w:rFonts w:hint="eastAsia" w:ascii="仿宋_GB2312" w:hAnsi="仿宋_GB2312" w:eastAsia="仿宋_GB2312" w:cs="仿宋_GB2312"/>
          <w:b/>
          <w:bCs/>
          <w:color w:val="000000"/>
          <w:sz w:val="32"/>
          <w:szCs w:val="32"/>
          <w:shd w:val="clear" w:color="auto" w:fill="FFFFFF"/>
        </w:rPr>
        <w:t>是</w:t>
      </w:r>
      <w:r>
        <w:rPr>
          <w:rFonts w:hint="eastAsia" w:ascii="仿宋_GB2312" w:hAnsi="仿宋_GB2312" w:eastAsia="仿宋_GB2312" w:cs="仿宋_GB2312"/>
          <w:color w:val="000000"/>
          <w:sz w:val="32"/>
          <w:szCs w:val="32"/>
          <w:shd w:val="clear" w:color="auto" w:fill="FFFFFF"/>
        </w:rPr>
        <w:t>肥料监管。出动工作人员18人次，对辖区5家肥料经营门市进行了专项检查，重点检查复合肥料、有机无机复混肥、有机肥料、水溶肥料、微生物肥料及各种新型肥料等产品的有效成分不足、未经登记、一证多用、假冒伪造登记证、肥料产品名称具有农药功能等违法行为。</w:t>
      </w:r>
      <w:r>
        <w:rPr>
          <w:rFonts w:hint="eastAsia" w:ascii="仿宋_GB2312" w:hAnsi="仿宋_GB2312" w:eastAsia="仿宋_GB2312" w:cs="仿宋_GB2312"/>
          <w:b/>
          <w:bCs/>
          <w:color w:val="000000"/>
          <w:sz w:val="32"/>
          <w:szCs w:val="32"/>
          <w:shd w:val="clear" w:color="auto" w:fill="FFFFFF"/>
        </w:rPr>
        <w:t>四是</w:t>
      </w:r>
      <w:r>
        <w:rPr>
          <w:rFonts w:hint="eastAsia" w:ascii="仿宋_GB2312" w:hAnsi="仿宋_GB2312" w:eastAsia="仿宋_GB2312" w:cs="仿宋_GB2312"/>
          <w:color w:val="000000"/>
          <w:sz w:val="32"/>
          <w:szCs w:val="32"/>
          <w:shd w:val="clear" w:color="auto" w:fill="FFFFFF"/>
        </w:rPr>
        <w:t>开展兽药饲料监督管理。共出动工作人员17人次，对辖区1家饲料生产企业、9家饲料经营门市、5家饲料兽药经营门市开展了拉网式检查，重点查处制售假劣兽药和违禁药物、改变产品组方滥加抗菌药物、兽药添加化学药物，套用冒用生产许可证明文件、生产销售质量指标严重不合格产品等违法违规行为。暂未发现非法生产、经营和添加违禁药物、有害物质的行为。</w:t>
      </w:r>
    </w:p>
    <w:p w14:paraId="0F15DAD7">
      <w:pPr>
        <w:pStyle w:val="12"/>
        <w:spacing w:line="560" w:lineRule="exact"/>
        <w:ind w:left="0" w:leftChars="0" w:firstLine="680"/>
        <w:rPr>
          <w:rFonts w:hint="eastAsia" w:ascii="黑体" w:hAnsi="黑体" w:eastAsia="黑体" w:cs="黑体"/>
          <w:color w:val="000000"/>
          <w:sz w:val="32"/>
          <w:szCs w:val="32"/>
        </w:rPr>
      </w:pPr>
      <w:r>
        <w:rPr>
          <w:rFonts w:hint="eastAsia" w:ascii="黑体" w:hAnsi="黑体" w:eastAsia="黑体" w:cs="仿宋_GB2312"/>
          <w:color w:val="000000"/>
          <w:sz w:val="32"/>
          <w:szCs w:val="32"/>
          <w:shd w:val="clear" w:color="auto" w:fill="FFFFFF"/>
        </w:rPr>
        <w:t>（四）</w:t>
      </w:r>
      <w:r>
        <w:rPr>
          <w:rFonts w:hint="eastAsia" w:ascii="黑体" w:hAnsi="黑体" w:eastAsia="黑体" w:cs="黑体"/>
          <w:color w:val="000000"/>
          <w:sz w:val="32"/>
          <w:szCs w:val="32"/>
        </w:rPr>
        <w:t>措施和成效</w:t>
      </w:r>
    </w:p>
    <w:p w14:paraId="1E346141">
      <w:pPr>
        <w:spacing w:line="560" w:lineRule="exact"/>
        <w:ind w:firstLine="68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1.实施质量强区，营造提升质量氛围。</w:t>
      </w:r>
      <w:r>
        <w:rPr>
          <w:rFonts w:hint="eastAsia" w:ascii="仿宋_GB2312" w:hAnsi="仿宋_GB2312" w:eastAsia="仿宋_GB2312" w:cs="仿宋_GB2312"/>
          <w:color w:val="000000"/>
          <w:sz w:val="32"/>
          <w:szCs w:val="32"/>
        </w:rPr>
        <w:t>以质量强区为载体，以富民强农为目标，以增加农民收入为核心，大力推进农产品质量安全标准体系建设，认真组织实施农产品标准化生产。</w:t>
      </w:r>
    </w:p>
    <w:p w14:paraId="34A75C93">
      <w:pPr>
        <w:pStyle w:val="11"/>
        <w:widowControl/>
        <w:spacing w:before="0" w:beforeAutospacing="0" w:after="0" w:afterAutospacing="0" w:line="560" w:lineRule="exact"/>
        <w:ind w:firstLine="680" w:firstLineChars="200"/>
        <w:rPr>
          <w:rFonts w:hint="eastAsia" w:ascii="楷体_GB2312" w:hAnsi="楷体" w:eastAsia="楷体_GB2312" w:cs="楷体_GB2312"/>
          <w:bCs/>
          <w:color w:val="000000"/>
          <w:sz w:val="32"/>
          <w:szCs w:val="32"/>
        </w:rPr>
      </w:pPr>
      <w:r>
        <w:rPr>
          <w:rFonts w:hint="eastAsia" w:ascii="楷体_GB2312" w:hAnsi="楷体" w:eastAsia="楷体_GB2312" w:cs="楷体_GB2312"/>
          <w:bCs/>
          <w:color w:val="000000"/>
          <w:sz w:val="32"/>
          <w:szCs w:val="32"/>
        </w:rPr>
        <w:t>2.推进“三品一标”认证，提升质量管理水平。</w:t>
      </w:r>
      <w:r>
        <w:rPr>
          <w:rFonts w:hint="eastAsia" w:ascii="仿宋_GB2312" w:hAnsi="仿宋_GB2312" w:eastAsia="仿宋_GB2312" w:cs="仿宋_GB2312"/>
          <w:color w:val="000000"/>
          <w:sz w:val="32"/>
          <w:szCs w:val="32"/>
        </w:rPr>
        <w:t>坚持“数量与质量并重、认证与监管同步”的原则，保证“三品一标”农产品的品牌形象和权威性。</w:t>
      </w:r>
    </w:p>
    <w:p w14:paraId="6612978D">
      <w:pPr>
        <w:pStyle w:val="11"/>
        <w:widowControl/>
        <w:spacing w:before="0" w:beforeAutospacing="0" w:after="0" w:afterAutospacing="0" w:line="600" w:lineRule="exact"/>
        <w:ind w:firstLine="680" w:firstLineChars="200"/>
        <w:rPr>
          <w:rFonts w:hint="eastAsia" w:ascii="楷体_GB2312" w:hAnsi="楷体" w:eastAsia="楷体_GB2312" w:cs="楷体_GB2312"/>
          <w:bCs/>
          <w:color w:val="000000"/>
          <w:sz w:val="32"/>
          <w:szCs w:val="32"/>
        </w:rPr>
      </w:pPr>
      <w:r>
        <w:rPr>
          <w:rFonts w:hint="eastAsia" w:ascii="楷体_GB2312" w:hAnsi="楷体" w:eastAsia="楷体_GB2312" w:cs="楷体_GB2312"/>
          <w:bCs/>
          <w:color w:val="000000"/>
          <w:sz w:val="32"/>
          <w:szCs w:val="32"/>
        </w:rPr>
        <w:t>3.开展专项整治，严格日常监管。</w:t>
      </w:r>
      <w:r>
        <w:rPr>
          <w:rFonts w:hint="eastAsia" w:ascii="仿宋_GB2312" w:hAnsi="仿宋_GB2312" w:eastAsia="仿宋_GB2312" w:cs="仿宋_GB2312"/>
          <w:color w:val="000000"/>
          <w:sz w:val="32"/>
          <w:szCs w:val="32"/>
        </w:rPr>
        <w:t>紧紧围绕食用农产品生产环节，以当前风险高、隐患大的农产品和农业投入品为重点，强化执法监管，坚持标本兼治，深入开展农产品质量安全专项整治、春秋两季农资打假和放心农资下乡进村等活动，强化生产源头监管，严格市场准入，加强市场整顿，狠抓案件查处，切实履行职责。</w:t>
      </w:r>
    </w:p>
    <w:p w14:paraId="7986EA63">
      <w:pPr>
        <w:pStyle w:val="11"/>
        <w:widowControl/>
        <w:spacing w:before="0" w:beforeAutospacing="0" w:after="0" w:afterAutospacing="0" w:line="600" w:lineRule="exact"/>
        <w:ind w:firstLine="680" w:firstLineChars="200"/>
        <w:rPr>
          <w:rFonts w:hint="eastAsia" w:ascii="楷体" w:hAnsi="楷体" w:eastAsia="楷体" w:cs="仿宋_GB2312"/>
          <w:color w:val="000000"/>
          <w:sz w:val="32"/>
          <w:szCs w:val="32"/>
        </w:rPr>
      </w:pPr>
      <w:r>
        <w:rPr>
          <w:rFonts w:hint="eastAsia" w:ascii="楷体_GB2312" w:hAnsi="楷体" w:eastAsia="楷体_GB2312" w:cs="楷体_GB2312"/>
          <w:bCs/>
          <w:color w:val="000000"/>
          <w:sz w:val="32"/>
          <w:szCs w:val="32"/>
        </w:rPr>
        <w:t>4.实施名牌战略，提升产品档次</w:t>
      </w:r>
      <w:r>
        <w:rPr>
          <w:rFonts w:hint="eastAsia" w:ascii="楷体" w:hAnsi="楷体" w:eastAsia="楷体" w:cs="楷体_GB2312"/>
          <w:bCs/>
          <w:color w:val="000000"/>
          <w:sz w:val="32"/>
          <w:szCs w:val="32"/>
        </w:rPr>
        <w:t>。</w:t>
      </w:r>
      <w:r>
        <w:rPr>
          <w:rFonts w:hint="eastAsia" w:ascii="仿宋_GB2312" w:hAnsi="仿宋_GB2312" w:eastAsia="仿宋_GB2312" w:cs="仿宋_GB2312"/>
          <w:color w:val="000000"/>
          <w:sz w:val="32"/>
          <w:szCs w:val="32"/>
        </w:rPr>
        <w:t>不断加大农业标准化生产力度，加强品牌培育工作。制定和推广了无公害农产品生产技术规程，建设农业标准化示范区，促进了品牌农业的快速发展。</w:t>
      </w:r>
    </w:p>
    <w:p w14:paraId="51050CEF">
      <w:pPr>
        <w:pStyle w:val="11"/>
        <w:widowControl/>
        <w:spacing w:before="0" w:beforeAutospacing="0" w:after="0" w:afterAutospacing="0" w:line="600" w:lineRule="exact"/>
        <w:ind w:firstLine="680" w:firstLineChars="200"/>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（五）存在问题</w:t>
      </w:r>
    </w:p>
    <w:p w14:paraId="0BACAF73">
      <w:pPr>
        <w:pStyle w:val="11"/>
        <w:widowControl/>
        <w:spacing w:before="0" w:beforeAutospacing="0" w:after="0" w:afterAutospacing="0" w:line="600" w:lineRule="exact"/>
        <w:ind w:firstLine="68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农产品质量安全监管的问题众多且复杂，主要从农产品质量安全监管主体和农产品质量安全监管的制度两个方面进行分析。</w:t>
      </w:r>
    </w:p>
    <w:p w14:paraId="63B5DAE3">
      <w:pPr>
        <w:pStyle w:val="11"/>
        <w:widowControl/>
        <w:spacing w:before="0" w:beforeAutospacing="0" w:after="0" w:afterAutospacing="0" w:line="600" w:lineRule="exact"/>
        <w:ind w:firstLine="68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一是</w:t>
      </w:r>
      <w:r>
        <w:rPr>
          <w:rFonts w:hint="eastAsia" w:ascii="仿宋_GB2312" w:hAnsi="仿宋_GB2312" w:eastAsia="仿宋_GB2312" w:cs="仿宋_GB2312"/>
          <w:color w:val="000000"/>
          <w:sz w:val="32"/>
          <w:szCs w:val="32"/>
        </w:rPr>
        <w:t>从监管机构方面看，农产品质量安全监管是由多个负有监管职责的政府行政部门执行，监管职责职能交叉、多头监管现象严重。同时，存在监管人员缺乏有效手段对农产品质量安全监管主体有效监督等问题。</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color w:val="000000"/>
          <w:sz w:val="32"/>
          <w:szCs w:val="32"/>
        </w:rPr>
        <w:t>从监管制度方面看，首先，在农业投入品管理、农产品包装标识与市场准入制度方面管理力度弱，具体来说，没有建立起安全合理使用农业投入品管理体系，没有建立起按标准化组织生产的管理体系，流通环节缺乏有效的监测、监督体系等，使得农药残留、兽药残留成为目前我市农产品的主要安全问题之一。</w:t>
      </w:r>
    </w:p>
    <w:p w14:paraId="721188E1">
      <w:pPr>
        <w:pStyle w:val="11"/>
        <w:widowControl/>
        <w:spacing w:before="0" w:beforeAutospacing="0" w:after="0" w:afterAutospacing="0" w:line="600" w:lineRule="exact"/>
        <w:ind w:firstLine="68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（六）对策建议</w:t>
      </w:r>
    </w:p>
    <w:p w14:paraId="6B87C752">
      <w:pPr>
        <w:pStyle w:val="11"/>
        <w:widowControl/>
        <w:spacing w:before="0" w:beforeAutospacing="0" w:after="0" w:afterAutospacing="0" w:line="600" w:lineRule="exact"/>
        <w:ind w:firstLine="68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农产品质量安全是日常生活的基础，它关系着人们的身体健康和生命安全，影响着经济发展和社会稳定，加强农产品质量安全监管势在必行。</w:t>
      </w:r>
    </w:p>
    <w:p w14:paraId="28BF839B">
      <w:pPr>
        <w:pStyle w:val="11"/>
        <w:widowControl/>
        <w:spacing w:before="0" w:beforeAutospacing="0" w:after="0" w:afterAutospacing="0" w:line="600" w:lineRule="exact"/>
        <w:ind w:firstLine="68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1.进一步加强财政投入力度，完善农产品质量检测体系，加强农产品质量检测工作的力度，制订重大农产品质量安全事故应急预案，统一领导、指挥农产品质量安全突发事件的应对工作。</w:t>
      </w:r>
    </w:p>
    <w:p w14:paraId="02DCBB9C">
      <w:pPr>
        <w:pStyle w:val="11"/>
        <w:widowControl/>
        <w:spacing w:before="0" w:beforeAutospacing="0" w:after="0" w:afterAutospacing="0" w:line="600" w:lineRule="exact"/>
        <w:ind w:firstLine="68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对生产、销售的农产品及其包装、标识进行检查，对农产品质量安全状况进行追溯，建立和完善农产品追溯管理制度。农产品生产企业、种植、养殖大户应当建立农产品生产记录、生产档案登记制度，按照规定如实记载农业投入品使用情况、动植物疫病和农作物病虫草害发生及防治情况以及收获、屠宰或者捕捞的日期。严格执行农产品质量安全标准，积极采用农业标准化生产技术以及先进适用的质量安全管理方法和技术、农产品编码标准、产品标准管理制度等，从源头上解决农产品污染问题。</w:t>
      </w:r>
    </w:p>
    <w:p w14:paraId="7A84762A">
      <w:pPr>
        <w:pStyle w:val="11"/>
        <w:widowControl/>
        <w:spacing w:before="0" w:beforeAutospacing="0" w:after="0" w:afterAutospacing="0" w:line="60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3.加大食用农产品生产企业监管，从原材料和进货渠道入手，将问题和隐患消灭在源头。强化牲畜防疫工作，控制疫情蔓延和发展，严防病死肉品在市场流通。农业投入品经营者应当实行进货检查验收制度，查验供货方的营业执照、生产经营许可证、产品检验合格证，并保存其复印件。建立购销台账制度，记载农业投入品的名称、进货时间、来源、数量、生产企业、生产日期、产品登记证号以及销售时间、销售对象、销售数量等事项。进入农产品批发市场的经营者，应当实行进货检查验收制度和建立购销台账。</w:t>
      </w:r>
    </w:p>
    <w:p w14:paraId="436259E1">
      <w:pPr>
        <w:pStyle w:val="11"/>
        <w:widowControl/>
        <w:spacing w:before="0" w:beforeAutospacing="0" w:after="0" w:afterAutospacing="0" w:line="600" w:lineRule="exact"/>
        <w:ind w:firstLine="68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实行农产品质量安全市场准入制度。严格实施农产品质量安全市场准入制度，强化农产品企业的市场准入标准，对种植、养殖企业不合格的农产品原材料以及不合理使用农产品添加剂的初级产品加工企业进行严格限制。</w:t>
      </w:r>
    </w:p>
    <w:p w14:paraId="769A86A7">
      <w:pPr>
        <w:ind w:firstLine="680" w:firstLineChars="200"/>
        <w:rPr>
          <w:rFonts w:hint="eastAsia" w:ascii="方正小标宋简体" w:eastAsia="方正小标宋简体"/>
          <w:b/>
          <w:sz w:val="32"/>
          <w:szCs w:val="32"/>
        </w:rPr>
      </w:pPr>
      <w:r>
        <w:rPr>
          <w:rFonts w:hint="eastAsia" w:ascii="方正小标宋简体" w:eastAsia="方正小标宋简体"/>
          <w:b/>
          <w:sz w:val="32"/>
          <w:szCs w:val="32"/>
        </w:rPr>
        <w:t>三、食品质量状况</w:t>
      </w:r>
      <w:bookmarkStart w:id="5" w:name="_Toc3880"/>
      <w:bookmarkStart w:id="6" w:name="_Toc5341"/>
      <w:bookmarkStart w:id="7" w:name="_Toc511586996"/>
    </w:p>
    <w:p w14:paraId="0760F39E">
      <w:pPr>
        <w:ind w:firstLine="680" w:firstLineChars="200"/>
        <w:rPr>
          <w:rFonts w:hint="eastAsia" w:ascii="楷体_GB2312" w:eastAsia="楷体_GB2312"/>
          <w:b/>
          <w:sz w:val="32"/>
          <w:szCs w:val="32"/>
        </w:rPr>
      </w:pPr>
      <w:r>
        <w:rPr>
          <w:rFonts w:hint="eastAsia" w:ascii="楷体_GB2312" w:eastAsia="楷体_GB2312"/>
          <w:b/>
          <w:sz w:val="32"/>
          <w:szCs w:val="32"/>
        </w:rPr>
        <w:t>（一）基本情况</w:t>
      </w:r>
      <w:bookmarkEnd w:id="5"/>
      <w:bookmarkEnd w:id="6"/>
      <w:bookmarkEnd w:id="7"/>
    </w:p>
    <w:p w14:paraId="7BC0D3A5">
      <w:pPr>
        <w:ind w:firstLine="680" w:firstLineChars="200"/>
        <w:rPr>
          <w:rFonts w:ascii="仿宋" w:hAnsi="仿宋" w:eastAsia="仿宋"/>
          <w:sz w:val="32"/>
          <w:szCs w:val="32"/>
        </w:rPr>
      </w:pPr>
      <w:r>
        <w:rPr>
          <w:rFonts w:hint="eastAsia" w:ascii="仿宋" w:hAnsi="仿宋" w:eastAsia="仿宋"/>
          <w:sz w:val="32"/>
          <w:szCs w:val="32"/>
        </w:rPr>
        <w:t>市场主体方面：截至年12月10日，五华区共有食品生产经营市场主体14009户，其中食品生产主体59户，食品销售主体6645户；餐饮经营主体6893户；（特大型餐馆8户、大型105户、中型702户、小型5659户）餐饮配送企业7户；学校食堂214家，其他食堂198家；三小”企业备案主体1834户；小作坊23户。</w:t>
      </w:r>
    </w:p>
    <w:p w14:paraId="08081B95">
      <w:pPr>
        <w:ind w:firstLine="680" w:firstLineChars="200"/>
        <w:rPr>
          <w:rFonts w:ascii="楷体_GB2312" w:eastAsia="楷体_GB2312"/>
          <w:b/>
          <w:sz w:val="32"/>
          <w:szCs w:val="32"/>
        </w:rPr>
      </w:pPr>
      <w:r>
        <w:rPr>
          <w:rFonts w:hint="eastAsia" w:ascii="楷体_GB2312" w:eastAsia="楷体_GB2312"/>
          <w:b/>
          <w:sz w:val="32"/>
          <w:szCs w:val="32"/>
        </w:rPr>
        <w:t>（二）抽检情况</w:t>
      </w:r>
    </w:p>
    <w:p w14:paraId="5C5767EC">
      <w:pPr>
        <w:ind w:firstLine="680" w:firstLineChars="200"/>
        <w:rPr>
          <w:rFonts w:hint="eastAsia" w:ascii="仿宋" w:hAnsi="仿宋" w:eastAsia="仿宋"/>
          <w:sz w:val="32"/>
          <w:szCs w:val="32"/>
        </w:rPr>
      </w:pPr>
      <w:r>
        <w:rPr>
          <w:rFonts w:hint="eastAsia" w:ascii="仿宋" w:hAnsi="仿宋" w:eastAsia="仿宋"/>
          <w:sz w:val="32"/>
          <w:szCs w:val="32"/>
        </w:rPr>
        <w:t>发改、市场、农业、卫健四部门共计完成国抽、省抽、市抽及区抽任务4879批次，抽检合格率稳定达98%以上，达到并超过全区每千人/4份的标准。</w:t>
      </w:r>
    </w:p>
    <w:p w14:paraId="7B341931">
      <w:pPr>
        <w:ind w:firstLine="680" w:firstLineChars="200"/>
        <w:rPr>
          <w:rFonts w:hint="eastAsia" w:ascii="楷体_GB2312" w:hAnsi="仿宋" w:eastAsia="楷体_GB2312"/>
          <w:b/>
          <w:sz w:val="32"/>
          <w:szCs w:val="32"/>
        </w:rPr>
      </w:pPr>
      <w:r>
        <w:rPr>
          <w:rFonts w:hint="eastAsia" w:ascii="楷体_GB2312" w:hAnsi="仿宋" w:eastAsia="楷体_GB2312"/>
          <w:b/>
          <w:sz w:val="32"/>
          <w:szCs w:val="32"/>
        </w:rPr>
        <w:t>（三）取得成效</w:t>
      </w:r>
    </w:p>
    <w:p w14:paraId="41969DB1">
      <w:pPr>
        <w:ind w:firstLine="680" w:firstLineChars="200"/>
        <w:rPr>
          <w:rFonts w:ascii="仿宋" w:hAnsi="仿宋" w:eastAsia="仿宋"/>
          <w:sz w:val="32"/>
          <w:szCs w:val="32"/>
        </w:rPr>
      </w:pPr>
      <w:r>
        <w:rPr>
          <w:rFonts w:hint="eastAsia" w:ascii="仿宋" w:hAnsi="仿宋" w:eastAsia="仿宋"/>
          <w:sz w:val="32"/>
          <w:szCs w:val="32"/>
        </w:rPr>
        <w:t xml:space="preserve">一是完善食品生产企业风险分级管理。对风险企业实施严格把关，推动食品生产企业建立和实施危害分析和关键控制点（HACCP）体系。组织开展食品企业和安全管理人员培训、考核。加大白酒生产加工小作坊专项整治。目前59家生产企业全部纳入分级动态风险管控，组织近60家生产企业的食品安全管理人员100余人次参加培训及监督抽查考核工作。全年出动31车次、检查人员91人次，检查白酒生产加工小作坊14家，经营散装白酒63家。                                                     </w:t>
      </w:r>
      <w:r>
        <w:rPr>
          <w:rFonts w:ascii="仿宋" w:hAnsi="仿宋" w:eastAsia="仿宋"/>
          <w:sz w:val="32"/>
          <w:szCs w:val="32"/>
        </w:rPr>
        <w:t xml:space="preserve">                                                                                                                                                       </w:t>
      </w:r>
    </w:p>
    <w:p w14:paraId="40966093">
      <w:pPr>
        <w:ind w:firstLine="680" w:firstLineChars="200"/>
        <w:rPr>
          <w:rFonts w:ascii="仿宋" w:hAnsi="仿宋" w:eastAsia="仿宋"/>
          <w:sz w:val="32"/>
          <w:szCs w:val="32"/>
        </w:rPr>
      </w:pPr>
      <w:r>
        <w:rPr>
          <w:rFonts w:hint="eastAsia" w:ascii="仿宋" w:hAnsi="仿宋" w:eastAsia="仿宋"/>
          <w:sz w:val="32"/>
          <w:szCs w:val="32"/>
        </w:rPr>
        <w:t>二是组织开展标签标识管理工作。邀请专家就食品生产相关法律、法规、规章和规范性文件、食品安全标准、食品安全国家标准 预包装食品标签通则（GB 7718-2011）、食品安全基础知识、相关技术及控制要求等对企业进行了培训；同时，加大对大型商超、集贸市场为重点的标签标识进行专项检查。</w:t>
      </w:r>
    </w:p>
    <w:p w14:paraId="2AE36833">
      <w:pPr>
        <w:ind w:firstLine="680" w:firstLineChars="200"/>
        <w:rPr>
          <w:rFonts w:ascii="仿宋" w:hAnsi="仿宋" w:eastAsia="仿宋"/>
          <w:sz w:val="32"/>
          <w:szCs w:val="32"/>
        </w:rPr>
      </w:pPr>
      <w:r>
        <w:rPr>
          <w:rFonts w:hint="eastAsia" w:ascii="仿宋" w:hAnsi="仿宋" w:eastAsia="仿宋"/>
          <w:sz w:val="32"/>
          <w:szCs w:val="32"/>
        </w:rPr>
        <w:t xml:space="preserve">三是实施餐饮质量安全提升行动。目前，五华区具有合法资质学校食堂214家，持证率达到了100%，其中A级87家；另有9家幼儿园、学校正在申报A级；6913户经营性餐饮服务单位全部实施了量化分级管理，分级管理率达到98%以上；全区11家养老机构食堂持证率达到了100%；全区159个学校食堂100家启动“六T”管理，实现了“六T”食堂达标率60%；明厨亮灶”实现全覆盖，覆盖率100%。       </w:t>
      </w:r>
    </w:p>
    <w:p w14:paraId="46E1FEC9">
      <w:pPr>
        <w:ind w:firstLine="680" w:firstLineChars="200"/>
        <w:rPr>
          <w:rFonts w:ascii="仿宋" w:hAnsi="仿宋" w:eastAsia="仿宋"/>
          <w:sz w:val="32"/>
          <w:szCs w:val="32"/>
        </w:rPr>
      </w:pPr>
      <w:r>
        <w:rPr>
          <w:rFonts w:hint="eastAsia" w:ascii="仿宋" w:hAnsi="仿宋" w:eastAsia="仿宋"/>
          <w:sz w:val="32"/>
          <w:szCs w:val="32"/>
        </w:rPr>
        <w:t>四是加强食品安全抽检。截止11月底，区发展改革局、区农业农村局、区卫生健康局、区市场监管局共计完成国家评价性抽检、省级抽检、市级抽检、区级抽检4639个批次，抽检合格率稳定控制在98%以上，超额完成每千人/4份的抽检任务。</w:t>
      </w:r>
    </w:p>
    <w:p w14:paraId="70725D7D">
      <w:pPr>
        <w:ind w:firstLine="680" w:firstLineChars="200"/>
        <w:rPr>
          <w:rFonts w:ascii="仿宋" w:hAnsi="仿宋" w:eastAsia="仿宋"/>
          <w:sz w:val="32"/>
          <w:szCs w:val="32"/>
        </w:rPr>
      </w:pPr>
      <w:r>
        <w:rPr>
          <w:rFonts w:hint="eastAsia" w:ascii="仿宋" w:hAnsi="仿宋" w:eastAsia="仿宋"/>
          <w:sz w:val="32"/>
          <w:szCs w:val="32"/>
        </w:rPr>
        <w:t>五是开展网络订餐“净网”专项整治行动。今年来针对疫情，网上订餐量的大幅增加，我们重点检查了全区外卖商家是否具备经营许可证照、相关资质是否真实有效，是否按规定公示食品经营许可证、营业执照、量化分级等信息；并对主体责任不落实，存在食品安全隐患问题的第三方平台及时进行责任约谈，做好行政指导，督促其自查整改，专项整治工作共开展网上检查123家次，开展实地检查118家次，未发现相关违法行为。</w:t>
      </w:r>
    </w:p>
    <w:p w14:paraId="7F4B08A1">
      <w:pPr>
        <w:ind w:firstLine="680" w:firstLineChars="200"/>
        <w:rPr>
          <w:rFonts w:ascii="仿宋" w:hAnsi="仿宋" w:eastAsia="仿宋"/>
          <w:sz w:val="32"/>
          <w:szCs w:val="32"/>
        </w:rPr>
      </w:pPr>
      <w:r>
        <w:rPr>
          <w:rFonts w:hint="eastAsia" w:ascii="仿宋" w:hAnsi="仿宋" w:eastAsia="仿宋"/>
          <w:sz w:val="32"/>
          <w:szCs w:val="32"/>
        </w:rPr>
        <w:t>六是联合开展校园食品安全守护行动。进一步健全校园食品安全管理制度，落实校园食品安全校长（园长）负责制，学校负责人陪餐制和学校食品安全自查制度，实行大宗食品公开招标、集中定点采购建立家长委员会代表参与学校食品安全监督机制。使获证3个月以上学校食堂监督量化分级覆盖率达100%。推进学校食堂“六 T”实务管理。落实学校食堂“明厨亮灶”100%全覆盖。大幅提高学校食堂“互联网+明厨亮灶”覆盖率。对学校食堂、学生集体用餐配送单位、校园周边餐饮门店进行全覆盖监督检查。年内全区校园未发生较大规模食物中毒事故。</w:t>
      </w:r>
    </w:p>
    <w:p w14:paraId="2DDA264E">
      <w:pPr>
        <w:ind w:firstLine="680" w:firstLineChars="200"/>
        <w:rPr>
          <w:rFonts w:ascii="仿宋" w:hAnsi="仿宋" w:eastAsia="仿宋"/>
          <w:sz w:val="32"/>
          <w:szCs w:val="32"/>
        </w:rPr>
      </w:pPr>
      <w:r>
        <w:rPr>
          <w:rFonts w:hint="eastAsia" w:ascii="仿宋" w:hAnsi="仿宋" w:eastAsia="仿宋"/>
          <w:sz w:val="32"/>
          <w:szCs w:val="32"/>
        </w:rPr>
        <w:t xml:space="preserve">七是加强农村集体聚餐和农村假冒食品整治。目前，全区共有农村、社区客堂69家，今年以来，我们加强了疫情防控期间农村和社区客堂集体聚餐管理，取消、暂停农村集体聚餐17批次，涉及人员19500人次。同时，出动240人次，加大了对以西翥办事处辖区为重点的农村假冒食品的整治，进一步提升了农村地区食品安全保障水平。                         </w:t>
      </w:r>
    </w:p>
    <w:p w14:paraId="1646C28F">
      <w:pPr>
        <w:ind w:firstLine="680" w:firstLineChars="200"/>
        <w:rPr>
          <w:rFonts w:ascii="仿宋" w:hAnsi="仿宋" w:eastAsia="仿宋"/>
          <w:sz w:val="32"/>
          <w:szCs w:val="32"/>
        </w:rPr>
      </w:pPr>
      <w:r>
        <w:rPr>
          <w:rFonts w:hint="eastAsia" w:ascii="仿宋" w:hAnsi="仿宋" w:eastAsia="仿宋"/>
          <w:sz w:val="32"/>
          <w:szCs w:val="32"/>
        </w:rPr>
        <w:t xml:space="preserve">八是强化对保健品行业专项整治。全年出动196人次，检查含保健食品销售的获证企业1216家次；重点检查保健食品经营户是否建立健全索证索票、审核查验、专柜销售等经营管理制度，确保经营的保健食品符合法律、法规和食品安全标准。重点对违法经营保健食品；保健食品虚假宣传行为；利用网络、会议营销、点事购物、知晓、电话营销等方式欺诈销售的行为；未经审查发布保健食品广告以及发布虚假违法食品、保健食品广告等几个行为进行整治。        </w:t>
      </w:r>
    </w:p>
    <w:p w14:paraId="35CD155C">
      <w:pPr>
        <w:ind w:firstLine="680" w:firstLineChars="200"/>
        <w:rPr>
          <w:rFonts w:ascii="仿宋" w:hAnsi="仿宋" w:eastAsia="仿宋"/>
          <w:sz w:val="32"/>
          <w:szCs w:val="32"/>
        </w:rPr>
      </w:pPr>
      <w:r>
        <w:rPr>
          <w:rFonts w:hint="eastAsia" w:ascii="仿宋" w:hAnsi="仿宋" w:eastAsia="仿宋"/>
          <w:sz w:val="32"/>
          <w:szCs w:val="32"/>
        </w:rPr>
        <w:t>九是加大食品领域执法工作。今年以来，共办理行政处罚案件193件，罚没款金额：619.08万元。其中食品违法案件：86件，罚没款金额：337.78万元。</w:t>
      </w:r>
    </w:p>
    <w:p w14:paraId="05356830">
      <w:pPr>
        <w:pStyle w:val="11"/>
        <w:spacing w:before="0" w:beforeAutospacing="0" w:after="0" w:afterAutospacing="0" w:line="560" w:lineRule="exact"/>
        <w:ind w:firstLine="680" w:firstLineChars="200"/>
        <w:jc w:val="both"/>
        <w:rPr>
          <w:rFonts w:ascii="楷体_GB2312" w:hAnsi="仿宋_GB2312" w:eastAsia="楷体_GB2312"/>
          <w:b/>
          <w:kern w:val="2"/>
          <w:sz w:val="32"/>
          <w:szCs w:val="15"/>
        </w:rPr>
      </w:pPr>
      <w:r>
        <w:rPr>
          <w:rFonts w:hint="eastAsia" w:ascii="楷体_GB2312" w:hAnsi="仿宋_GB2312" w:eastAsia="楷体_GB2312"/>
          <w:b/>
          <w:kern w:val="2"/>
          <w:sz w:val="32"/>
          <w:szCs w:val="15"/>
        </w:rPr>
        <w:t>（四）问题与困难</w:t>
      </w:r>
    </w:p>
    <w:p w14:paraId="4691F76B">
      <w:pPr>
        <w:pStyle w:val="11"/>
        <w:shd w:val="clear" w:color="auto" w:fill="FFFFFF"/>
        <w:spacing w:before="0" w:beforeAutospacing="0" w:after="0" w:afterAutospacing="0" w:line="560" w:lineRule="exact"/>
        <w:ind w:firstLine="680" w:firstLineChars="200"/>
        <w:jc w:val="both"/>
        <w:rPr>
          <w:rFonts w:ascii="Times New Roman" w:hAnsi="仿宋_GB2312" w:eastAsia="仿宋_GB2312"/>
          <w:kern w:val="2"/>
          <w:sz w:val="32"/>
          <w:szCs w:val="15"/>
        </w:rPr>
      </w:pPr>
      <w:r>
        <w:rPr>
          <w:rFonts w:hint="eastAsia" w:ascii="楷体_GB2312" w:hAnsi="楷体" w:eastAsia="楷体_GB2312"/>
          <w:sz w:val="32"/>
          <w:szCs w:val="15"/>
        </w:rPr>
        <w:t>1、企业主体责任还有缺位。</w:t>
      </w:r>
      <w:r>
        <w:rPr>
          <w:rFonts w:hint="eastAsia" w:ascii="Times New Roman" w:hAnsi="仿宋_GB2312" w:eastAsia="仿宋_GB2312"/>
          <w:kern w:val="2"/>
          <w:sz w:val="32"/>
          <w:szCs w:val="15"/>
        </w:rPr>
        <w:t>我区目前食品生产经营单位，普遍存在技术含量低、产业规模小等十分明显的阶段性特征。由于准入门槛低，部分食品经营业主</w:t>
      </w:r>
      <w:r>
        <w:rPr>
          <w:rFonts w:hint="eastAsia" w:ascii="Times New Roman" w:hAnsi="仿宋_GB2312" w:eastAsia="仿宋_GB2312"/>
          <w:kern w:val="2"/>
          <w:sz w:val="32"/>
          <w:szCs w:val="15"/>
          <w:lang w:val="en-US" w:eastAsia="zh-CN"/>
        </w:rPr>
        <w:t>法治</w:t>
      </w:r>
      <w:r>
        <w:rPr>
          <w:rFonts w:hint="eastAsia" w:ascii="Times New Roman" w:hAnsi="仿宋_GB2312" w:eastAsia="仿宋_GB2312"/>
          <w:kern w:val="2"/>
          <w:sz w:val="32"/>
          <w:szCs w:val="15"/>
        </w:rPr>
        <w:t>意识差、管理能力弱，从业人员素质更是参差不齐。食品安全问题，归根结底在于行业自律和严格监管，在于食品生产经营单位主体责任落实，而低、小、散、弱的食品产业现状严重制约和影响到我区食品安全质量管控水平的提升。</w:t>
      </w:r>
    </w:p>
    <w:p w14:paraId="36387897">
      <w:pPr>
        <w:pStyle w:val="11"/>
        <w:shd w:val="clear" w:color="auto" w:fill="FFFFFF"/>
        <w:spacing w:before="0" w:beforeAutospacing="0" w:after="0" w:afterAutospacing="0" w:line="560" w:lineRule="exact"/>
        <w:ind w:firstLine="680" w:firstLineChars="200"/>
        <w:jc w:val="both"/>
        <w:rPr>
          <w:rFonts w:ascii="Times New Roman" w:hAnsi="Times New Roman" w:eastAsia="仿宋_GB2312"/>
          <w:kern w:val="2"/>
          <w:sz w:val="32"/>
          <w:szCs w:val="15"/>
        </w:rPr>
      </w:pPr>
      <w:r>
        <w:rPr>
          <w:rFonts w:hint="eastAsia" w:ascii="Times New Roman" w:hAnsi="仿宋_GB2312" w:eastAsia="仿宋_GB2312"/>
          <w:kern w:val="2"/>
          <w:sz w:val="32"/>
          <w:szCs w:val="15"/>
        </w:rPr>
        <w:t>2、</w:t>
      </w:r>
      <w:r>
        <w:rPr>
          <w:rFonts w:hint="eastAsia" w:ascii="楷体_GB2312" w:hAnsi="Times New Roman" w:eastAsia="楷体_GB2312"/>
          <w:kern w:val="2"/>
          <w:sz w:val="32"/>
          <w:szCs w:val="15"/>
        </w:rPr>
        <w:t>“</w:t>
      </w:r>
      <w:r>
        <w:rPr>
          <w:rFonts w:hint="eastAsia" w:ascii="楷体_GB2312" w:hAnsi="楷体" w:eastAsia="楷体_GB2312"/>
          <w:kern w:val="2"/>
          <w:sz w:val="32"/>
          <w:szCs w:val="15"/>
        </w:rPr>
        <w:t>三小</w:t>
      </w:r>
      <w:r>
        <w:rPr>
          <w:rFonts w:hint="eastAsia" w:ascii="楷体_GB2312" w:hAnsi="Times New Roman" w:eastAsia="楷体_GB2312"/>
          <w:kern w:val="2"/>
          <w:sz w:val="32"/>
          <w:szCs w:val="15"/>
        </w:rPr>
        <w:t>”</w:t>
      </w:r>
      <w:r>
        <w:rPr>
          <w:rFonts w:hint="eastAsia" w:ascii="楷体_GB2312" w:hAnsi="楷体" w:eastAsia="楷体_GB2312"/>
          <w:kern w:val="2"/>
          <w:sz w:val="32"/>
          <w:szCs w:val="15"/>
        </w:rPr>
        <w:t>监管难度大。</w:t>
      </w:r>
      <w:r>
        <w:rPr>
          <w:rFonts w:hint="eastAsia" w:ascii="Times New Roman" w:hAnsi="仿宋_GB2312" w:eastAsia="仿宋_GB2312"/>
          <w:kern w:val="2"/>
          <w:sz w:val="32"/>
          <w:szCs w:val="15"/>
        </w:rPr>
        <w:t>我区农贸市场23个，小作坊、小摊贩、小餐馆分布点多面广，在城中村、城乡结合部、农村还存在一些监管盲区，还有一定数量未纳入登记备案的“三小”市场主体。农村小食杂店销售过期和“三无”食品的现象时有发生，部分农村小餐馆存在基础卫生设施不完善等问题，卫生状况有待进一步改善。</w:t>
      </w:r>
    </w:p>
    <w:p w14:paraId="31791764">
      <w:pPr>
        <w:pStyle w:val="11"/>
        <w:shd w:val="clear" w:color="auto" w:fill="FFFFFF"/>
        <w:spacing w:before="0" w:beforeAutospacing="0" w:after="0" w:afterAutospacing="0" w:line="560" w:lineRule="exact"/>
        <w:ind w:firstLine="680" w:firstLineChars="200"/>
        <w:jc w:val="both"/>
        <w:rPr>
          <w:rFonts w:ascii="楷体" w:hAnsi="楷体" w:eastAsia="楷体" w:cs="仿宋_GB2312"/>
          <w:bCs/>
          <w:sz w:val="32"/>
          <w:szCs w:val="32"/>
        </w:rPr>
      </w:pPr>
      <w:r>
        <w:rPr>
          <w:rFonts w:hint="eastAsia" w:ascii="Times New Roman" w:hAnsi="Times New Roman" w:eastAsia="仿宋_GB2312"/>
          <w:kern w:val="2"/>
          <w:sz w:val="32"/>
          <w:szCs w:val="15"/>
        </w:rPr>
        <w:t>3、</w:t>
      </w:r>
      <w:r>
        <w:rPr>
          <w:rFonts w:hint="eastAsia" w:ascii="楷体_GB2312" w:hAnsi="楷体" w:eastAsia="楷体_GB2312"/>
          <w:kern w:val="2"/>
          <w:sz w:val="32"/>
          <w:szCs w:val="15"/>
        </w:rPr>
        <w:t>网络食品安监管难度大。</w:t>
      </w:r>
      <w:r>
        <w:rPr>
          <w:rFonts w:hint="eastAsia" w:ascii="Times New Roman" w:hAnsi="仿宋_GB2312" w:eastAsia="仿宋_GB2312"/>
          <w:kern w:val="2"/>
          <w:sz w:val="32"/>
          <w:szCs w:val="15"/>
        </w:rPr>
        <w:t>随着餐饮行业向网络空间不断拓展，传统的拉网式排查、专项整治、投诉举报处置等人海战术式的监管手段已经严重不符合目前的监管实际。</w:t>
      </w:r>
    </w:p>
    <w:p w14:paraId="7F468B96">
      <w:pPr>
        <w:ind w:firstLine="680" w:firstLineChars="200"/>
        <w:rPr>
          <w:rFonts w:ascii="Times New Roman" w:hAnsi="仿宋_GB2312" w:eastAsia="仿宋_GB2312"/>
          <w:sz w:val="32"/>
          <w:szCs w:val="15"/>
        </w:rPr>
      </w:pPr>
      <w:r>
        <w:rPr>
          <w:rFonts w:hint="eastAsia" w:ascii="Times New Roman" w:hAnsi="Times New Roman" w:eastAsia="仿宋_GB2312"/>
          <w:sz w:val="32"/>
          <w:szCs w:val="15"/>
        </w:rPr>
        <w:t>4、</w:t>
      </w:r>
      <w:r>
        <w:rPr>
          <w:rFonts w:hint="eastAsia" w:ascii="楷体" w:hAnsi="楷体" w:eastAsia="楷体" w:cs="仿宋_GB2312"/>
          <w:bCs/>
          <w:sz w:val="32"/>
          <w:szCs w:val="32"/>
        </w:rPr>
        <w:t>食品安全监管能力和水平有待加强，各成员单位之间合力有待加强。</w:t>
      </w:r>
      <w:r>
        <w:rPr>
          <w:rFonts w:hint="eastAsia" w:ascii="Times New Roman" w:hAnsi="仿宋_GB2312" w:eastAsia="仿宋_GB2312"/>
          <w:sz w:val="32"/>
          <w:szCs w:val="15"/>
        </w:rPr>
        <w:t>全区食品安全执法人员业务能力与目前形势下监管工作的需要之间还有一定差距，人员的整体素质还有待进一步提高。区食品药品检验检测机构尚未建立，快速检验的技术支撑手段不足，风险监测和隐患排查分析工作受到制约。信息化建设不足，监管合力尚未形成。</w:t>
      </w:r>
    </w:p>
    <w:p w14:paraId="50341D27">
      <w:pPr>
        <w:pStyle w:val="11"/>
        <w:shd w:val="clear" w:color="auto" w:fill="FFFFFF"/>
        <w:spacing w:before="0" w:beforeAutospacing="0" w:after="0" w:afterAutospacing="0" w:line="560" w:lineRule="exact"/>
        <w:ind w:firstLine="680" w:firstLineChars="200"/>
        <w:jc w:val="both"/>
        <w:rPr>
          <w:rFonts w:hint="eastAsia" w:ascii="方正小标宋简体" w:hAnsi="仿宋_GB2312" w:eastAsia="方正小标宋简体" w:cs="仿宋_GB2312"/>
          <w:color w:val="000000"/>
          <w:sz w:val="32"/>
          <w:szCs w:val="32"/>
        </w:rPr>
      </w:pPr>
      <w:r>
        <w:rPr>
          <w:rFonts w:hint="eastAsia" w:ascii="方正小标宋简体" w:hAnsi="仿宋_GB2312" w:eastAsia="方正小标宋简体"/>
          <w:color w:val="000000"/>
          <w:kern w:val="2"/>
          <w:sz w:val="32"/>
          <w:szCs w:val="15"/>
        </w:rPr>
        <w:t>四、</w:t>
      </w:r>
      <w:r>
        <w:rPr>
          <w:rFonts w:hint="eastAsia" w:ascii="方正小标宋简体" w:hAnsi="仿宋_GB2312" w:eastAsia="方正小标宋简体" w:cs="仿宋_GB2312"/>
          <w:color w:val="000000"/>
          <w:sz w:val="32"/>
          <w:szCs w:val="32"/>
        </w:rPr>
        <w:t>药品、医疗器械、化妆品安全方面</w:t>
      </w:r>
    </w:p>
    <w:p w14:paraId="69B67D05">
      <w:pPr>
        <w:ind w:firstLine="645"/>
        <w:rPr>
          <w:rFonts w:hint="eastAsia" w:ascii="仿宋_GB2312" w:hAnsi="新宋体" w:eastAsia="仿宋_GB2312"/>
          <w:sz w:val="32"/>
          <w:szCs w:val="32"/>
        </w:rPr>
      </w:pPr>
      <w:r>
        <w:rPr>
          <w:rFonts w:hint="eastAsia" w:ascii="仿宋_GB2312" w:hAnsi="宋体" w:eastAsia="仿宋_GB2312" w:cs="宋体"/>
          <w:b/>
          <w:color w:val="000000"/>
          <w:kern w:val="0"/>
          <w:sz w:val="32"/>
          <w:szCs w:val="32"/>
        </w:rPr>
        <w:t>药品经营企业情况：</w:t>
      </w:r>
      <w:r>
        <w:rPr>
          <w:rFonts w:hint="eastAsia" w:ascii="仿宋_GB2312" w:hAnsi="宋体" w:eastAsia="仿宋_GB2312" w:cs="宋体"/>
          <w:color w:val="000000"/>
          <w:kern w:val="0"/>
          <w:sz w:val="32"/>
          <w:szCs w:val="32"/>
        </w:rPr>
        <w:t>我区有药品零售单体企业65家，药品连锁企业364家，均取得《药品经营许可证》。其中兼营医疗器械企业165家均有《医疗器械经营企业许可证》或备案凭证。年，我局对药品经营企业进行了药品监督抽验，共抽验35个批次药品，有1批次中药饮片不合格，抽验合格率为97%。</w:t>
      </w:r>
      <w:r>
        <w:rPr>
          <w:rFonts w:hint="eastAsia" w:ascii="仿宋_GB2312" w:hAnsi="新宋体" w:eastAsia="仿宋_GB2312"/>
          <w:sz w:val="32"/>
          <w:szCs w:val="32"/>
        </w:rPr>
        <w:t>监督抽验的药品包括了中药饮片、中成药、化学药和抗生素等品种。同时也对</w:t>
      </w:r>
      <w:r>
        <w:rPr>
          <w:rFonts w:hint="eastAsia" w:ascii="仿宋_GB2312" w:eastAsia="仿宋_GB2312"/>
          <w:sz w:val="32"/>
          <w:szCs w:val="32"/>
        </w:rPr>
        <w:t>6个批次医疗器械和4批次化妆品进行抽检工作，合格率100%。</w:t>
      </w:r>
    </w:p>
    <w:p w14:paraId="7B5ABEC5">
      <w:pPr>
        <w:ind w:firstLine="645"/>
        <w:rPr>
          <w:rFonts w:hint="eastAsia" w:ascii="仿宋_GB2312" w:hAnsi="新宋体" w:eastAsia="仿宋_GB2312"/>
          <w:sz w:val="32"/>
          <w:szCs w:val="32"/>
        </w:rPr>
      </w:pPr>
      <w:r>
        <w:rPr>
          <w:rFonts w:hint="eastAsia" w:ascii="仿宋_GB2312" w:hAnsi="新宋体" w:eastAsia="仿宋_GB2312"/>
          <w:b/>
          <w:sz w:val="32"/>
          <w:szCs w:val="32"/>
        </w:rPr>
        <w:t>药品生产企业情况：</w:t>
      </w:r>
      <w:r>
        <w:rPr>
          <w:rFonts w:hint="eastAsia" w:ascii="仿宋_GB2312" w:hAnsi="新宋体" w:eastAsia="仿宋_GB2312"/>
          <w:sz w:val="32"/>
          <w:szCs w:val="32"/>
        </w:rPr>
        <w:t>目前，全区共有药品生产企业5家，均取得了《药品生产许可证》、</w:t>
      </w:r>
      <w:r>
        <w:rPr>
          <w:rFonts w:hint="eastAsia" w:ascii="仿宋_GB2312" w:hAnsi="宋体" w:eastAsia="仿宋_GB2312" w:cs="宋体"/>
          <w:color w:val="000000"/>
          <w:kern w:val="0"/>
          <w:sz w:val="32"/>
          <w:szCs w:val="32"/>
        </w:rPr>
        <w:t>《药品生产质量管理规范认证证书》，</w:t>
      </w:r>
      <w:r>
        <w:rPr>
          <w:rFonts w:hint="eastAsia" w:ascii="仿宋_GB2312" w:hAnsi="新宋体" w:eastAsia="仿宋_GB2312"/>
          <w:sz w:val="32"/>
          <w:szCs w:val="32"/>
        </w:rPr>
        <w:t>涉及的产品主要为中成药、化学药和原料药。其中，部分药品生产企业生产国家基本药物并逐步加入了药品电子监管。由于药品生产企业行政许可按规定由市食品药品监督管理局核发，我局只有日常监管权，所以未对药品生产企业的产品进行监督抽验。</w:t>
      </w:r>
    </w:p>
    <w:p w14:paraId="2A2641E0">
      <w:pPr>
        <w:ind w:firstLine="680" w:firstLineChars="200"/>
        <w:rPr>
          <w:rFonts w:hint="eastAsia" w:ascii="仿宋_GB2312" w:hAnsi="宋体" w:eastAsia="仿宋_GB2312"/>
          <w:b/>
          <w:sz w:val="32"/>
          <w:szCs w:val="32"/>
        </w:rPr>
      </w:pPr>
      <w:r>
        <w:rPr>
          <w:rFonts w:hint="eastAsia" w:ascii="仿宋_GB2312" w:hAnsi="宋体" w:eastAsia="仿宋_GB2312"/>
          <w:b/>
          <w:sz w:val="32"/>
          <w:szCs w:val="32"/>
        </w:rPr>
        <w:t>（一）药品监督抽验结果及分析</w:t>
      </w:r>
    </w:p>
    <w:p w14:paraId="0C81964E">
      <w:pPr>
        <w:ind w:firstLine="680" w:firstLineChars="200"/>
        <w:rPr>
          <w:rFonts w:hint="eastAsia" w:ascii="仿宋_GB2312" w:hAnsi="宋体" w:eastAsia="仿宋_GB2312"/>
          <w:sz w:val="32"/>
          <w:szCs w:val="32"/>
        </w:rPr>
      </w:pPr>
      <w:r>
        <w:rPr>
          <w:rFonts w:hint="eastAsia" w:ascii="仿宋_GB2312" w:hAnsi="宋体" w:eastAsia="仿宋_GB2312"/>
          <w:sz w:val="32"/>
          <w:szCs w:val="32"/>
        </w:rPr>
        <w:t>1.药品分类抽验情况</w:t>
      </w:r>
    </w:p>
    <w:p w14:paraId="12073DCB">
      <w:pPr>
        <w:rPr>
          <w:rFonts w:hint="eastAsia" w:ascii="仿宋_GB2312" w:hAnsi="宋体" w:eastAsia="仿宋_GB2312"/>
          <w:sz w:val="32"/>
          <w:szCs w:val="32"/>
        </w:rPr>
      </w:pPr>
    </w:p>
    <w:tbl>
      <w:tblPr>
        <w:tblStyle w:val="13"/>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575"/>
        <w:gridCol w:w="1626"/>
        <w:gridCol w:w="1260"/>
        <w:gridCol w:w="1820"/>
        <w:gridCol w:w="1260"/>
      </w:tblGrid>
      <w:tr w14:paraId="3F41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738" w:type="dxa"/>
            <w:noWrap w:val="0"/>
            <w:vAlign w:val="center"/>
          </w:tcPr>
          <w:p w14:paraId="0CE369BD">
            <w:pPr>
              <w:jc w:val="center"/>
              <w:rPr>
                <w:rFonts w:hint="eastAsia" w:ascii="仿宋_GB2312" w:hAnsi="宋体" w:eastAsia="仿宋_GB2312"/>
                <w:sz w:val="24"/>
                <w:szCs w:val="24"/>
              </w:rPr>
            </w:pPr>
            <w:r>
              <w:rPr>
                <w:rFonts w:hint="eastAsia" w:ascii="仿宋_GB2312" w:hAnsi="宋体" w:eastAsia="仿宋_GB2312"/>
                <w:sz w:val="24"/>
                <w:szCs w:val="24"/>
              </w:rPr>
              <w:t>序号</w:t>
            </w:r>
          </w:p>
        </w:tc>
        <w:tc>
          <w:tcPr>
            <w:tcW w:w="1575" w:type="dxa"/>
            <w:noWrap w:val="0"/>
            <w:vAlign w:val="center"/>
          </w:tcPr>
          <w:p w14:paraId="6B640E1E">
            <w:pPr>
              <w:jc w:val="center"/>
              <w:rPr>
                <w:rFonts w:hint="eastAsia" w:ascii="仿宋_GB2312" w:hAnsi="宋体" w:eastAsia="仿宋_GB2312"/>
                <w:sz w:val="24"/>
                <w:szCs w:val="24"/>
              </w:rPr>
            </w:pPr>
            <w:r>
              <w:rPr>
                <w:rFonts w:hint="eastAsia" w:ascii="仿宋_GB2312" w:hAnsi="宋体" w:eastAsia="仿宋_GB2312"/>
                <w:sz w:val="24"/>
                <w:szCs w:val="24"/>
              </w:rPr>
              <w:t>产品</w:t>
            </w:r>
          </w:p>
          <w:p w14:paraId="5FDFA1B9">
            <w:pPr>
              <w:jc w:val="center"/>
              <w:rPr>
                <w:rFonts w:hint="eastAsia" w:ascii="仿宋_GB2312" w:hAnsi="宋体" w:eastAsia="仿宋_GB2312"/>
                <w:sz w:val="24"/>
                <w:szCs w:val="24"/>
              </w:rPr>
            </w:pPr>
            <w:r>
              <w:rPr>
                <w:rFonts w:hint="eastAsia" w:ascii="仿宋_GB2312" w:hAnsi="宋体" w:eastAsia="仿宋_GB2312"/>
                <w:sz w:val="24"/>
                <w:szCs w:val="24"/>
              </w:rPr>
              <w:t>类别</w:t>
            </w:r>
          </w:p>
        </w:tc>
        <w:tc>
          <w:tcPr>
            <w:tcW w:w="1575" w:type="dxa"/>
            <w:noWrap w:val="0"/>
            <w:vAlign w:val="center"/>
          </w:tcPr>
          <w:p w14:paraId="1492A09F">
            <w:pPr>
              <w:jc w:val="center"/>
              <w:rPr>
                <w:rFonts w:hint="eastAsia" w:ascii="仿宋_GB2312" w:hAnsi="宋体" w:eastAsia="仿宋_GB2312"/>
                <w:sz w:val="24"/>
                <w:szCs w:val="24"/>
              </w:rPr>
            </w:pPr>
            <w:r>
              <w:rPr>
                <w:rFonts w:hint="eastAsia" w:ascii="仿宋_GB2312" w:hAnsi="宋体" w:eastAsia="仿宋_GB2312"/>
                <w:sz w:val="24"/>
                <w:szCs w:val="24"/>
              </w:rPr>
              <w:t>抽查</w:t>
            </w:r>
          </w:p>
          <w:p w14:paraId="7ADC1A18">
            <w:pPr>
              <w:jc w:val="center"/>
              <w:rPr>
                <w:rFonts w:hint="eastAsia" w:ascii="仿宋_GB2312" w:hAnsi="宋体" w:eastAsia="仿宋_GB2312"/>
                <w:sz w:val="24"/>
                <w:szCs w:val="24"/>
              </w:rPr>
            </w:pPr>
            <w:r>
              <w:rPr>
                <w:rFonts w:hint="eastAsia" w:ascii="仿宋_GB2312" w:hAnsi="宋体" w:eastAsia="仿宋_GB2312"/>
                <w:sz w:val="24"/>
                <w:szCs w:val="24"/>
              </w:rPr>
              <w:t>企业数（家）</w:t>
            </w:r>
          </w:p>
        </w:tc>
        <w:tc>
          <w:tcPr>
            <w:tcW w:w="1626" w:type="dxa"/>
            <w:noWrap w:val="0"/>
            <w:vAlign w:val="center"/>
          </w:tcPr>
          <w:p w14:paraId="5714E7F8">
            <w:pPr>
              <w:jc w:val="center"/>
              <w:rPr>
                <w:rFonts w:hint="eastAsia" w:ascii="仿宋_GB2312" w:hAnsi="宋体" w:eastAsia="仿宋_GB2312"/>
                <w:sz w:val="24"/>
                <w:szCs w:val="24"/>
              </w:rPr>
            </w:pPr>
            <w:r>
              <w:rPr>
                <w:rFonts w:hint="eastAsia" w:ascii="仿宋_GB2312" w:hAnsi="宋体" w:eastAsia="仿宋_GB2312"/>
                <w:sz w:val="24"/>
                <w:szCs w:val="24"/>
              </w:rPr>
              <w:t>抽查产</w:t>
            </w:r>
          </w:p>
          <w:p w14:paraId="56C2CBBF">
            <w:pPr>
              <w:jc w:val="center"/>
              <w:rPr>
                <w:rFonts w:hint="eastAsia" w:ascii="仿宋_GB2312" w:hAnsi="宋体" w:eastAsia="仿宋_GB2312"/>
                <w:sz w:val="24"/>
                <w:szCs w:val="24"/>
              </w:rPr>
            </w:pPr>
            <w:r>
              <w:rPr>
                <w:rFonts w:hint="eastAsia" w:ascii="仿宋_GB2312" w:hAnsi="宋体" w:eastAsia="仿宋_GB2312"/>
                <w:sz w:val="24"/>
                <w:szCs w:val="24"/>
              </w:rPr>
              <w:t>品数（批次）</w:t>
            </w:r>
          </w:p>
        </w:tc>
        <w:tc>
          <w:tcPr>
            <w:tcW w:w="1260" w:type="dxa"/>
            <w:noWrap w:val="0"/>
            <w:vAlign w:val="center"/>
          </w:tcPr>
          <w:p w14:paraId="02F9E624">
            <w:pPr>
              <w:jc w:val="center"/>
              <w:rPr>
                <w:rFonts w:hint="eastAsia" w:ascii="仿宋_GB2312" w:hAnsi="宋体" w:eastAsia="仿宋_GB2312"/>
                <w:sz w:val="24"/>
                <w:szCs w:val="24"/>
              </w:rPr>
            </w:pPr>
            <w:r>
              <w:rPr>
                <w:rFonts w:hint="eastAsia" w:ascii="仿宋_GB2312" w:hAnsi="宋体" w:eastAsia="仿宋_GB2312"/>
                <w:sz w:val="24"/>
                <w:szCs w:val="24"/>
              </w:rPr>
              <w:t>合格数（批次）</w:t>
            </w:r>
          </w:p>
        </w:tc>
        <w:tc>
          <w:tcPr>
            <w:tcW w:w="1820" w:type="dxa"/>
            <w:noWrap w:val="0"/>
            <w:vAlign w:val="center"/>
          </w:tcPr>
          <w:p w14:paraId="114A03EA">
            <w:pPr>
              <w:ind w:left="-713" w:leftChars="-310" w:firstLine="1079" w:firstLineChars="415"/>
              <w:jc w:val="center"/>
              <w:rPr>
                <w:rFonts w:hint="eastAsia" w:ascii="仿宋_GB2312" w:hAnsi="宋体" w:eastAsia="仿宋_GB2312"/>
                <w:sz w:val="24"/>
                <w:szCs w:val="24"/>
              </w:rPr>
            </w:pPr>
            <w:r>
              <w:rPr>
                <w:rFonts w:hint="eastAsia" w:ascii="仿宋_GB2312" w:hAnsi="宋体" w:eastAsia="仿宋_GB2312"/>
                <w:sz w:val="24"/>
                <w:szCs w:val="24"/>
              </w:rPr>
              <w:t>合格率（%）</w:t>
            </w:r>
          </w:p>
        </w:tc>
        <w:tc>
          <w:tcPr>
            <w:tcW w:w="1260" w:type="dxa"/>
            <w:noWrap w:val="0"/>
            <w:vAlign w:val="center"/>
          </w:tcPr>
          <w:p w14:paraId="5D0B3C42">
            <w:pPr>
              <w:ind w:left="-713" w:leftChars="-310" w:firstLine="1079" w:firstLineChars="415"/>
              <w:jc w:val="center"/>
              <w:rPr>
                <w:rFonts w:hint="eastAsia" w:ascii="仿宋_GB2312" w:hAnsi="宋体" w:eastAsia="仿宋_GB2312"/>
                <w:sz w:val="24"/>
                <w:szCs w:val="24"/>
              </w:rPr>
            </w:pPr>
            <w:r>
              <w:rPr>
                <w:rFonts w:hint="eastAsia" w:ascii="仿宋_GB2312" w:hAnsi="宋体" w:eastAsia="仿宋_GB2312"/>
                <w:sz w:val="24"/>
                <w:szCs w:val="24"/>
              </w:rPr>
              <w:t>备注</w:t>
            </w:r>
          </w:p>
        </w:tc>
      </w:tr>
      <w:tr w14:paraId="4B53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738" w:type="dxa"/>
            <w:noWrap w:val="0"/>
            <w:vAlign w:val="center"/>
          </w:tcPr>
          <w:p w14:paraId="733EA277">
            <w:pPr>
              <w:jc w:val="center"/>
              <w:rPr>
                <w:rFonts w:hint="eastAsia" w:ascii="仿宋_GB2312" w:hAnsi="宋体" w:eastAsia="仿宋_GB2312"/>
                <w:sz w:val="32"/>
                <w:szCs w:val="32"/>
              </w:rPr>
            </w:pPr>
            <w:r>
              <w:rPr>
                <w:rFonts w:hint="eastAsia" w:ascii="仿宋_GB2312" w:hAnsi="宋体" w:eastAsia="仿宋_GB2312"/>
                <w:sz w:val="32"/>
                <w:szCs w:val="32"/>
              </w:rPr>
              <w:t>1</w:t>
            </w:r>
          </w:p>
        </w:tc>
        <w:tc>
          <w:tcPr>
            <w:tcW w:w="1575" w:type="dxa"/>
            <w:noWrap w:val="0"/>
            <w:vAlign w:val="center"/>
          </w:tcPr>
          <w:p w14:paraId="5A906EA4">
            <w:pPr>
              <w:jc w:val="center"/>
              <w:rPr>
                <w:rFonts w:hint="eastAsia" w:ascii="仿宋_GB2312" w:hAnsi="宋体" w:eastAsia="仿宋_GB2312"/>
                <w:sz w:val="28"/>
                <w:szCs w:val="28"/>
              </w:rPr>
            </w:pPr>
            <w:r>
              <w:rPr>
                <w:rFonts w:hint="eastAsia" w:ascii="仿宋_GB2312" w:hAnsi="宋体" w:eastAsia="仿宋_GB2312"/>
                <w:sz w:val="28"/>
                <w:szCs w:val="28"/>
              </w:rPr>
              <w:t>化学药品</w:t>
            </w:r>
          </w:p>
        </w:tc>
        <w:tc>
          <w:tcPr>
            <w:tcW w:w="1575" w:type="dxa"/>
            <w:noWrap w:val="0"/>
            <w:vAlign w:val="center"/>
          </w:tcPr>
          <w:p w14:paraId="6BF4E7B4">
            <w:pPr>
              <w:jc w:val="center"/>
              <w:rPr>
                <w:rFonts w:hint="eastAsia" w:ascii="仿宋_GB2312" w:hAnsi="宋体" w:eastAsia="仿宋_GB2312"/>
                <w:b/>
                <w:sz w:val="28"/>
                <w:szCs w:val="28"/>
              </w:rPr>
            </w:pPr>
            <w:r>
              <w:rPr>
                <w:rFonts w:hint="eastAsia" w:ascii="仿宋_GB2312" w:hAnsi="宋体" w:eastAsia="仿宋_GB2312"/>
                <w:b/>
                <w:sz w:val="28"/>
                <w:szCs w:val="28"/>
              </w:rPr>
              <w:t xml:space="preserve">3 </w:t>
            </w:r>
          </w:p>
        </w:tc>
        <w:tc>
          <w:tcPr>
            <w:tcW w:w="1626" w:type="dxa"/>
            <w:noWrap w:val="0"/>
            <w:vAlign w:val="center"/>
          </w:tcPr>
          <w:p w14:paraId="4C94D0BF">
            <w:pPr>
              <w:jc w:val="center"/>
              <w:rPr>
                <w:rFonts w:hint="eastAsia" w:ascii="仿宋_GB2312" w:hAnsi="宋体" w:eastAsia="仿宋_GB2312"/>
                <w:b/>
                <w:sz w:val="28"/>
                <w:szCs w:val="28"/>
              </w:rPr>
            </w:pPr>
            <w:r>
              <w:rPr>
                <w:rFonts w:hint="eastAsia" w:ascii="仿宋_GB2312" w:hAnsi="宋体" w:eastAsia="仿宋_GB2312"/>
                <w:b/>
                <w:sz w:val="28"/>
                <w:szCs w:val="28"/>
              </w:rPr>
              <w:t>4</w:t>
            </w:r>
          </w:p>
        </w:tc>
        <w:tc>
          <w:tcPr>
            <w:tcW w:w="1260" w:type="dxa"/>
            <w:noWrap w:val="0"/>
            <w:vAlign w:val="center"/>
          </w:tcPr>
          <w:p w14:paraId="7A408BC3">
            <w:pPr>
              <w:jc w:val="center"/>
              <w:rPr>
                <w:rFonts w:hint="eastAsia" w:ascii="仿宋_GB2312" w:hAnsi="宋体" w:eastAsia="仿宋_GB2312"/>
                <w:b/>
                <w:sz w:val="28"/>
                <w:szCs w:val="28"/>
              </w:rPr>
            </w:pPr>
            <w:r>
              <w:rPr>
                <w:rFonts w:hint="eastAsia" w:ascii="仿宋_GB2312" w:hAnsi="宋体" w:eastAsia="仿宋_GB2312"/>
                <w:b/>
                <w:sz w:val="28"/>
                <w:szCs w:val="28"/>
              </w:rPr>
              <w:t>4</w:t>
            </w:r>
          </w:p>
        </w:tc>
        <w:tc>
          <w:tcPr>
            <w:tcW w:w="1820" w:type="dxa"/>
            <w:noWrap w:val="0"/>
            <w:vAlign w:val="center"/>
          </w:tcPr>
          <w:p w14:paraId="4C74E184">
            <w:pPr>
              <w:jc w:val="center"/>
              <w:rPr>
                <w:rFonts w:hint="eastAsia" w:ascii="仿宋_GB2312" w:hAnsi="宋体" w:eastAsia="仿宋_GB2312"/>
                <w:b/>
                <w:sz w:val="28"/>
                <w:szCs w:val="28"/>
              </w:rPr>
            </w:pPr>
            <w:r>
              <w:rPr>
                <w:rFonts w:hint="eastAsia" w:ascii="仿宋_GB2312" w:hAnsi="宋体" w:eastAsia="仿宋_GB2312"/>
                <w:b/>
                <w:sz w:val="28"/>
                <w:szCs w:val="28"/>
              </w:rPr>
              <w:t>100</w:t>
            </w:r>
          </w:p>
        </w:tc>
        <w:tc>
          <w:tcPr>
            <w:tcW w:w="1260" w:type="dxa"/>
            <w:vMerge w:val="restart"/>
            <w:noWrap w:val="0"/>
            <w:vAlign w:val="center"/>
          </w:tcPr>
          <w:p w14:paraId="4A9EDF28">
            <w:pPr>
              <w:jc w:val="center"/>
              <w:rPr>
                <w:rFonts w:hint="eastAsia" w:ascii="仿宋_GB2312" w:hAnsi="宋体" w:eastAsia="仿宋_GB2312"/>
                <w:b/>
                <w:sz w:val="28"/>
                <w:szCs w:val="28"/>
              </w:rPr>
            </w:pPr>
            <w:r>
              <w:rPr>
                <w:rFonts w:hint="eastAsia" w:ascii="仿宋_GB2312" w:hAnsi="宋体" w:eastAsia="仿宋_GB2312"/>
                <w:b/>
                <w:sz w:val="28"/>
                <w:szCs w:val="28"/>
              </w:rPr>
              <w:t>总合格率为97%</w:t>
            </w:r>
          </w:p>
        </w:tc>
      </w:tr>
      <w:tr w14:paraId="5875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738" w:type="dxa"/>
            <w:noWrap w:val="0"/>
            <w:vAlign w:val="center"/>
          </w:tcPr>
          <w:p w14:paraId="59C047A9">
            <w:pPr>
              <w:jc w:val="center"/>
              <w:rPr>
                <w:rFonts w:hint="eastAsia" w:ascii="仿宋_GB2312" w:hAnsi="宋体" w:eastAsia="仿宋_GB2312"/>
                <w:sz w:val="32"/>
                <w:szCs w:val="32"/>
              </w:rPr>
            </w:pPr>
            <w:r>
              <w:rPr>
                <w:rFonts w:hint="eastAsia" w:ascii="仿宋_GB2312" w:hAnsi="宋体" w:eastAsia="仿宋_GB2312"/>
                <w:sz w:val="32"/>
                <w:szCs w:val="32"/>
              </w:rPr>
              <w:t>2</w:t>
            </w:r>
          </w:p>
        </w:tc>
        <w:tc>
          <w:tcPr>
            <w:tcW w:w="1575" w:type="dxa"/>
            <w:noWrap w:val="0"/>
            <w:vAlign w:val="top"/>
          </w:tcPr>
          <w:p w14:paraId="39602220">
            <w:pPr>
              <w:jc w:val="center"/>
              <w:rPr>
                <w:rFonts w:hint="eastAsia" w:ascii="仿宋_GB2312" w:hAnsi="宋体" w:eastAsia="仿宋_GB2312"/>
                <w:sz w:val="28"/>
                <w:szCs w:val="28"/>
              </w:rPr>
            </w:pPr>
            <w:r>
              <w:rPr>
                <w:rFonts w:hint="eastAsia" w:ascii="仿宋_GB2312" w:hAnsi="宋体" w:eastAsia="仿宋_GB2312"/>
                <w:sz w:val="28"/>
                <w:szCs w:val="28"/>
              </w:rPr>
              <w:t>中成药</w:t>
            </w:r>
          </w:p>
        </w:tc>
        <w:tc>
          <w:tcPr>
            <w:tcW w:w="1575" w:type="dxa"/>
            <w:noWrap w:val="0"/>
            <w:vAlign w:val="center"/>
          </w:tcPr>
          <w:p w14:paraId="65E4E494">
            <w:pPr>
              <w:jc w:val="center"/>
              <w:rPr>
                <w:rFonts w:hint="eastAsia" w:ascii="仿宋_GB2312" w:hAnsi="宋体" w:eastAsia="仿宋_GB2312"/>
                <w:b/>
                <w:sz w:val="28"/>
                <w:szCs w:val="28"/>
              </w:rPr>
            </w:pPr>
            <w:r>
              <w:rPr>
                <w:rFonts w:hint="eastAsia" w:ascii="仿宋_GB2312" w:hAnsi="宋体" w:eastAsia="仿宋_GB2312"/>
                <w:b/>
                <w:sz w:val="28"/>
                <w:szCs w:val="28"/>
              </w:rPr>
              <w:t xml:space="preserve">6 </w:t>
            </w:r>
          </w:p>
        </w:tc>
        <w:tc>
          <w:tcPr>
            <w:tcW w:w="1626" w:type="dxa"/>
            <w:noWrap w:val="0"/>
            <w:vAlign w:val="center"/>
          </w:tcPr>
          <w:p w14:paraId="626EA96C">
            <w:pPr>
              <w:jc w:val="center"/>
              <w:rPr>
                <w:rFonts w:hint="eastAsia" w:ascii="仿宋_GB2312" w:hAnsi="宋体" w:eastAsia="仿宋_GB2312"/>
                <w:b/>
                <w:sz w:val="28"/>
                <w:szCs w:val="28"/>
              </w:rPr>
            </w:pPr>
            <w:r>
              <w:rPr>
                <w:rFonts w:hint="eastAsia" w:ascii="仿宋_GB2312" w:hAnsi="宋体" w:eastAsia="仿宋_GB2312"/>
                <w:b/>
                <w:sz w:val="28"/>
                <w:szCs w:val="28"/>
              </w:rPr>
              <w:t>7</w:t>
            </w:r>
          </w:p>
        </w:tc>
        <w:tc>
          <w:tcPr>
            <w:tcW w:w="1260" w:type="dxa"/>
            <w:noWrap w:val="0"/>
            <w:vAlign w:val="center"/>
          </w:tcPr>
          <w:p w14:paraId="28BC8564">
            <w:pPr>
              <w:jc w:val="center"/>
              <w:rPr>
                <w:rFonts w:hint="eastAsia" w:ascii="仿宋_GB2312" w:hAnsi="宋体" w:eastAsia="仿宋_GB2312"/>
                <w:b/>
                <w:sz w:val="28"/>
                <w:szCs w:val="28"/>
              </w:rPr>
            </w:pPr>
            <w:r>
              <w:rPr>
                <w:rFonts w:hint="eastAsia" w:ascii="仿宋_GB2312" w:hAnsi="宋体" w:eastAsia="仿宋_GB2312"/>
                <w:b/>
                <w:sz w:val="28"/>
                <w:szCs w:val="28"/>
              </w:rPr>
              <w:t>7</w:t>
            </w:r>
          </w:p>
        </w:tc>
        <w:tc>
          <w:tcPr>
            <w:tcW w:w="1820" w:type="dxa"/>
            <w:noWrap w:val="0"/>
            <w:vAlign w:val="center"/>
          </w:tcPr>
          <w:p w14:paraId="44AED2E2">
            <w:pPr>
              <w:jc w:val="center"/>
              <w:rPr>
                <w:rFonts w:hint="eastAsia" w:ascii="仿宋_GB2312" w:hAnsi="宋体" w:eastAsia="仿宋_GB2312"/>
                <w:b/>
                <w:sz w:val="28"/>
                <w:szCs w:val="28"/>
              </w:rPr>
            </w:pPr>
            <w:r>
              <w:rPr>
                <w:rFonts w:hint="eastAsia" w:ascii="仿宋_GB2312" w:hAnsi="宋体" w:eastAsia="仿宋_GB2312"/>
                <w:b/>
                <w:sz w:val="28"/>
                <w:szCs w:val="28"/>
              </w:rPr>
              <w:t>100</w:t>
            </w:r>
          </w:p>
        </w:tc>
        <w:tc>
          <w:tcPr>
            <w:tcW w:w="1260" w:type="dxa"/>
            <w:vMerge w:val="continue"/>
            <w:noWrap w:val="0"/>
            <w:vAlign w:val="center"/>
          </w:tcPr>
          <w:p w14:paraId="07ABE656">
            <w:pPr>
              <w:jc w:val="center"/>
              <w:rPr>
                <w:rFonts w:hint="eastAsia" w:ascii="仿宋_GB2312" w:hAnsi="宋体" w:eastAsia="仿宋_GB2312"/>
                <w:b/>
                <w:sz w:val="32"/>
                <w:szCs w:val="32"/>
              </w:rPr>
            </w:pPr>
          </w:p>
        </w:tc>
      </w:tr>
      <w:tr w14:paraId="2FC5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738" w:type="dxa"/>
            <w:noWrap w:val="0"/>
            <w:vAlign w:val="center"/>
          </w:tcPr>
          <w:p w14:paraId="1F1C38A6">
            <w:pPr>
              <w:jc w:val="center"/>
              <w:rPr>
                <w:rFonts w:hint="eastAsia" w:ascii="仿宋_GB2312" w:hAnsi="宋体" w:eastAsia="仿宋_GB2312"/>
                <w:sz w:val="32"/>
                <w:szCs w:val="32"/>
              </w:rPr>
            </w:pPr>
            <w:r>
              <w:rPr>
                <w:rFonts w:hint="eastAsia" w:ascii="仿宋_GB2312" w:hAnsi="宋体" w:eastAsia="仿宋_GB2312"/>
                <w:sz w:val="32"/>
                <w:szCs w:val="32"/>
              </w:rPr>
              <w:t>3</w:t>
            </w:r>
          </w:p>
        </w:tc>
        <w:tc>
          <w:tcPr>
            <w:tcW w:w="1575" w:type="dxa"/>
            <w:noWrap w:val="0"/>
            <w:vAlign w:val="top"/>
          </w:tcPr>
          <w:p w14:paraId="71272EC3">
            <w:pPr>
              <w:jc w:val="center"/>
              <w:rPr>
                <w:rFonts w:hint="eastAsia" w:ascii="仿宋_GB2312" w:hAnsi="宋体" w:eastAsia="仿宋_GB2312"/>
                <w:sz w:val="28"/>
                <w:szCs w:val="28"/>
              </w:rPr>
            </w:pPr>
            <w:r>
              <w:rPr>
                <w:rFonts w:hint="eastAsia" w:ascii="仿宋_GB2312" w:hAnsi="宋体" w:eastAsia="仿宋_GB2312"/>
                <w:sz w:val="28"/>
                <w:szCs w:val="28"/>
              </w:rPr>
              <w:t>中药饮片</w:t>
            </w:r>
          </w:p>
        </w:tc>
        <w:tc>
          <w:tcPr>
            <w:tcW w:w="1575" w:type="dxa"/>
            <w:noWrap w:val="0"/>
            <w:vAlign w:val="center"/>
          </w:tcPr>
          <w:p w14:paraId="58EE4701">
            <w:pPr>
              <w:jc w:val="center"/>
              <w:rPr>
                <w:rFonts w:hint="eastAsia" w:ascii="仿宋_GB2312" w:hAnsi="宋体" w:eastAsia="仿宋_GB2312"/>
                <w:b/>
                <w:sz w:val="28"/>
                <w:szCs w:val="28"/>
              </w:rPr>
            </w:pPr>
            <w:r>
              <w:rPr>
                <w:rFonts w:hint="eastAsia" w:ascii="仿宋_GB2312" w:hAnsi="宋体" w:eastAsia="仿宋_GB2312"/>
                <w:b/>
                <w:sz w:val="28"/>
                <w:szCs w:val="28"/>
              </w:rPr>
              <w:t xml:space="preserve">11 </w:t>
            </w:r>
          </w:p>
        </w:tc>
        <w:tc>
          <w:tcPr>
            <w:tcW w:w="1626" w:type="dxa"/>
            <w:noWrap w:val="0"/>
            <w:vAlign w:val="center"/>
          </w:tcPr>
          <w:p w14:paraId="2144D288">
            <w:pPr>
              <w:jc w:val="center"/>
              <w:rPr>
                <w:rFonts w:hint="eastAsia" w:ascii="仿宋_GB2312" w:hAnsi="宋体" w:eastAsia="仿宋_GB2312"/>
                <w:b/>
                <w:sz w:val="28"/>
                <w:szCs w:val="28"/>
              </w:rPr>
            </w:pPr>
            <w:r>
              <w:rPr>
                <w:rFonts w:hint="eastAsia" w:ascii="仿宋_GB2312" w:hAnsi="宋体" w:eastAsia="仿宋_GB2312"/>
                <w:b/>
                <w:sz w:val="28"/>
                <w:szCs w:val="28"/>
              </w:rPr>
              <w:t>24</w:t>
            </w:r>
          </w:p>
        </w:tc>
        <w:tc>
          <w:tcPr>
            <w:tcW w:w="1260" w:type="dxa"/>
            <w:noWrap w:val="0"/>
            <w:vAlign w:val="center"/>
          </w:tcPr>
          <w:p w14:paraId="72A08538">
            <w:pPr>
              <w:jc w:val="center"/>
              <w:rPr>
                <w:rFonts w:hint="eastAsia" w:ascii="仿宋_GB2312" w:hAnsi="宋体" w:eastAsia="仿宋_GB2312"/>
                <w:b/>
                <w:sz w:val="28"/>
                <w:szCs w:val="28"/>
              </w:rPr>
            </w:pPr>
            <w:r>
              <w:rPr>
                <w:rFonts w:hint="eastAsia" w:ascii="仿宋_GB2312" w:hAnsi="宋体" w:eastAsia="仿宋_GB2312"/>
                <w:b/>
                <w:sz w:val="28"/>
                <w:szCs w:val="28"/>
              </w:rPr>
              <w:t>23</w:t>
            </w:r>
          </w:p>
        </w:tc>
        <w:tc>
          <w:tcPr>
            <w:tcW w:w="1820" w:type="dxa"/>
            <w:noWrap w:val="0"/>
            <w:vAlign w:val="center"/>
          </w:tcPr>
          <w:p w14:paraId="2C83E911">
            <w:pPr>
              <w:jc w:val="center"/>
              <w:rPr>
                <w:rFonts w:hint="eastAsia" w:ascii="仿宋_GB2312" w:hAnsi="宋体" w:eastAsia="仿宋_GB2312"/>
                <w:b/>
                <w:sz w:val="28"/>
                <w:szCs w:val="28"/>
              </w:rPr>
            </w:pPr>
            <w:r>
              <w:rPr>
                <w:rFonts w:hint="eastAsia" w:ascii="仿宋_GB2312" w:hAnsi="宋体" w:eastAsia="仿宋_GB2312"/>
                <w:b/>
                <w:sz w:val="28"/>
                <w:szCs w:val="28"/>
              </w:rPr>
              <w:t>96</w:t>
            </w:r>
          </w:p>
        </w:tc>
        <w:tc>
          <w:tcPr>
            <w:tcW w:w="1260" w:type="dxa"/>
            <w:vMerge w:val="continue"/>
            <w:noWrap w:val="0"/>
            <w:vAlign w:val="center"/>
          </w:tcPr>
          <w:p w14:paraId="085CA498">
            <w:pPr>
              <w:jc w:val="center"/>
              <w:rPr>
                <w:rFonts w:hint="eastAsia" w:ascii="仿宋_GB2312" w:hAnsi="宋体" w:eastAsia="仿宋_GB2312"/>
                <w:b/>
                <w:sz w:val="32"/>
                <w:szCs w:val="32"/>
              </w:rPr>
            </w:pPr>
          </w:p>
        </w:tc>
      </w:tr>
      <w:tr w14:paraId="4BC5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738" w:type="dxa"/>
            <w:noWrap w:val="0"/>
            <w:vAlign w:val="center"/>
          </w:tcPr>
          <w:p w14:paraId="2418FE29">
            <w:pPr>
              <w:jc w:val="center"/>
              <w:rPr>
                <w:rFonts w:hint="eastAsia" w:ascii="仿宋_GB2312" w:hAnsi="宋体" w:eastAsia="仿宋_GB2312"/>
                <w:sz w:val="32"/>
                <w:szCs w:val="32"/>
              </w:rPr>
            </w:pPr>
          </w:p>
        </w:tc>
        <w:tc>
          <w:tcPr>
            <w:tcW w:w="1575" w:type="dxa"/>
            <w:noWrap w:val="0"/>
            <w:vAlign w:val="top"/>
          </w:tcPr>
          <w:p w14:paraId="2547D5F6">
            <w:pPr>
              <w:jc w:val="center"/>
              <w:rPr>
                <w:rFonts w:hint="eastAsia" w:ascii="仿宋_GB2312" w:hAnsi="宋体" w:eastAsia="仿宋_GB2312"/>
                <w:sz w:val="28"/>
                <w:szCs w:val="28"/>
              </w:rPr>
            </w:pPr>
            <w:r>
              <w:rPr>
                <w:rFonts w:hint="eastAsia" w:ascii="仿宋_GB2312" w:hAnsi="宋体" w:eastAsia="仿宋_GB2312"/>
                <w:sz w:val="28"/>
                <w:szCs w:val="28"/>
              </w:rPr>
              <w:t>合计</w:t>
            </w:r>
          </w:p>
        </w:tc>
        <w:tc>
          <w:tcPr>
            <w:tcW w:w="1575" w:type="dxa"/>
            <w:noWrap w:val="0"/>
            <w:vAlign w:val="center"/>
          </w:tcPr>
          <w:p w14:paraId="74198C7D">
            <w:pPr>
              <w:jc w:val="center"/>
              <w:rPr>
                <w:rFonts w:hint="eastAsia" w:ascii="仿宋_GB2312" w:hAnsi="宋体" w:eastAsia="仿宋_GB2312"/>
                <w:b/>
                <w:sz w:val="28"/>
                <w:szCs w:val="28"/>
              </w:rPr>
            </w:pPr>
            <w:r>
              <w:rPr>
                <w:rFonts w:hint="eastAsia" w:ascii="仿宋_GB2312" w:hAnsi="宋体" w:eastAsia="仿宋_GB2312"/>
                <w:b/>
                <w:sz w:val="28"/>
                <w:szCs w:val="28"/>
              </w:rPr>
              <w:t>20</w:t>
            </w:r>
          </w:p>
        </w:tc>
        <w:tc>
          <w:tcPr>
            <w:tcW w:w="1626" w:type="dxa"/>
            <w:noWrap w:val="0"/>
            <w:vAlign w:val="center"/>
          </w:tcPr>
          <w:p w14:paraId="5AF57137">
            <w:pPr>
              <w:jc w:val="center"/>
              <w:rPr>
                <w:rFonts w:hint="eastAsia" w:ascii="仿宋_GB2312" w:hAnsi="宋体" w:eastAsia="仿宋_GB2312"/>
                <w:b/>
                <w:sz w:val="28"/>
                <w:szCs w:val="28"/>
              </w:rPr>
            </w:pPr>
            <w:r>
              <w:rPr>
                <w:rFonts w:hint="eastAsia" w:ascii="仿宋_GB2312" w:hAnsi="宋体" w:eastAsia="仿宋_GB2312"/>
                <w:b/>
                <w:sz w:val="28"/>
                <w:szCs w:val="28"/>
              </w:rPr>
              <w:t>35</w:t>
            </w:r>
          </w:p>
        </w:tc>
        <w:tc>
          <w:tcPr>
            <w:tcW w:w="1260" w:type="dxa"/>
            <w:noWrap w:val="0"/>
            <w:vAlign w:val="center"/>
          </w:tcPr>
          <w:p w14:paraId="516007C3">
            <w:pPr>
              <w:jc w:val="center"/>
              <w:rPr>
                <w:rFonts w:hint="eastAsia" w:ascii="仿宋_GB2312" w:hAnsi="宋体" w:eastAsia="仿宋_GB2312"/>
                <w:b/>
                <w:sz w:val="28"/>
                <w:szCs w:val="28"/>
              </w:rPr>
            </w:pPr>
            <w:r>
              <w:rPr>
                <w:rFonts w:hint="eastAsia" w:ascii="仿宋_GB2312" w:hAnsi="宋体" w:eastAsia="仿宋_GB2312"/>
                <w:b/>
                <w:sz w:val="28"/>
                <w:szCs w:val="28"/>
              </w:rPr>
              <w:t>34</w:t>
            </w:r>
          </w:p>
        </w:tc>
        <w:tc>
          <w:tcPr>
            <w:tcW w:w="1820" w:type="dxa"/>
            <w:noWrap w:val="0"/>
            <w:vAlign w:val="center"/>
          </w:tcPr>
          <w:p w14:paraId="385BD199">
            <w:pPr>
              <w:jc w:val="center"/>
              <w:rPr>
                <w:rFonts w:hint="eastAsia" w:ascii="仿宋_GB2312" w:hAnsi="宋体" w:eastAsia="仿宋_GB2312"/>
                <w:b/>
                <w:sz w:val="28"/>
                <w:szCs w:val="28"/>
              </w:rPr>
            </w:pPr>
            <w:r>
              <w:rPr>
                <w:rFonts w:hint="eastAsia" w:ascii="仿宋_GB2312" w:hAnsi="宋体" w:eastAsia="仿宋_GB2312"/>
                <w:b/>
                <w:sz w:val="28"/>
                <w:szCs w:val="28"/>
              </w:rPr>
              <w:t>97</w:t>
            </w:r>
          </w:p>
        </w:tc>
        <w:tc>
          <w:tcPr>
            <w:tcW w:w="1260" w:type="dxa"/>
            <w:vMerge w:val="continue"/>
            <w:noWrap w:val="0"/>
            <w:vAlign w:val="center"/>
          </w:tcPr>
          <w:p w14:paraId="1FF09833">
            <w:pPr>
              <w:jc w:val="center"/>
              <w:rPr>
                <w:rFonts w:hint="eastAsia" w:ascii="仿宋_GB2312" w:hAnsi="宋体" w:eastAsia="仿宋_GB2312"/>
                <w:b/>
                <w:sz w:val="32"/>
                <w:szCs w:val="32"/>
              </w:rPr>
            </w:pPr>
          </w:p>
        </w:tc>
      </w:tr>
      <w:tr w14:paraId="0D21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738" w:type="dxa"/>
            <w:noWrap w:val="0"/>
            <w:vAlign w:val="center"/>
          </w:tcPr>
          <w:p w14:paraId="1D19D209">
            <w:pPr>
              <w:jc w:val="center"/>
              <w:rPr>
                <w:rFonts w:hint="eastAsia" w:ascii="仿宋_GB2312" w:hAnsi="宋体" w:eastAsia="仿宋_GB2312"/>
                <w:sz w:val="32"/>
                <w:szCs w:val="32"/>
              </w:rPr>
            </w:pPr>
          </w:p>
        </w:tc>
        <w:tc>
          <w:tcPr>
            <w:tcW w:w="1575" w:type="dxa"/>
            <w:noWrap w:val="0"/>
            <w:vAlign w:val="top"/>
          </w:tcPr>
          <w:p w14:paraId="7E22BF70">
            <w:pPr>
              <w:jc w:val="center"/>
              <w:rPr>
                <w:rFonts w:hint="eastAsia" w:ascii="仿宋_GB2312" w:hAnsi="宋体" w:eastAsia="仿宋_GB2312"/>
                <w:sz w:val="32"/>
                <w:szCs w:val="32"/>
              </w:rPr>
            </w:pPr>
          </w:p>
        </w:tc>
        <w:tc>
          <w:tcPr>
            <w:tcW w:w="1575" w:type="dxa"/>
            <w:noWrap w:val="0"/>
            <w:vAlign w:val="center"/>
          </w:tcPr>
          <w:p w14:paraId="4585463F">
            <w:pPr>
              <w:jc w:val="center"/>
              <w:rPr>
                <w:rFonts w:hint="eastAsia" w:ascii="仿宋_GB2312" w:hAnsi="宋体" w:eastAsia="仿宋_GB2312"/>
                <w:b/>
                <w:sz w:val="32"/>
                <w:szCs w:val="32"/>
              </w:rPr>
            </w:pPr>
          </w:p>
        </w:tc>
        <w:tc>
          <w:tcPr>
            <w:tcW w:w="1626" w:type="dxa"/>
            <w:noWrap w:val="0"/>
            <w:vAlign w:val="center"/>
          </w:tcPr>
          <w:p w14:paraId="1BC00A4B">
            <w:pPr>
              <w:jc w:val="center"/>
              <w:rPr>
                <w:rFonts w:hint="eastAsia" w:ascii="仿宋_GB2312" w:hAnsi="宋体" w:eastAsia="仿宋_GB2312"/>
                <w:b/>
                <w:sz w:val="32"/>
                <w:szCs w:val="32"/>
              </w:rPr>
            </w:pPr>
          </w:p>
        </w:tc>
        <w:tc>
          <w:tcPr>
            <w:tcW w:w="1260" w:type="dxa"/>
            <w:noWrap w:val="0"/>
            <w:vAlign w:val="center"/>
          </w:tcPr>
          <w:p w14:paraId="06CFC518">
            <w:pPr>
              <w:jc w:val="center"/>
              <w:rPr>
                <w:rFonts w:hint="eastAsia" w:ascii="仿宋_GB2312" w:hAnsi="宋体" w:eastAsia="仿宋_GB2312"/>
                <w:b/>
                <w:sz w:val="32"/>
                <w:szCs w:val="32"/>
              </w:rPr>
            </w:pPr>
          </w:p>
        </w:tc>
        <w:tc>
          <w:tcPr>
            <w:tcW w:w="1820" w:type="dxa"/>
            <w:noWrap w:val="0"/>
            <w:vAlign w:val="center"/>
          </w:tcPr>
          <w:p w14:paraId="0DDBED56">
            <w:pPr>
              <w:jc w:val="center"/>
              <w:rPr>
                <w:rFonts w:hint="eastAsia" w:ascii="仿宋_GB2312" w:hAnsi="宋体" w:eastAsia="仿宋_GB2312"/>
                <w:b/>
                <w:sz w:val="32"/>
                <w:szCs w:val="32"/>
              </w:rPr>
            </w:pPr>
          </w:p>
        </w:tc>
        <w:tc>
          <w:tcPr>
            <w:tcW w:w="1260" w:type="dxa"/>
            <w:vMerge w:val="continue"/>
            <w:noWrap w:val="0"/>
            <w:vAlign w:val="center"/>
          </w:tcPr>
          <w:p w14:paraId="4C7E4D5E">
            <w:pPr>
              <w:jc w:val="center"/>
              <w:rPr>
                <w:rFonts w:hint="eastAsia" w:ascii="仿宋_GB2312" w:hAnsi="宋体" w:eastAsia="仿宋_GB2312"/>
                <w:b/>
                <w:sz w:val="32"/>
                <w:szCs w:val="32"/>
              </w:rPr>
            </w:pPr>
          </w:p>
        </w:tc>
      </w:tr>
    </w:tbl>
    <w:p w14:paraId="0999DD61">
      <w:pPr>
        <w:ind w:firstLine="645"/>
        <w:rPr>
          <w:rFonts w:hint="eastAsia" w:ascii="仿宋_GB2312" w:hAnsi="宋体" w:eastAsia="仿宋_GB2312"/>
          <w:sz w:val="32"/>
          <w:szCs w:val="32"/>
        </w:rPr>
      </w:pPr>
      <w:r>
        <w:rPr>
          <w:rFonts w:hint="eastAsia" w:ascii="仿宋_GB2312" w:hAnsi="宋体" w:eastAsia="仿宋_GB2312"/>
          <w:sz w:val="32"/>
          <w:szCs w:val="32"/>
        </w:rPr>
        <w:t>2.药品抽验总体情况</w:t>
      </w:r>
    </w:p>
    <w:p w14:paraId="51CB3E42">
      <w:pPr>
        <w:ind w:firstLine="645"/>
        <w:rPr>
          <w:rFonts w:hint="eastAsia" w:ascii="仿宋_GB2312" w:hAnsi="宋体" w:eastAsia="仿宋_GB2312"/>
          <w:sz w:val="32"/>
          <w:szCs w:val="32"/>
        </w:rPr>
      </w:pPr>
      <w:r>
        <w:rPr>
          <w:rFonts w:hint="eastAsia" w:ascii="仿宋_GB2312" w:hAnsi="宋体" w:eastAsia="仿宋_GB2312"/>
          <w:sz w:val="32"/>
          <w:szCs w:val="32"/>
        </w:rPr>
        <w:t>从年药品监督抽验情况来看，中药饮片、中成药、化学药和抗生素质量状况均好且稳定，药品总体质量水平较高，只有一批次中药饮片不合格，合格率为97%。</w:t>
      </w:r>
    </w:p>
    <w:p w14:paraId="3E1DC3A2">
      <w:pPr>
        <w:widowControl/>
        <w:spacing w:line="390" w:lineRule="atLeast"/>
        <w:ind w:firstLine="680" w:firstLineChars="200"/>
        <w:jc w:val="left"/>
        <w:rPr>
          <w:rFonts w:hint="eastAsia" w:ascii="仿宋_GB2312" w:hAnsi="新宋体" w:eastAsia="仿宋_GB2312"/>
          <w:b/>
          <w:sz w:val="32"/>
          <w:szCs w:val="32"/>
        </w:rPr>
      </w:pPr>
      <w:r>
        <w:rPr>
          <w:rFonts w:hint="eastAsia" w:ascii="仿宋_GB2312" w:hAnsi="新宋体" w:eastAsia="仿宋_GB2312"/>
          <w:b/>
          <w:sz w:val="32"/>
          <w:szCs w:val="32"/>
        </w:rPr>
        <w:t>（二）药械日常监管情况</w:t>
      </w:r>
    </w:p>
    <w:p w14:paraId="4F10F954">
      <w:pPr>
        <w:widowControl/>
        <w:spacing w:line="390" w:lineRule="atLeast"/>
        <w:ind w:firstLine="680" w:firstLineChars="200"/>
        <w:jc w:val="left"/>
        <w:rPr>
          <w:rFonts w:hint="eastAsia" w:ascii="仿宋_GB2312" w:hAnsi="新宋体" w:eastAsia="仿宋_GB2312"/>
          <w:sz w:val="32"/>
          <w:szCs w:val="32"/>
        </w:rPr>
      </w:pPr>
      <w:r>
        <w:rPr>
          <w:rFonts w:hint="eastAsia" w:ascii="仿宋_GB2312" w:hAnsi="新宋体" w:eastAsia="仿宋_GB2312"/>
          <w:sz w:val="32"/>
          <w:szCs w:val="32"/>
        </w:rPr>
        <w:t>按照区委、区政府和市食品药品监督管理局的要求，我局年组织对行政区域内的药品零售单体店、药品连锁企业、药品生产企业进行了全覆盖的日常监督检查，所有生产经营企业均进行了一次及以上的检查，覆盖率达100%。共出动人员1200多人次，车辆400车次。全年共开展了20多个药械专项整治。</w:t>
      </w:r>
    </w:p>
    <w:p w14:paraId="3EA927EA">
      <w:pPr>
        <w:spacing w:line="600" w:lineRule="exact"/>
        <w:ind w:firstLine="680" w:firstLineChars="200"/>
        <w:rPr>
          <w:rFonts w:hint="eastAsia" w:ascii="仿宋_GB2312" w:hAnsi="黑体" w:eastAsia="仿宋_GB2312"/>
          <w:b/>
          <w:sz w:val="32"/>
          <w:szCs w:val="32"/>
        </w:rPr>
      </w:pPr>
      <w:r>
        <w:rPr>
          <w:rFonts w:hint="eastAsia" w:ascii="仿宋_GB2312" w:hAnsi="黑体" w:eastAsia="仿宋_GB2312"/>
          <w:b/>
          <w:sz w:val="32"/>
          <w:szCs w:val="32"/>
        </w:rPr>
        <w:t>（三）工作中存在的问题及困难</w:t>
      </w:r>
    </w:p>
    <w:p w14:paraId="3EFC6B33">
      <w:pPr>
        <w:autoSpaceDE w:val="0"/>
        <w:autoSpaceDN w:val="0"/>
        <w:adjustRightInd w:val="0"/>
        <w:spacing w:line="600" w:lineRule="exact"/>
        <w:ind w:firstLine="68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执法人员业务能力与目前形势下监管工作的需要之间还有一定差距，人员的整体素质还有待进一步提高。在医疗器械监管的职责和范围发生了重大变化的背景下，三个部门整合过程中也需要进一步职责整合、机构调整、提升人员素质，继续依法行政、全面履职。</w:t>
      </w:r>
    </w:p>
    <w:p w14:paraId="21E3EE65">
      <w:pPr>
        <w:spacing w:line="600" w:lineRule="exact"/>
        <w:ind w:firstLine="68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2.信息化建设不足，因为职能调整带来监管范围的扩大导致了更迫切的监管网络化、信息化的需求。信息化投入和建设滞后于当前药械综合监管的需求，严重制约了药械监管体系的建设。</w:t>
      </w:r>
    </w:p>
    <w:p w14:paraId="712EFAB7">
      <w:pPr>
        <w:spacing w:line="600" w:lineRule="exact"/>
        <w:ind w:firstLine="68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3.随着社会的发展，药械化监管工作中不断出现新的问题，需要多部门协作，因此，在监管过程中如何协调各部门综合、联动执法存在一定的问题。</w:t>
      </w:r>
    </w:p>
    <w:p w14:paraId="5629CFCF">
      <w:pPr>
        <w:widowControl/>
        <w:spacing w:line="390" w:lineRule="atLeast"/>
        <w:ind w:firstLine="680" w:firstLineChars="200"/>
        <w:jc w:val="left"/>
        <w:rPr>
          <w:rFonts w:hint="eastAsia" w:ascii="仿宋_GB2312" w:hAnsi="新宋体" w:eastAsia="仿宋_GB2312"/>
          <w:sz w:val="32"/>
          <w:szCs w:val="32"/>
        </w:rPr>
      </w:pPr>
    </w:p>
    <w:p w14:paraId="1993A805">
      <w:pPr>
        <w:widowControl/>
        <w:spacing w:line="390" w:lineRule="atLeast"/>
        <w:ind w:firstLine="680" w:firstLineChars="200"/>
        <w:jc w:val="left"/>
        <w:rPr>
          <w:rFonts w:hint="eastAsia" w:ascii="仿宋_GB2312" w:hAnsi="新宋体" w:eastAsia="仿宋_GB2312"/>
          <w:b/>
          <w:sz w:val="32"/>
          <w:szCs w:val="32"/>
        </w:rPr>
      </w:pPr>
      <w:r>
        <w:rPr>
          <w:rFonts w:hint="eastAsia" w:ascii="仿宋_GB2312" w:hAnsi="新宋体" w:eastAsia="仿宋_GB2312"/>
          <w:b/>
          <w:sz w:val="32"/>
          <w:szCs w:val="32"/>
        </w:rPr>
        <w:t>（四）今后工作方向</w:t>
      </w:r>
    </w:p>
    <w:p w14:paraId="449EF3C0">
      <w:pPr>
        <w:widowControl/>
        <w:spacing w:line="390" w:lineRule="atLeast"/>
        <w:ind w:firstLine="680" w:firstLineChars="200"/>
        <w:jc w:val="left"/>
        <w:rPr>
          <w:rFonts w:hint="eastAsia" w:ascii="仿宋_GB2312" w:hAnsi="Verdana" w:eastAsia="仿宋_GB2312" w:cs="宋体"/>
          <w:color w:val="000000"/>
          <w:kern w:val="0"/>
          <w:sz w:val="32"/>
          <w:szCs w:val="32"/>
        </w:rPr>
      </w:pPr>
      <w:r>
        <w:rPr>
          <w:rFonts w:hint="eastAsia" w:ascii="仿宋_GB2312" w:hAnsi="Verdana" w:eastAsia="仿宋_GB2312" w:cs="宋体"/>
          <w:color w:val="000000"/>
          <w:kern w:val="0"/>
          <w:sz w:val="32"/>
          <w:szCs w:val="32"/>
        </w:rPr>
        <w:t>1.进一步按照市食品药品监督管理局的安排部署组织实施药品监督抽验。对药品的监督抽验是稳步提升产品质量工作的技术保障。</w:t>
      </w:r>
    </w:p>
    <w:p w14:paraId="129F7819">
      <w:pPr>
        <w:widowControl/>
        <w:spacing w:line="390" w:lineRule="atLeast"/>
        <w:ind w:firstLine="680" w:firstLineChars="200"/>
        <w:jc w:val="left"/>
        <w:rPr>
          <w:rFonts w:hint="eastAsia" w:ascii="仿宋_GB2312" w:hAnsi="Verdana" w:eastAsia="仿宋_GB2312" w:cs="宋体"/>
          <w:color w:val="000000"/>
          <w:kern w:val="0"/>
          <w:sz w:val="32"/>
          <w:szCs w:val="32"/>
        </w:rPr>
      </w:pPr>
      <w:r>
        <w:rPr>
          <w:rFonts w:hint="eastAsia" w:ascii="仿宋_GB2312" w:hAnsi="Verdana" w:eastAsia="仿宋_GB2312" w:cs="宋体"/>
          <w:color w:val="000000"/>
          <w:kern w:val="0"/>
          <w:sz w:val="32"/>
          <w:szCs w:val="32"/>
        </w:rPr>
        <w:t>2.应进一步加强与管理相对人的沟通，扩大对外宣传，争取管理相对人的支持与理解，共同营造规范的药品、医疗器械市场。</w:t>
      </w:r>
    </w:p>
    <w:p w14:paraId="693D9138">
      <w:pPr>
        <w:widowControl/>
        <w:spacing w:line="390" w:lineRule="atLeast"/>
        <w:ind w:firstLine="680" w:firstLineChars="200"/>
        <w:jc w:val="left"/>
        <w:rPr>
          <w:rFonts w:hint="eastAsia" w:ascii="仿宋_GB2312" w:hAnsi="Verdana" w:eastAsia="仿宋_GB2312" w:cs="宋体"/>
          <w:color w:val="000000"/>
          <w:kern w:val="0"/>
          <w:sz w:val="32"/>
          <w:szCs w:val="32"/>
        </w:rPr>
      </w:pPr>
      <w:r>
        <w:rPr>
          <w:rFonts w:hint="eastAsia" w:ascii="仿宋_GB2312" w:hAnsi="Verdana" w:eastAsia="仿宋_GB2312" w:cs="宋体"/>
          <w:color w:val="000000"/>
          <w:kern w:val="0"/>
          <w:sz w:val="32"/>
          <w:szCs w:val="32"/>
        </w:rPr>
        <w:t>3.加大法律法规的宣传力度，在帮助企业解决药械质量生产经营中的困难的同时，提高企业第一责任人意识，完善药品生产企业质量受权人制度，进一步提高药械质量。同时加大宣传，使人民群众提高对《中华人民共和国药品管理法》的认识和识假辨假能力，共同营造一个良好的药械生产、流通、使用环境。</w:t>
      </w:r>
    </w:p>
    <w:p w14:paraId="51BC0C34">
      <w:pPr>
        <w:widowControl/>
        <w:spacing w:line="390" w:lineRule="atLeast"/>
        <w:ind w:firstLine="680" w:firstLineChars="200"/>
        <w:jc w:val="left"/>
        <w:rPr>
          <w:rFonts w:hint="eastAsia" w:ascii="仿宋_GB2312" w:hAnsi="Verdana" w:eastAsia="仿宋_GB2312" w:cs="宋体"/>
          <w:color w:val="000000"/>
          <w:kern w:val="0"/>
          <w:sz w:val="32"/>
          <w:szCs w:val="32"/>
        </w:rPr>
      </w:pPr>
      <w:r>
        <w:rPr>
          <w:rFonts w:hint="eastAsia" w:ascii="仿宋_GB2312" w:hAnsi="Verdana" w:eastAsia="仿宋_GB2312" w:cs="宋体"/>
          <w:color w:val="000000"/>
          <w:kern w:val="0"/>
          <w:sz w:val="32"/>
          <w:szCs w:val="32"/>
        </w:rPr>
        <w:t xml:space="preserve">4.加大服务企业工作力度，在加强日常监管的同时帮助企业总结经验，推行科学管理方法，建立健全科学的质量管理制度，定期不定期的对药械从业人员进行培训，提高药械从业人员的素质。                         </w:t>
      </w:r>
    </w:p>
    <w:p w14:paraId="4FAE06E2">
      <w:pPr>
        <w:spacing w:line="600" w:lineRule="exact"/>
        <w:ind w:firstLine="1610" w:firstLineChars="350"/>
        <w:rPr>
          <w:rFonts w:hint="eastAsia" w:ascii="黑体" w:hAnsi="黑体" w:eastAsia="黑体" w:cs="仿宋_GB2312"/>
          <w:kern w:val="0"/>
          <w:sz w:val="44"/>
          <w:szCs w:val="44"/>
        </w:rPr>
      </w:pPr>
    </w:p>
    <w:p w14:paraId="22D0755E">
      <w:pPr>
        <w:spacing w:line="600" w:lineRule="exact"/>
        <w:ind w:firstLine="1610" w:firstLineChars="350"/>
        <w:rPr>
          <w:rFonts w:hint="eastAsia" w:ascii="黑体" w:hAnsi="黑体" w:eastAsia="黑体" w:cs="仿宋_GB2312"/>
          <w:kern w:val="0"/>
          <w:sz w:val="44"/>
          <w:szCs w:val="44"/>
        </w:rPr>
      </w:pPr>
    </w:p>
    <w:p w14:paraId="04D471FD">
      <w:pPr>
        <w:spacing w:line="600" w:lineRule="exact"/>
        <w:ind w:firstLine="1610" w:firstLineChars="350"/>
        <w:rPr>
          <w:rFonts w:hint="eastAsia" w:ascii="黑体" w:hAnsi="黑体" w:eastAsia="黑体" w:cs="仿宋_GB2312"/>
          <w:kern w:val="0"/>
          <w:sz w:val="44"/>
          <w:szCs w:val="44"/>
        </w:rPr>
      </w:pPr>
    </w:p>
    <w:p w14:paraId="50C91BF5">
      <w:pPr>
        <w:spacing w:line="600" w:lineRule="exact"/>
        <w:ind w:firstLine="1610" w:firstLineChars="350"/>
        <w:rPr>
          <w:rFonts w:hint="eastAsia" w:ascii="黑体" w:hAnsi="黑体" w:eastAsia="黑体" w:cs="仿宋_GB2312"/>
          <w:kern w:val="0"/>
          <w:sz w:val="44"/>
          <w:szCs w:val="44"/>
        </w:rPr>
      </w:pPr>
    </w:p>
    <w:p w14:paraId="4D6CE47C">
      <w:pPr>
        <w:spacing w:line="600" w:lineRule="exact"/>
        <w:ind w:firstLine="1610" w:firstLineChars="350"/>
        <w:rPr>
          <w:rFonts w:hint="eastAsia" w:ascii="黑体" w:hAnsi="黑体" w:eastAsia="黑体" w:cs="仿宋_GB2312"/>
          <w:kern w:val="0"/>
          <w:sz w:val="44"/>
          <w:szCs w:val="44"/>
        </w:rPr>
      </w:pPr>
    </w:p>
    <w:p w14:paraId="1F904A51">
      <w:pPr>
        <w:spacing w:line="600" w:lineRule="exact"/>
        <w:ind w:firstLine="1610" w:firstLineChars="350"/>
        <w:rPr>
          <w:rFonts w:hint="eastAsia" w:ascii="黑体" w:hAnsi="黑体" w:eastAsia="黑体" w:cs="仿宋_GB2312"/>
          <w:kern w:val="0"/>
          <w:sz w:val="44"/>
          <w:szCs w:val="44"/>
        </w:rPr>
      </w:pPr>
    </w:p>
    <w:p w14:paraId="093C64E8">
      <w:pPr>
        <w:spacing w:line="600" w:lineRule="exact"/>
        <w:ind w:firstLine="1610" w:firstLineChars="350"/>
        <w:rPr>
          <w:rFonts w:hint="eastAsia" w:ascii="黑体" w:hAnsi="黑体" w:eastAsia="黑体" w:cs="仿宋_GB2312"/>
          <w:kern w:val="0"/>
          <w:sz w:val="44"/>
          <w:szCs w:val="44"/>
        </w:rPr>
      </w:pPr>
    </w:p>
    <w:p w14:paraId="26ADA121">
      <w:pPr>
        <w:spacing w:line="600" w:lineRule="exact"/>
        <w:ind w:firstLine="1610" w:firstLineChars="350"/>
        <w:rPr>
          <w:rFonts w:hint="eastAsia" w:ascii="黑体" w:hAnsi="黑体" w:eastAsia="黑体" w:cs="仿宋_GB2312"/>
          <w:kern w:val="0"/>
          <w:sz w:val="44"/>
          <w:szCs w:val="44"/>
        </w:rPr>
      </w:pPr>
    </w:p>
    <w:p w14:paraId="61FC2AF8">
      <w:pPr>
        <w:spacing w:line="600" w:lineRule="exact"/>
        <w:ind w:firstLine="1610" w:firstLineChars="350"/>
        <w:rPr>
          <w:rFonts w:hint="eastAsia" w:ascii="黑体" w:hAnsi="黑体" w:eastAsia="黑体" w:cs="仿宋_GB2312"/>
          <w:kern w:val="0"/>
          <w:sz w:val="44"/>
          <w:szCs w:val="44"/>
        </w:rPr>
      </w:pPr>
    </w:p>
    <w:p w14:paraId="5ED0AFE9">
      <w:pPr>
        <w:spacing w:line="600" w:lineRule="exact"/>
        <w:ind w:firstLine="1610" w:firstLineChars="350"/>
        <w:rPr>
          <w:rFonts w:hint="eastAsia" w:ascii="黑体" w:hAnsi="黑体" w:eastAsia="黑体" w:cs="仿宋_GB2312"/>
          <w:kern w:val="0"/>
          <w:sz w:val="44"/>
          <w:szCs w:val="44"/>
        </w:rPr>
      </w:pPr>
    </w:p>
    <w:p w14:paraId="729E1D18">
      <w:pPr>
        <w:spacing w:line="600" w:lineRule="exact"/>
        <w:ind w:firstLine="1610" w:firstLineChars="350"/>
        <w:rPr>
          <w:rFonts w:hint="eastAsia" w:ascii="黑体" w:hAnsi="黑体" w:eastAsia="黑体" w:cs="仿宋_GB2312"/>
          <w:kern w:val="0"/>
          <w:sz w:val="44"/>
          <w:szCs w:val="44"/>
        </w:rPr>
      </w:pPr>
    </w:p>
    <w:p w14:paraId="3A05C51E">
      <w:pPr>
        <w:spacing w:line="600" w:lineRule="exact"/>
        <w:ind w:firstLine="1610" w:firstLineChars="350"/>
        <w:rPr>
          <w:rFonts w:hint="eastAsia" w:ascii="黑体" w:hAnsi="黑体" w:eastAsia="黑体" w:cs="仿宋_GB2312"/>
          <w:kern w:val="0"/>
          <w:sz w:val="44"/>
          <w:szCs w:val="44"/>
        </w:rPr>
      </w:pPr>
    </w:p>
    <w:p w14:paraId="6BBD7BAA">
      <w:pPr>
        <w:spacing w:line="600" w:lineRule="exact"/>
        <w:ind w:firstLine="1610" w:firstLineChars="350"/>
        <w:rPr>
          <w:rFonts w:hint="eastAsia" w:ascii="黑体" w:hAnsi="黑体" w:eastAsia="黑体" w:cs="仿宋_GB2312"/>
          <w:kern w:val="0"/>
          <w:sz w:val="44"/>
          <w:szCs w:val="44"/>
        </w:rPr>
      </w:pPr>
    </w:p>
    <w:p w14:paraId="59951E89">
      <w:pPr>
        <w:spacing w:line="600" w:lineRule="exact"/>
        <w:ind w:firstLine="1610" w:firstLineChars="350"/>
        <w:rPr>
          <w:rFonts w:hint="eastAsia" w:ascii="黑体" w:hAnsi="黑体" w:eastAsia="黑体" w:cs="仿宋_GB2312"/>
          <w:kern w:val="0"/>
          <w:sz w:val="44"/>
          <w:szCs w:val="44"/>
        </w:rPr>
      </w:pPr>
    </w:p>
    <w:p w14:paraId="67FA01A2">
      <w:pPr>
        <w:spacing w:line="600" w:lineRule="exact"/>
        <w:ind w:firstLine="1610" w:firstLineChars="350"/>
        <w:rPr>
          <w:rFonts w:ascii="黑体" w:hAnsi="黑体" w:eastAsia="黑体" w:cs="仿宋_GB2312"/>
          <w:kern w:val="0"/>
          <w:sz w:val="44"/>
          <w:szCs w:val="44"/>
        </w:rPr>
      </w:pPr>
      <w:r>
        <w:rPr>
          <w:rFonts w:hint="eastAsia" w:ascii="黑体" w:hAnsi="黑体" w:eastAsia="黑体" w:cs="仿宋_GB2312"/>
          <w:kern w:val="0"/>
          <w:sz w:val="44"/>
          <w:szCs w:val="44"/>
        </w:rPr>
        <w:t>第三章  工程质量状况</w:t>
      </w:r>
    </w:p>
    <w:p w14:paraId="04DDA9BE">
      <w:pPr>
        <w:spacing w:line="600" w:lineRule="exact"/>
        <w:ind w:firstLine="680" w:firstLineChars="200"/>
        <w:rPr>
          <w:rFonts w:ascii="方正小标宋简体" w:hAnsi="仿宋_GB2312" w:eastAsia="方正小标宋简体" w:cs="仿宋_GB2312"/>
          <w:color w:val="000000"/>
          <w:kern w:val="0"/>
          <w:sz w:val="32"/>
          <w:szCs w:val="32"/>
        </w:rPr>
      </w:pPr>
      <w:r>
        <w:rPr>
          <w:rFonts w:hint="eastAsia" w:ascii="方正小标宋简体" w:hAnsi="仿宋_GB2312" w:eastAsia="方正小标宋简体" w:cs="仿宋_GB2312"/>
          <w:color w:val="000000"/>
          <w:kern w:val="0"/>
          <w:sz w:val="32"/>
          <w:szCs w:val="32"/>
        </w:rPr>
        <w:t>一、建筑工程质量状况</w:t>
      </w:r>
    </w:p>
    <w:p w14:paraId="770DFB7F">
      <w:pPr>
        <w:jc w:val="right"/>
        <w:rPr>
          <w:rFonts w:ascii="仿宋_GB2312" w:hAnsi="宋体" w:eastAsia="仿宋_GB2312" w:cs="宋体"/>
          <w:kern w:val="0"/>
          <w:sz w:val="32"/>
          <w:szCs w:val="32"/>
        </w:rPr>
      </w:pPr>
      <w:r>
        <w:rPr>
          <w:rFonts w:ascii="Times New Roman" w:hAnsi="Times New Roman" w:eastAsia="仿宋_GB2312"/>
          <w:sz w:val="32"/>
          <w:szCs w:val="32"/>
        </w:rPr>
        <w:t>（一）积极开展质量强区工作。</w:t>
      </w:r>
      <w:r>
        <w:rPr>
          <w:rFonts w:hint="eastAsia" w:ascii="Times New Roman" w:hAnsi="Times New Roman" w:eastAsia="仿宋_GB2312"/>
          <w:sz w:val="32"/>
          <w:szCs w:val="32"/>
        </w:rPr>
        <w:t>五华区</w:t>
      </w:r>
      <w:r>
        <w:rPr>
          <w:rFonts w:hint="eastAsia" w:ascii="仿宋_GB2312" w:hAnsi="宋体" w:eastAsia="仿宋_GB2312" w:cs="宋体"/>
          <w:kern w:val="0"/>
          <w:sz w:val="32"/>
          <w:szCs w:val="32"/>
        </w:rPr>
        <w:t>住房和城乡建设局</w:t>
      </w:r>
    </w:p>
    <w:p w14:paraId="5D650ED3">
      <w:pPr>
        <w:widowControl/>
        <w:spacing w:line="560" w:lineRule="exact"/>
        <w:rPr>
          <w:rFonts w:eastAsia="仿宋_GB2312"/>
          <w:color w:val="000000"/>
          <w:kern w:val="0"/>
          <w:sz w:val="32"/>
          <w:szCs w:val="32"/>
        </w:rPr>
      </w:pPr>
      <w:r>
        <w:rPr>
          <w:rFonts w:ascii="Times New Roman" w:hAnsi="Times New Roman" w:eastAsia="仿宋_GB2312"/>
          <w:sz w:val="32"/>
          <w:szCs w:val="32"/>
        </w:rPr>
        <w:t>及时制定了《昆明市五华区建设工程质量安全提升行动实施方案》，根据方案要求积极开展工作。成立五华区建设工程质量安全提升行动工作领导小组，组长由区住房和城乡建设局副局长担任。</w:t>
      </w:r>
    </w:p>
    <w:p w14:paraId="1F168709">
      <w:pPr>
        <w:pStyle w:val="11"/>
        <w:spacing w:before="0" w:beforeAutospacing="0" w:after="0" w:afterAutospacing="0" w:line="560" w:lineRule="exact"/>
        <w:ind w:firstLine="680" w:firstLineChars="200"/>
        <w:jc w:val="both"/>
        <w:rPr>
          <w:rFonts w:ascii="Times New Roman" w:hAnsi="Times New Roman" w:eastAsia="仿宋_GB2312"/>
          <w:color w:val="000000"/>
          <w:spacing w:val="-2"/>
          <w:sz w:val="32"/>
          <w:szCs w:val="32"/>
        </w:rPr>
      </w:pPr>
      <w:r>
        <w:rPr>
          <w:rFonts w:ascii="Times New Roman" w:hAnsi="Times New Roman" w:eastAsia="仿宋_GB2312"/>
          <w:color w:val="000000"/>
          <w:sz w:val="32"/>
          <w:szCs w:val="32"/>
        </w:rPr>
        <w:t>制定并完成了建设工程质量强区工作目标。即新开工受监工程覆盖率100%；新开工房建工程节能标准执行率达到国家规定的相关标准；受监工程建设项目质量合格率达100%；</w:t>
      </w:r>
      <w:r>
        <w:rPr>
          <w:rFonts w:ascii="Times New Roman" w:hAnsi="Times New Roman" w:eastAsia="仿宋_GB2312"/>
          <w:sz w:val="32"/>
          <w:szCs w:val="32"/>
        </w:rPr>
        <w:t>确保不发生重大工程质量事故；我区</w:t>
      </w:r>
      <w:r>
        <w:rPr>
          <w:rFonts w:ascii="Times New Roman" w:hAnsi="Times New Roman" w:eastAsia="仿宋_GB2312"/>
          <w:color w:val="000000"/>
          <w:sz w:val="32"/>
          <w:szCs w:val="32"/>
        </w:rPr>
        <w:t>建筑工程质量整体水平稳步提高，</w:t>
      </w:r>
      <w:r>
        <w:rPr>
          <w:rFonts w:ascii="Times New Roman" w:hAnsi="Times New Roman" w:eastAsia="仿宋_GB2312"/>
          <w:color w:val="000000"/>
          <w:spacing w:val="-2"/>
          <w:sz w:val="32"/>
          <w:szCs w:val="32"/>
        </w:rPr>
        <w:t>受监项目均已一次性验收合格。</w:t>
      </w:r>
    </w:p>
    <w:p w14:paraId="7D377C12">
      <w:pPr>
        <w:spacing w:line="560" w:lineRule="exact"/>
        <w:ind w:firstLine="680" w:firstLineChars="200"/>
        <w:rPr>
          <w:rFonts w:eastAsia="仿宋_GB2312"/>
          <w:kern w:val="0"/>
          <w:sz w:val="32"/>
          <w:szCs w:val="32"/>
        </w:rPr>
      </w:pPr>
      <w:r>
        <w:rPr>
          <w:rFonts w:ascii="Times New Roman" w:hAnsi="Times New Roman" w:eastAsia="仿宋_GB2312"/>
          <w:sz w:val="32"/>
          <w:szCs w:val="32"/>
        </w:rPr>
        <w:t>（二)加强质量监督，工程质量保持平稳。在日常的质量监督工作中，有针对性地对工程建设强制性条文进行专项检查和治理，重点抓好建设项目工程质量事故的预防工作，防止工程质量事故的发生，工程质量保持平稳。</w:t>
      </w:r>
      <w:r>
        <w:rPr>
          <w:rFonts w:ascii="Times New Roman" w:hAnsi="Times New Roman" w:eastAsia="仿宋_GB2312"/>
          <w:color w:val="000000"/>
          <w:kern w:val="0"/>
          <w:sz w:val="32"/>
          <w:szCs w:val="32"/>
        </w:rPr>
        <w:t>截止到</w:t>
      </w:r>
      <w:r>
        <w:rPr>
          <w:rFonts w:hint="eastAsia" w:ascii="Times New Roman" w:hAnsi="Times New Roman" w:eastAsia="仿宋_GB2312"/>
          <w:color w:val="000000"/>
          <w:kern w:val="0"/>
          <w:sz w:val="32"/>
          <w:szCs w:val="32"/>
        </w:rPr>
        <w:t>2020</w:t>
      </w:r>
      <w:r>
        <w:rPr>
          <w:rFonts w:ascii="Times New Roman" w:hAnsi="Times New Roman" w:eastAsia="仿宋_GB2312"/>
          <w:color w:val="000000"/>
          <w:kern w:val="0"/>
          <w:sz w:val="32"/>
          <w:szCs w:val="32"/>
        </w:rPr>
        <w:t>年11月30日，区住建局受理工程质量监督项目</w:t>
      </w:r>
      <w:r>
        <w:rPr>
          <w:rFonts w:hint="eastAsia" w:ascii="Times New Roman" w:hAnsi="Times New Roman" w:eastAsia="仿宋_GB2312"/>
          <w:color w:val="000000"/>
          <w:kern w:val="0"/>
          <w:sz w:val="32"/>
          <w:szCs w:val="32"/>
        </w:rPr>
        <w:t>50</w:t>
      </w:r>
      <w:r>
        <w:rPr>
          <w:rFonts w:ascii="Times New Roman" w:hAnsi="Times New Roman" w:eastAsia="仿宋_GB2312"/>
          <w:color w:val="000000"/>
          <w:kern w:val="0"/>
          <w:sz w:val="32"/>
          <w:szCs w:val="32"/>
        </w:rPr>
        <w:t>个，其中房建工程项目</w:t>
      </w:r>
      <w:r>
        <w:rPr>
          <w:rFonts w:hint="eastAsia" w:ascii="Times New Roman" w:hAnsi="Times New Roman" w:eastAsia="仿宋_GB2312"/>
          <w:color w:val="000000"/>
          <w:kern w:val="0"/>
          <w:sz w:val="32"/>
          <w:szCs w:val="32"/>
        </w:rPr>
        <w:t>30</w:t>
      </w:r>
      <w:r>
        <w:rPr>
          <w:rFonts w:ascii="Times New Roman" w:hAnsi="Times New Roman" w:eastAsia="仿宋_GB2312"/>
          <w:color w:val="000000"/>
          <w:kern w:val="0"/>
          <w:sz w:val="32"/>
          <w:szCs w:val="32"/>
        </w:rPr>
        <w:t>个，市政工程项目</w:t>
      </w:r>
      <w:r>
        <w:rPr>
          <w:rFonts w:hint="eastAsia" w:ascii="Times New Roman" w:hAnsi="Times New Roman" w:eastAsia="仿宋_GB2312"/>
          <w:color w:val="000000"/>
          <w:kern w:val="0"/>
          <w:sz w:val="32"/>
          <w:szCs w:val="32"/>
        </w:rPr>
        <w:t>5</w:t>
      </w:r>
      <w:r>
        <w:rPr>
          <w:rFonts w:ascii="Times New Roman" w:hAnsi="Times New Roman" w:eastAsia="仿宋_GB2312"/>
          <w:color w:val="000000"/>
          <w:kern w:val="0"/>
          <w:sz w:val="32"/>
          <w:szCs w:val="32"/>
        </w:rPr>
        <w:t>个，装修项目</w:t>
      </w:r>
      <w:r>
        <w:rPr>
          <w:rFonts w:hint="eastAsia" w:ascii="Times New Roman" w:hAnsi="Times New Roman" w:eastAsia="仿宋_GB2312"/>
          <w:color w:val="000000"/>
          <w:kern w:val="0"/>
          <w:sz w:val="32"/>
          <w:szCs w:val="32"/>
        </w:rPr>
        <w:t>15</w:t>
      </w:r>
      <w:r>
        <w:rPr>
          <w:rFonts w:ascii="Times New Roman" w:hAnsi="Times New Roman" w:eastAsia="仿宋_GB2312"/>
          <w:color w:val="000000"/>
          <w:kern w:val="0"/>
          <w:sz w:val="32"/>
          <w:szCs w:val="32"/>
        </w:rPr>
        <w:t>个；监督面积房建工程约</w:t>
      </w:r>
      <w:r>
        <w:rPr>
          <w:rFonts w:hint="eastAsia" w:ascii="Times New Roman" w:hAnsi="Times New Roman" w:eastAsia="仿宋_GB2312"/>
          <w:color w:val="000000"/>
          <w:kern w:val="0"/>
          <w:sz w:val="32"/>
          <w:szCs w:val="32"/>
        </w:rPr>
        <w:t>1140</w:t>
      </w:r>
      <w:r>
        <w:rPr>
          <w:rFonts w:ascii="Times New Roman" w:hAnsi="Times New Roman" w:eastAsia="仿宋_GB2312"/>
          <w:color w:val="000000"/>
          <w:kern w:val="0"/>
          <w:sz w:val="32"/>
          <w:szCs w:val="32"/>
        </w:rPr>
        <w:t>万平方米，完成竣工验收监督的工程项目</w:t>
      </w:r>
      <w:r>
        <w:rPr>
          <w:rFonts w:hint="eastAsia" w:ascii="Times New Roman" w:hAnsi="Times New Roman" w:eastAsia="仿宋_GB2312"/>
          <w:color w:val="000000"/>
          <w:kern w:val="0"/>
          <w:sz w:val="32"/>
          <w:szCs w:val="32"/>
        </w:rPr>
        <w:t>16</w:t>
      </w:r>
      <w:r>
        <w:rPr>
          <w:rFonts w:ascii="Times New Roman" w:hAnsi="Times New Roman" w:eastAsia="仿宋_GB2312"/>
          <w:color w:val="000000"/>
          <w:kern w:val="0"/>
          <w:sz w:val="32"/>
          <w:szCs w:val="32"/>
        </w:rPr>
        <w:t>个，办理竣工验收备案项目</w:t>
      </w:r>
      <w:r>
        <w:rPr>
          <w:rFonts w:hint="eastAsia" w:ascii="Times New Roman" w:hAnsi="Times New Roman" w:eastAsia="仿宋_GB2312"/>
          <w:color w:val="000000"/>
          <w:kern w:val="0"/>
          <w:sz w:val="32"/>
          <w:szCs w:val="32"/>
        </w:rPr>
        <w:t>16</w:t>
      </w:r>
      <w:r>
        <w:rPr>
          <w:rFonts w:ascii="Times New Roman" w:hAnsi="Times New Roman" w:eastAsia="仿宋_GB2312"/>
          <w:color w:val="000000"/>
          <w:kern w:val="0"/>
          <w:sz w:val="32"/>
          <w:szCs w:val="32"/>
        </w:rPr>
        <w:t>个，竣工工程验收合格率100％，一次性验收合格率100％,新开工工程质量监督覆盖率达到100%，</w:t>
      </w:r>
      <w:r>
        <w:rPr>
          <w:rFonts w:ascii="Times New Roman" w:hAnsi="Times New Roman" w:eastAsia="仿宋_GB2312"/>
          <w:color w:val="000000"/>
          <w:sz w:val="32"/>
          <w:szCs w:val="32"/>
        </w:rPr>
        <w:t>建筑工程签署法人委托书和质量终身责任制承诺书覆盖率达100%，新竣工工程设立永久性标牌覆盖率达100%</w:t>
      </w:r>
      <w:r>
        <w:rPr>
          <w:rFonts w:ascii="Times New Roman" w:hAnsi="Times New Roman" w:eastAsia="仿宋_GB2312"/>
          <w:color w:val="000000"/>
          <w:kern w:val="0"/>
          <w:sz w:val="32"/>
          <w:szCs w:val="32"/>
        </w:rPr>
        <w:t xml:space="preserve">。 </w:t>
      </w:r>
    </w:p>
    <w:p w14:paraId="7EC88A7E">
      <w:pPr>
        <w:pStyle w:val="7"/>
        <w:spacing w:line="560" w:lineRule="exact"/>
        <w:ind w:firstLine="68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严抓质量监督重点，开展房屋建筑工程质量常见问题专项治理工作，严控质量通病。在日常监督中，坚持以地基基础、主体结构和影响使用安全及使用功能的关键部位为监督工作重点，严格监督程序，重视应用先进的检测仪器对基础、主体结构等重要部位、构件质量进行辅助监督检查，提高了监督工作质量和水平，减少了人为判断失误。有效控制了质量通病，在建筑防水、装饰面脱落、基本使用功能等方面已经收到明显效果，建筑裂缝控制也在一定程度上有了好转。在抓好对工程实体质量监督检查的同时，我们还逐步加强过程及验收等重要环节建设各方责任主体质量行为的监督工作，并取得一定效果。外出监督抽查、巡查</w:t>
      </w:r>
      <w:r>
        <w:rPr>
          <w:rFonts w:hint="eastAsia" w:ascii="Times New Roman" w:hAnsi="Times New Roman" w:eastAsia="仿宋_GB2312" w:cs="Times New Roman"/>
          <w:sz w:val="32"/>
          <w:szCs w:val="32"/>
        </w:rPr>
        <w:t>171</w:t>
      </w:r>
      <w:r>
        <w:rPr>
          <w:rFonts w:ascii="Times New Roman" w:hAnsi="Times New Roman" w:eastAsia="仿宋_GB2312" w:cs="Times New Roman"/>
          <w:sz w:val="32"/>
          <w:szCs w:val="32"/>
        </w:rPr>
        <w:t>个次，及时纠正监督抽查、巡查中发现的各种影响结构安全及使用功能等方面的质量问题</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个，处理违规不良行为0起。</w:t>
      </w:r>
    </w:p>
    <w:p w14:paraId="4AAEB92A">
      <w:pPr>
        <w:spacing w:line="560" w:lineRule="exact"/>
        <w:ind w:firstLine="680" w:firstLineChars="200"/>
        <w:rPr>
          <w:rFonts w:eastAsia="仿宋_GB2312"/>
          <w:kern w:val="0"/>
          <w:sz w:val="32"/>
          <w:szCs w:val="32"/>
        </w:rPr>
      </w:pPr>
      <w:r>
        <w:rPr>
          <w:rFonts w:ascii="Times New Roman" w:hAnsi="Times New Roman" w:eastAsia="仿宋_GB2312"/>
          <w:sz w:val="32"/>
          <w:szCs w:val="32"/>
        </w:rPr>
        <w:t>（四）根据《云南省房屋建筑和市政工程质量安全提升行动实施方案》及《昆明市房屋建筑和市政工程质量安全提升行动实施方案》要求，制定了《昆明市五华区建设工程质量安全提升行动实施方案》，明确了指导思想和总体目标。指导思想：围绕“落实主体责任”和“强化政府监管”两个重点，强化企业主体责任和政府监管责任的落实，坚持企业管理与项目管理并重、企业责任与个人责任并重、质量安全行为与工程实体质量安全并重、深化建筑业改革与完善质量安全管理制度并重，严格监督管理，严格责任落实，严格责任追究，着力构建质量安全提升长效机制，全面提升全市建设工程质量安全水平。总体目标：通过开展工程质量安全提升行动，用3年左右的时间，不断完善建设工程质量安全管理体系，强化工程质量主体责任，加强工程质量安全监管，提高工程项目质量安全管理水平，提高工程技术创新能力，使工程质量安全总体水平得到明显提升。</w:t>
      </w:r>
    </w:p>
    <w:p w14:paraId="6BE5D62A">
      <w:pPr>
        <w:widowControl/>
        <w:spacing w:line="560" w:lineRule="exact"/>
        <w:ind w:firstLine="680" w:firstLineChars="200"/>
        <w:rPr>
          <w:rFonts w:eastAsia="仿宋_GB2312"/>
          <w:color w:val="000000"/>
          <w:kern w:val="0"/>
          <w:sz w:val="32"/>
          <w:szCs w:val="32"/>
        </w:rPr>
      </w:pPr>
      <w:r>
        <w:rPr>
          <w:rFonts w:ascii="Times New Roman" w:hAnsi="Times New Roman" w:eastAsia="仿宋_GB2312"/>
          <w:color w:val="000000"/>
          <w:kern w:val="0"/>
          <w:sz w:val="32"/>
          <w:szCs w:val="32"/>
        </w:rPr>
        <w:t>（</w:t>
      </w:r>
      <w:r>
        <w:rPr>
          <w:rFonts w:hint="eastAsia" w:ascii="Times New Roman" w:hAnsi="Times New Roman" w:eastAsia="仿宋_GB2312"/>
          <w:color w:val="000000"/>
          <w:kern w:val="0"/>
          <w:sz w:val="32"/>
          <w:szCs w:val="32"/>
        </w:rPr>
        <w:t>五</w:t>
      </w:r>
      <w:r>
        <w:rPr>
          <w:rFonts w:ascii="Times New Roman" w:hAnsi="Times New Roman" w:eastAsia="仿宋_GB2312"/>
          <w:color w:val="000000"/>
          <w:kern w:val="0"/>
          <w:sz w:val="32"/>
          <w:szCs w:val="32"/>
        </w:rPr>
        <w:t>）开展工</w:t>
      </w:r>
      <w:r>
        <w:rPr>
          <w:rFonts w:ascii="Times New Roman" w:hAnsi="Times New Roman" w:eastAsia="仿宋_GB2312"/>
          <w:kern w:val="0"/>
          <w:sz w:val="32"/>
          <w:szCs w:val="32"/>
        </w:rPr>
        <w:t>程质量专项检查工作，今年以来开展了对建设工程检测机构质量行为以及工程</w:t>
      </w:r>
      <w:r>
        <w:rPr>
          <w:rFonts w:ascii="Times New Roman" w:hAnsi="Times New Roman" w:eastAsia="仿宋_GB2312"/>
          <w:color w:val="000000"/>
          <w:kern w:val="0"/>
          <w:sz w:val="32"/>
          <w:szCs w:val="32"/>
        </w:rPr>
        <w:t>实体质量的抽查工作，要求检测机构进一步规范检测行为，保证工程检测工作数据真是有效，杜绝虚假报告的发生；开展了对减隔震技术的专项检查，从产品质量到制作安装，检测验收等环节进行检查，保证了建筑物的抗震满足要求；开展了对建筑用砂以及预拌砂浆的抽查工作，保证原材料的质量；开展了建筑节能的专项检查。</w:t>
      </w:r>
    </w:p>
    <w:p w14:paraId="1EB1956E">
      <w:pPr>
        <w:widowControl/>
        <w:spacing w:line="560" w:lineRule="exact"/>
        <w:ind w:firstLine="680" w:firstLineChars="200"/>
        <w:rPr>
          <w:rFonts w:eastAsia="仿宋_GB2312"/>
          <w:color w:val="000000"/>
          <w:kern w:val="0"/>
          <w:sz w:val="32"/>
          <w:szCs w:val="32"/>
        </w:rPr>
      </w:pPr>
      <w:r>
        <w:rPr>
          <w:rFonts w:ascii="Times New Roman" w:hAnsi="Times New Roman" w:eastAsia="仿宋_GB2312"/>
          <w:color w:val="000000"/>
          <w:kern w:val="0"/>
          <w:sz w:val="32"/>
          <w:szCs w:val="32"/>
        </w:rPr>
        <w:t>（</w:t>
      </w:r>
      <w:r>
        <w:rPr>
          <w:rFonts w:hint="eastAsia" w:ascii="Times New Roman" w:hAnsi="Times New Roman" w:eastAsia="仿宋_GB2312"/>
          <w:color w:val="000000"/>
          <w:kern w:val="0"/>
          <w:sz w:val="32"/>
          <w:szCs w:val="32"/>
        </w:rPr>
        <w:t>六</w:t>
      </w:r>
      <w:r>
        <w:rPr>
          <w:rFonts w:ascii="Times New Roman" w:hAnsi="Times New Roman" w:eastAsia="仿宋_GB2312"/>
          <w:color w:val="000000"/>
          <w:kern w:val="0"/>
          <w:sz w:val="32"/>
          <w:szCs w:val="32"/>
        </w:rPr>
        <w:t>）抓典型，树样板，积极做好质量投诉处理工作。抓好住宅工程质量作为保障广大人民群众切身利益的重要切入点，我局工程质量监督站</w:t>
      </w:r>
      <w:r>
        <w:rPr>
          <w:rFonts w:ascii="Times New Roman" w:hAnsi="Times New Roman" w:eastAsia="仿宋_GB2312"/>
          <w:sz w:val="32"/>
          <w:szCs w:val="32"/>
        </w:rPr>
        <w:t>加大对住宅工程，特别是保障性住房和安居工程质量的监督检查力度，注重树立一些质量通病做得较好的住宅工程项目，作为示范样板工程，通过抓典型，树样板，以典型带路，实施“精品战略”。</w:t>
      </w:r>
      <w:r>
        <w:rPr>
          <w:rFonts w:ascii="Times New Roman" w:hAnsi="Times New Roman" w:eastAsia="仿宋_GB2312"/>
          <w:color w:val="000000"/>
          <w:kern w:val="0"/>
          <w:sz w:val="32"/>
          <w:szCs w:val="32"/>
        </w:rPr>
        <w:t>建立行之有效的质量投诉处理机制，积极做好用户质量投诉的监督处理工作。每月通报投诉处理情况。对投诉处理不力，造成不良影响的单位，按相关规定进行严肃处理。</w:t>
      </w:r>
    </w:p>
    <w:p w14:paraId="15260E9C">
      <w:pPr>
        <w:widowControl/>
        <w:spacing w:line="560" w:lineRule="exact"/>
        <w:ind w:firstLine="680" w:firstLineChars="200"/>
        <w:rPr>
          <w:rFonts w:eastAsia="仿宋_GB2312"/>
          <w:color w:val="000000"/>
          <w:kern w:val="0"/>
          <w:sz w:val="32"/>
          <w:szCs w:val="32"/>
        </w:rPr>
      </w:pPr>
      <w:r>
        <w:rPr>
          <w:rFonts w:ascii="Times New Roman" w:hAnsi="Times New Roman" w:eastAsia="仿宋_GB2312"/>
          <w:color w:val="000000"/>
          <w:kern w:val="0"/>
          <w:sz w:val="32"/>
          <w:szCs w:val="32"/>
        </w:rPr>
        <w:t>（</w:t>
      </w:r>
      <w:r>
        <w:rPr>
          <w:rFonts w:hint="eastAsia" w:ascii="Times New Roman" w:hAnsi="Times New Roman" w:eastAsia="仿宋_GB2312"/>
          <w:color w:val="000000"/>
          <w:kern w:val="0"/>
          <w:sz w:val="32"/>
          <w:szCs w:val="32"/>
        </w:rPr>
        <w:t>七</w:t>
      </w:r>
      <w:r>
        <w:rPr>
          <w:rFonts w:ascii="Times New Roman" w:hAnsi="Times New Roman" w:eastAsia="仿宋_GB2312"/>
          <w:color w:val="000000"/>
          <w:kern w:val="0"/>
          <w:sz w:val="32"/>
          <w:szCs w:val="32"/>
        </w:rPr>
        <w:t>）继续开展“质量月”活动，一是围绕活动主题，</w:t>
      </w:r>
    </w:p>
    <w:p w14:paraId="173958D2">
      <w:pPr>
        <w:widowControl/>
        <w:spacing w:line="560" w:lineRule="exact"/>
        <w:rPr>
          <w:rFonts w:eastAsia="仿宋_GB2312"/>
          <w:kern w:val="0"/>
          <w:sz w:val="32"/>
          <w:szCs w:val="32"/>
        </w:rPr>
      </w:pPr>
      <w:r>
        <w:rPr>
          <w:rFonts w:ascii="Times New Roman" w:hAnsi="Times New Roman" w:eastAsia="仿宋_GB2312"/>
          <w:color w:val="000000"/>
          <w:kern w:val="0"/>
          <w:sz w:val="32"/>
          <w:szCs w:val="32"/>
        </w:rPr>
        <w:t>制定了五华区建设工程“质量月”活动方案，积极开展活动；通过多种形式开展宣传工作，引导市民积极参与；围绕人民群众关心的工程质量，严厉打击工程质量违法行为，在全区“质量月”期间着力解决人民群众关心的住宅工程质量问题；开展工程质量大检查，</w:t>
      </w:r>
      <w:r>
        <w:rPr>
          <w:rFonts w:ascii="Times New Roman" w:hAnsi="Times New Roman" w:eastAsia="仿宋_GB2312"/>
          <w:kern w:val="0"/>
          <w:sz w:val="32"/>
          <w:szCs w:val="32"/>
        </w:rPr>
        <w:t>从检查情况看，全区工程建设基本程序履行较好，工程质量处于受控状态，市场行为不断规范。</w:t>
      </w:r>
    </w:p>
    <w:p w14:paraId="672B7B14">
      <w:pPr>
        <w:widowControl/>
        <w:spacing w:line="560" w:lineRule="exact"/>
        <w:ind w:firstLine="680" w:firstLineChars="200"/>
        <w:rPr>
          <w:rFonts w:eastAsia="仿宋_GB2312"/>
          <w:kern w:val="0"/>
          <w:sz w:val="32"/>
          <w:szCs w:val="32"/>
        </w:rPr>
      </w:pPr>
      <w:r>
        <w:rPr>
          <w:rFonts w:ascii="Times New Roman" w:hAnsi="Times New Roman" w:eastAsia="仿宋_GB2312"/>
          <w:kern w:val="0"/>
          <w:sz w:val="32"/>
          <w:szCs w:val="32"/>
        </w:rPr>
        <w:t>（</w:t>
      </w:r>
      <w:r>
        <w:rPr>
          <w:rFonts w:hint="eastAsia" w:ascii="Times New Roman" w:hAnsi="Times New Roman" w:eastAsia="仿宋_GB2312"/>
          <w:kern w:val="0"/>
          <w:sz w:val="32"/>
          <w:szCs w:val="32"/>
        </w:rPr>
        <w:t>八</w:t>
      </w:r>
      <w:r>
        <w:rPr>
          <w:rFonts w:ascii="Times New Roman" w:hAnsi="Times New Roman" w:eastAsia="仿宋_GB2312"/>
          <w:kern w:val="0"/>
          <w:sz w:val="32"/>
          <w:szCs w:val="32"/>
        </w:rPr>
        <w:t>）严格执行建筑节能标准规范，加强建筑节能监督工作。严格执行建筑节能强制性标准规范，加强施工过程中的监督检查，严把建筑节能验收关，新开工民用建筑节能强制性标准设计阶段执行率达100%。</w:t>
      </w:r>
    </w:p>
    <w:p w14:paraId="36EB8F72">
      <w:pPr>
        <w:pStyle w:val="11"/>
        <w:shd w:val="clear" w:color="auto" w:fill="FFFFFF"/>
        <w:spacing w:before="0" w:beforeAutospacing="0" w:after="0" w:afterAutospacing="0" w:line="520" w:lineRule="atLeast"/>
        <w:ind w:firstLine="680" w:firstLineChars="200"/>
        <w:jc w:val="both"/>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九</w:t>
      </w:r>
      <w:r>
        <w:rPr>
          <w:rFonts w:ascii="Times New Roman" w:hAnsi="Times New Roman" w:eastAsia="仿宋_GB2312"/>
          <w:sz w:val="32"/>
          <w:szCs w:val="32"/>
        </w:rPr>
        <w:t>）加强工程质量标准化建设，在全区范围内推行工程质量标准化管理。按照云南省、昆明市《关于开展</w:t>
      </w:r>
      <w:r>
        <w:rPr>
          <w:rFonts w:hint="eastAsia" w:ascii="Times New Roman" w:hAnsi="Times New Roman" w:eastAsia="仿宋_GB2312"/>
          <w:sz w:val="32"/>
          <w:szCs w:val="32"/>
        </w:rPr>
        <w:t>2019</w:t>
      </w:r>
      <w:r>
        <w:rPr>
          <w:rFonts w:ascii="Times New Roman" w:hAnsi="Times New Roman" w:eastAsia="仿宋_GB2312"/>
          <w:sz w:val="32"/>
          <w:szCs w:val="32"/>
        </w:rPr>
        <w:t>年度昆明市房屋市政工程质量管理标准化示范项目和安全生产标准化工地创建检查工作的通知》，在我区范围内积极开展省、市房屋市政工程质量管理标准化示范项目和安全生产标准化工地创建工作，</w:t>
      </w:r>
      <w:r>
        <w:rPr>
          <w:rFonts w:hint="eastAsia" w:ascii="Times New Roman" w:hAnsi="Times New Roman" w:eastAsia="仿宋_GB2312"/>
          <w:sz w:val="32"/>
          <w:szCs w:val="32"/>
        </w:rPr>
        <w:t>2020</w:t>
      </w:r>
      <w:r>
        <w:rPr>
          <w:rFonts w:ascii="Times New Roman" w:hAnsi="Times New Roman" w:eastAsia="仿宋_GB2312"/>
          <w:sz w:val="32"/>
          <w:szCs w:val="32"/>
        </w:rPr>
        <w:t>年我区</w:t>
      </w:r>
      <w:r>
        <w:rPr>
          <w:rFonts w:hint="eastAsia" w:ascii="Times New Roman" w:hAnsi="Times New Roman" w:eastAsia="仿宋_GB2312"/>
          <w:sz w:val="32"/>
          <w:szCs w:val="32"/>
        </w:rPr>
        <w:t>16</w:t>
      </w:r>
      <w:r>
        <w:rPr>
          <w:rFonts w:ascii="Times New Roman" w:hAnsi="Times New Roman" w:eastAsia="仿宋_GB2312"/>
          <w:sz w:val="32"/>
          <w:szCs w:val="32"/>
        </w:rPr>
        <w:t>个项目获得了</w:t>
      </w:r>
      <w:r>
        <w:rPr>
          <w:rFonts w:hint="eastAsia" w:ascii="Times New Roman" w:hAnsi="Times New Roman" w:eastAsia="仿宋_GB2312"/>
          <w:sz w:val="32"/>
          <w:szCs w:val="32"/>
        </w:rPr>
        <w:t>昆明市建设施工安全生产标准化工地，9</w:t>
      </w:r>
      <w:r>
        <w:rPr>
          <w:rFonts w:ascii="Times New Roman" w:hAnsi="Times New Roman" w:eastAsia="仿宋_GB2312"/>
          <w:sz w:val="32"/>
          <w:szCs w:val="32"/>
        </w:rPr>
        <w:t>个项目获得了</w:t>
      </w:r>
      <w:r>
        <w:rPr>
          <w:rFonts w:hint="eastAsia" w:ascii="Times New Roman" w:hAnsi="Times New Roman" w:eastAsia="仿宋_GB2312"/>
          <w:sz w:val="32"/>
          <w:szCs w:val="32"/>
        </w:rPr>
        <w:t>昆明市房屋市政工程质量标准化工地，5个项目获得</w:t>
      </w:r>
      <w:r>
        <w:rPr>
          <w:rFonts w:ascii="Times New Roman" w:hAnsi="Times New Roman" w:eastAsia="仿宋_GB2312"/>
          <w:sz w:val="32"/>
          <w:szCs w:val="32"/>
        </w:rPr>
        <w:t>省级安全生产标准化工地</w:t>
      </w:r>
      <w:r>
        <w:rPr>
          <w:rFonts w:hint="eastAsia" w:ascii="Times New Roman" w:hAnsi="Times New Roman" w:eastAsia="仿宋_GB2312"/>
          <w:sz w:val="32"/>
          <w:szCs w:val="32"/>
        </w:rPr>
        <w:t>，5个项目获得省工程质量管理标准化</w:t>
      </w:r>
      <w:r>
        <w:rPr>
          <w:rFonts w:ascii="Times New Roman" w:hAnsi="Times New Roman" w:eastAsia="仿宋_GB2312"/>
          <w:sz w:val="32"/>
          <w:szCs w:val="32"/>
        </w:rPr>
        <w:t>示范项目；年有</w:t>
      </w:r>
      <w:r>
        <w:rPr>
          <w:rFonts w:hint="eastAsia" w:ascii="Times New Roman" w:hAnsi="Times New Roman" w:eastAsia="仿宋_GB2312"/>
          <w:sz w:val="32"/>
          <w:szCs w:val="32"/>
        </w:rPr>
        <w:t>18</w:t>
      </w:r>
      <w:r>
        <w:rPr>
          <w:rFonts w:ascii="Times New Roman" w:hAnsi="Times New Roman" w:eastAsia="仿宋_GB2312"/>
          <w:sz w:val="32"/>
          <w:szCs w:val="32"/>
        </w:rPr>
        <w:t>个项目申报了省、市房屋市政工程质量管理标准化示范项目和安全生产标准化工地。</w:t>
      </w:r>
    </w:p>
    <w:p w14:paraId="7C9FC647">
      <w:pPr>
        <w:ind w:firstLine="680" w:firstLineChars="200"/>
        <w:rPr>
          <w:rFonts w:eastAsia="仿宋_GB2312"/>
          <w:kern w:val="0"/>
          <w:sz w:val="32"/>
          <w:szCs w:val="32"/>
        </w:rPr>
      </w:pPr>
      <w:r>
        <w:rPr>
          <w:rFonts w:hint="eastAsia" w:ascii="Times New Roman" w:hAnsi="Times New Roman" w:eastAsia="仿宋_GB2312"/>
          <w:kern w:val="0"/>
          <w:sz w:val="32"/>
          <w:szCs w:val="32"/>
        </w:rPr>
        <w:t>（十）组织装配式建筑科</w:t>
      </w:r>
      <w:r>
        <w:rPr>
          <w:rFonts w:ascii="Times New Roman" w:hAnsi="Times New Roman" w:eastAsia="仿宋_GB2312"/>
          <w:kern w:val="0"/>
          <w:sz w:val="32"/>
          <w:szCs w:val="32"/>
        </w:rPr>
        <w:t>技示范工程现场观摩会</w:t>
      </w:r>
      <w:r>
        <w:rPr>
          <w:rFonts w:hint="eastAsia" w:ascii="Times New Roman" w:hAnsi="Times New Roman" w:eastAsia="仿宋_GB2312"/>
          <w:kern w:val="0"/>
          <w:sz w:val="32"/>
          <w:szCs w:val="32"/>
        </w:rPr>
        <w:t>。</w:t>
      </w:r>
      <w:r>
        <w:rPr>
          <w:rFonts w:ascii="Times New Roman" w:hAnsi="Times New Roman" w:eastAsia="仿宋_GB2312"/>
          <w:kern w:val="0"/>
          <w:sz w:val="32"/>
          <w:szCs w:val="32"/>
        </w:rPr>
        <w:t>为分享和总结年云南万科在新型建筑工业化和装配式住宅建筑发展方面取得的一系列成果，同时为了更好地规划与部署今后的工业化与装配式建筑发展之路。于年11月</w:t>
      </w:r>
      <w:r>
        <w:rPr>
          <w:rFonts w:hint="eastAsia" w:ascii="Times New Roman" w:hAnsi="Times New Roman" w:eastAsia="仿宋_GB2312"/>
          <w:kern w:val="0"/>
          <w:sz w:val="32"/>
          <w:szCs w:val="32"/>
        </w:rPr>
        <w:t>在</w:t>
      </w:r>
      <w:r>
        <w:rPr>
          <w:rFonts w:ascii="Times New Roman" w:hAnsi="Times New Roman" w:eastAsia="仿宋_GB2312"/>
          <w:kern w:val="0"/>
          <w:sz w:val="32"/>
          <w:szCs w:val="32"/>
        </w:rPr>
        <w:t>五华区万科城·万科西郡小区举行云南省级装配式建筑科技示范工程现场观摩会</w:t>
      </w:r>
      <w:r>
        <w:rPr>
          <w:rFonts w:hint="eastAsia" w:ascii="Times New Roman" w:hAnsi="Times New Roman" w:eastAsia="仿宋_GB2312"/>
          <w:kern w:val="0"/>
          <w:sz w:val="32"/>
          <w:szCs w:val="32"/>
        </w:rPr>
        <w:t>，邀请省、市住建部门和</w:t>
      </w:r>
      <w:r>
        <w:rPr>
          <w:rFonts w:ascii="Times New Roman" w:hAnsi="Times New Roman" w:eastAsia="仿宋_GB2312"/>
          <w:kern w:val="0"/>
          <w:sz w:val="32"/>
          <w:szCs w:val="32"/>
        </w:rPr>
        <w:t>建设行业领域相关单位</w:t>
      </w:r>
      <w:r>
        <w:rPr>
          <w:rFonts w:hint="eastAsia" w:ascii="Times New Roman" w:hAnsi="Times New Roman" w:eastAsia="仿宋_GB2312"/>
          <w:kern w:val="0"/>
          <w:sz w:val="32"/>
          <w:szCs w:val="32"/>
        </w:rPr>
        <w:t>参加会议。</w:t>
      </w:r>
    </w:p>
    <w:p w14:paraId="13C9EC2E">
      <w:pPr>
        <w:spacing w:line="600" w:lineRule="exact"/>
        <w:ind w:firstLine="680" w:firstLineChars="200"/>
        <w:rPr>
          <w:rFonts w:hint="eastAsia" w:ascii="楷体_GB2312" w:hAnsi="仿宋_GB2312" w:eastAsia="楷体_GB2312" w:cs="仿宋_GB2312"/>
          <w:b/>
          <w:kern w:val="0"/>
          <w:sz w:val="32"/>
          <w:szCs w:val="32"/>
        </w:rPr>
      </w:pPr>
      <w:r>
        <w:rPr>
          <w:rFonts w:hint="eastAsia" w:ascii="楷体_GB2312" w:hAnsi="仿宋_GB2312" w:eastAsia="楷体_GB2312" w:cs="仿宋_GB2312"/>
          <w:b/>
          <w:kern w:val="0"/>
          <w:sz w:val="32"/>
          <w:szCs w:val="32"/>
        </w:rPr>
        <w:t>（三）存在的问题</w:t>
      </w:r>
    </w:p>
    <w:p w14:paraId="09CC8398">
      <w:pPr>
        <w:spacing w:line="600" w:lineRule="exact"/>
        <w:ind w:firstLine="68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1.基本建设程序方面，个别项目基本建设程序不完善。项目基本建设程序不完善的原因：一是建设方法律意识比较淡薄，不按法定程序办理建设施工手续，违法施工现象时有发生。二是个别建设单位存在先建设后补办、边建设边审图、重大设计变更不及时审图或审图滞后的现象。</w:t>
      </w:r>
    </w:p>
    <w:p w14:paraId="25914A8D">
      <w:pPr>
        <w:spacing w:line="600" w:lineRule="exact"/>
        <w:ind w:firstLine="680" w:firstLineChars="200"/>
        <w:rPr>
          <w:rFonts w:ascii="楷体_GB2312" w:hAnsi="仿宋_GB2312" w:eastAsia="楷体_GB2312" w:cs="仿宋_GB2312"/>
          <w:b/>
          <w:kern w:val="0"/>
          <w:sz w:val="32"/>
          <w:szCs w:val="32"/>
        </w:rPr>
      </w:pPr>
      <w:r>
        <w:rPr>
          <w:rFonts w:hint="eastAsia" w:ascii="仿宋_GB2312" w:hAnsi="宋体" w:eastAsia="仿宋_GB2312" w:cs="宋体"/>
          <w:kern w:val="0"/>
          <w:sz w:val="32"/>
          <w:szCs w:val="32"/>
        </w:rPr>
        <w:t xml:space="preserve">     </w:t>
      </w:r>
      <w:r>
        <w:rPr>
          <w:rFonts w:hint="eastAsia" w:ascii="Times New Roman" w:hAnsi="Times New Roman" w:eastAsia="仿宋_GB2312"/>
          <w:kern w:val="0"/>
          <w:sz w:val="32"/>
          <w:szCs w:val="32"/>
        </w:rPr>
        <w:t>2.</w:t>
      </w:r>
      <w:r>
        <w:rPr>
          <w:rFonts w:ascii="Times New Roman" w:hAnsi="Times New Roman" w:eastAsia="仿宋_GB2312"/>
          <w:kern w:val="0"/>
          <w:sz w:val="32"/>
          <w:szCs w:val="32"/>
        </w:rPr>
        <w:t>修缮及加固改造项目方面。现五华辖区内有部分建筑建盖时间较早，在使用中已经达不到功能及安全需要，因此要进行修缮及加固改造。修缮及加固项目在实际施工工程中大部分项目的结构已经无法满足抗震结构安全要求，有的项目有可能要替换或者加固结构，替换结构的项目相当于拆除重建，因此就与规划审批的修缮意见不符合，致使项目无法按照相关法律及规范推进，并且修缮加固的项目施工图审查机构不予审图，因此修缮及加固项目的工程质量无法得到保障。</w:t>
      </w:r>
    </w:p>
    <w:p w14:paraId="7597EA6E">
      <w:pPr>
        <w:spacing w:line="560" w:lineRule="exact"/>
        <w:ind w:firstLine="680" w:firstLineChars="200"/>
        <w:rPr>
          <w:rFonts w:eastAsia="仿宋_GB2312"/>
          <w:kern w:val="0"/>
          <w:sz w:val="32"/>
          <w:szCs w:val="32"/>
        </w:rPr>
      </w:pPr>
      <w:r>
        <w:rPr>
          <w:rFonts w:hint="eastAsia" w:ascii="Times New Roman" w:hAnsi="Times New Roman" w:eastAsia="仿宋_GB2312"/>
          <w:kern w:val="0"/>
          <w:sz w:val="32"/>
          <w:szCs w:val="32"/>
        </w:rPr>
        <w:t>3.</w:t>
      </w:r>
      <w:r>
        <w:rPr>
          <w:rFonts w:ascii="Times New Roman" w:hAnsi="Times New Roman" w:eastAsia="仿宋_GB2312"/>
          <w:kern w:val="0"/>
          <w:sz w:val="32"/>
          <w:szCs w:val="32"/>
        </w:rPr>
        <w:t>为了营造营商环境，做好“放管服”相关工作，减少了审批环节和缩短了办事时限，建设工程实行了承诺制办理工程质量监督手续，项目可以先不提供相关资料，只要承诺在30日内完成相关手续和资料就可以办理质量监督手续和施工许可证，有的项目存在施工图未审查或审查不合格就开始施工的情况，这给我们工程质量监督工作带来较大难度，还有待研究探讨新的监管模式。</w:t>
      </w:r>
    </w:p>
    <w:p w14:paraId="3A2E8220">
      <w:pPr>
        <w:spacing w:line="560" w:lineRule="exact"/>
        <w:ind w:firstLine="680" w:firstLineChars="200"/>
        <w:rPr>
          <w:rFonts w:eastAsia="仿宋_GB2312"/>
          <w:kern w:val="0"/>
          <w:sz w:val="32"/>
          <w:szCs w:val="32"/>
        </w:rPr>
      </w:pPr>
      <w:r>
        <w:rPr>
          <w:rFonts w:hint="eastAsia" w:ascii="Times New Roman" w:hAnsi="Times New Roman" w:eastAsia="仿宋_GB2312"/>
          <w:kern w:val="0"/>
          <w:sz w:val="32"/>
          <w:szCs w:val="32"/>
        </w:rPr>
        <w:t>4.</w:t>
      </w:r>
      <w:r>
        <w:rPr>
          <w:rFonts w:ascii="Times New Roman" w:hAnsi="Times New Roman" w:eastAsia="仿宋_GB2312"/>
          <w:kern w:val="0"/>
          <w:sz w:val="32"/>
          <w:szCs w:val="32"/>
        </w:rPr>
        <w:t>随着市级监管工作职责进一步下放，市级监管部门主要负责省市重点工程和超限工程的质量监督，其余工程全部由各县区进行监督，目前我区</w:t>
      </w:r>
      <w:r>
        <w:rPr>
          <w:rFonts w:ascii="Times New Roman" w:hAnsi="Times New Roman" w:eastAsia="仿宋_GB2312"/>
          <w:sz w:val="32"/>
          <w:szCs w:val="32"/>
        </w:rPr>
        <w:t>现有质量监督人员难以满足工作量激剧增加的要求，给质量监督工作带来难度，有待进一步改进监管方式。</w:t>
      </w:r>
    </w:p>
    <w:p w14:paraId="6B7160C6">
      <w:pPr>
        <w:spacing w:line="560" w:lineRule="exact"/>
        <w:ind w:firstLine="680" w:firstLineChars="200"/>
        <w:rPr>
          <w:rFonts w:eastAsia="仿宋_GB2312"/>
          <w:kern w:val="0"/>
          <w:sz w:val="32"/>
          <w:szCs w:val="32"/>
        </w:rPr>
      </w:pPr>
      <w:r>
        <w:rPr>
          <w:rFonts w:hint="eastAsia" w:ascii="Times New Roman" w:hAnsi="Times New Roman" w:eastAsia="仿宋_GB2312"/>
          <w:kern w:val="0"/>
          <w:sz w:val="32"/>
          <w:szCs w:val="32"/>
        </w:rPr>
        <w:t>5.</w:t>
      </w:r>
      <w:r>
        <w:rPr>
          <w:rFonts w:ascii="Times New Roman" w:hAnsi="Times New Roman" w:eastAsia="仿宋_GB2312"/>
          <w:kern w:val="0"/>
          <w:sz w:val="32"/>
          <w:szCs w:val="32"/>
        </w:rPr>
        <w:t>施工队伍管理方面，部分企业存在管理不到位现象，一是部分施工企业项目经理等管理人员不到岗的现象时有发生；二是项目部主要管理人员配备不足，有的项目班子实际在现场管理人员与投标书承诺的不相符。</w:t>
      </w:r>
    </w:p>
    <w:p w14:paraId="1CC0F1C7">
      <w:pPr>
        <w:spacing w:line="560" w:lineRule="exact"/>
        <w:ind w:firstLine="680" w:firstLineChars="200"/>
        <w:rPr>
          <w:rFonts w:eastAsia="仿宋_GB2312"/>
          <w:kern w:val="0"/>
          <w:sz w:val="32"/>
          <w:szCs w:val="32"/>
        </w:rPr>
      </w:pPr>
      <w:r>
        <w:rPr>
          <w:rFonts w:hint="eastAsia" w:ascii="Times New Roman" w:hAnsi="Times New Roman" w:eastAsia="仿宋_GB2312"/>
          <w:kern w:val="0"/>
          <w:sz w:val="32"/>
          <w:szCs w:val="32"/>
        </w:rPr>
        <w:t>6.</w:t>
      </w:r>
      <w:r>
        <w:rPr>
          <w:rFonts w:ascii="Times New Roman" w:hAnsi="Times New Roman" w:eastAsia="仿宋_GB2312"/>
          <w:kern w:val="0"/>
          <w:sz w:val="32"/>
          <w:szCs w:val="32"/>
        </w:rPr>
        <w:t>监理公司方面，一是部分项目监理人员不到岗的现象时有发生；二是总监、总代变更手续不完善，项目部主要监理人员配备不足。</w:t>
      </w:r>
    </w:p>
    <w:p w14:paraId="204D60F4">
      <w:pPr>
        <w:spacing w:line="560" w:lineRule="exact"/>
        <w:ind w:firstLine="680" w:firstLineChars="200"/>
        <w:rPr>
          <w:rFonts w:eastAsia="仿宋_GB2312"/>
          <w:kern w:val="0"/>
          <w:sz w:val="32"/>
          <w:szCs w:val="32"/>
        </w:rPr>
      </w:pPr>
      <w:r>
        <w:rPr>
          <w:rFonts w:hint="eastAsia" w:ascii="Times New Roman" w:hAnsi="Times New Roman" w:eastAsia="仿宋_GB2312"/>
          <w:kern w:val="0"/>
          <w:sz w:val="32"/>
          <w:szCs w:val="32"/>
        </w:rPr>
        <w:t>7.</w:t>
      </w:r>
      <w:r>
        <w:rPr>
          <w:rFonts w:ascii="Times New Roman" w:hAnsi="Times New Roman" w:eastAsia="仿宋_GB2312"/>
          <w:kern w:val="0"/>
          <w:sz w:val="32"/>
          <w:szCs w:val="32"/>
        </w:rPr>
        <w:t>工程质量管理方面，质量管理仍然存在瑕疵。一是施工组织设计针对性不强；二是质量管理资料不完善，质量员、项目经理代签字的现象依然存在；三是一些工地同条件试块不按规范要求放置在施工现场。</w:t>
      </w:r>
    </w:p>
    <w:p w14:paraId="5E5D1960">
      <w:pPr>
        <w:spacing w:line="560" w:lineRule="exact"/>
        <w:ind w:firstLine="680" w:firstLineChars="200"/>
        <w:rPr>
          <w:rFonts w:eastAsia="仿宋_GB2312"/>
          <w:sz w:val="32"/>
          <w:szCs w:val="32"/>
        </w:rPr>
      </w:pPr>
      <w:r>
        <w:rPr>
          <w:rFonts w:hint="eastAsia" w:ascii="Times New Roman" w:hAnsi="Times New Roman" w:eastAsia="仿宋_GB2312"/>
          <w:sz w:val="32"/>
          <w:szCs w:val="32"/>
        </w:rPr>
        <w:t>8.</w:t>
      </w:r>
      <w:r>
        <w:rPr>
          <w:rFonts w:ascii="Times New Roman" w:hAnsi="Times New Roman" w:eastAsia="仿宋_GB2312"/>
          <w:sz w:val="32"/>
          <w:szCs w:val="32"/>
        </w:rPr>
        <w:t>工程质量通病普遍存在。一是有的项目钢筋绑扎不规范，不符合抗震规范要求；二是模板制作安装细部做法不够精细，造成蜂窝、麻面、起皮等问题普遍存在；三是砼浇筑过程中施工工人对钢筋踩踏严重造成钢筋变形，保护层厚度与设计要求有偏差。以上质量通病主要是由于工人在施工过程中不严格按工序施工，施工过程控制力度严重不足造成的。</w:t>
      </w:r>
      <w:r>
        <w:rPr>
          <w:rFonts w:hint="eastAsia" w:ascii="仿宋_GB2312" w:hAnsi="宋体" w:eastAsia="仿宋_GB2312" w:cs="宋体"/>
          <w:kern w:val="0"/>
          <w:sz w:val="32"/>
          <w:szCs w:val="32"/>
        </w:rPr>
        <w:t xml:space="preserve"> </w:t>
      </w:r>
    </w:p>
    <w:p w14:paraId="1664BC00">
      <w:pPr>
        <w:ind w:firstLine="680" w:firstLineChars="200"/>
        <w:rPr>
          <w:rFonts w:ascii="黑体" w:hAnsi="黑体" w:eastAsia="黑体" w:cs="黑体"/>
          <w:kern w:val="0"/>
          <w:sz w:val="32"/>
          <w:szCs w:val="32"/>
        </w:rPr>
      </w:pPr>
      <w:r>
        <w:rPr>
          <w:rFonts w:hint="eastAsia" w:ascii="楷体_GB2312" w:hAnsi="黑体" w:eastAsia="楷体_GB2312" w:cs="黑体"/>
          <w:b/>
          <w:kern w:val="0"/>
          <w:sz w:val="32"/>
          <w:szCs w:val="32"/>
        </w:rPr>
        <w:t>（四）</w:t>
      </w:r>
      <w:r>
        <w:rPr>
          <w:rFonts w:hint="eastAsia" w:ascii="黑体" w:hAnsi="黑体" w:eastAsia="黑体" w:cs="黑体"/>
          <w:kern w:val="0"/>
          <w:sz w:val="32"/>
          <w:szCs w:val="32"/>
        </w:rPr>
        <w:t>质量状况分析</w:t>
      </w:r>
    </w:p>
    <w:p w14:paraId="174C3581">
      <w:pPr>
        <w:ind w:firstLine="68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1.全区工程建设基本程序履行较好，从项目上看住宅工程项目、高层建筑项目、规模较大项目、好于其他项目；高资质、规模大的企业好于低资质、规模小的企业。</w:t>
      </w:r>
    </w:p>
    <w:p w14:paraId="56F3EB18">
      <w:pPr>
        <w:spacing w:line="600" w:lineRule="exact"/>
        <w:ind w:firstLine="68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质量监管，总体受控。绝大多数工程建设各方建立了质量监管机构，工程质量保证体系能有效运转，施工图审查能及时完成。根据工程特点能及时制定工程质量保证措施并跟踪实施，工程实体质量总体较好。现场检查的工程质量控制资料、工程安全和功能检验资料基本齐全和规范，建筑节能各项措施稳步推进。</w:t>
      </w:r>
    </w:p>
    <w:p w14:paraId="03BEC74D">
      <w:pPr>
        <w:spacing w:line="600" w:lineRule="exact"/>
        <w:ind w:firstLine="680" w:firstLineChars="200"/>
        <w:rPr>
          <w:rFonts w:hint="eastAsia" w:ascii="方正小标宋简体" w:hAnsi="黑体" w:eastAsia="方正小标宋简体"/>
          <w:b/>
          <w:color w:val="000000"/>
          <w:sz w:val="32"/>
          <w:szCs w:val="32"/>
        </w:rPr>
      </w:pPr>
      <w:r>
        <w:rPr>
          <w:rFonts w:hint="eastAsia" w:ascii="方正小标宋简体" w:hAnsi="宋体" w:eastAsia="方正小标宋简体" w:cs="宋体"/>
          <w:b/>
          <w:color w:val="000000"/>
          <w:sz w:val="32"/>
          <w:szCs w:val="32"/>
        </w:rPr>
        <w:t xml:space="preserve">    二、水利工程质量状况</w:t>
      </w:r>
    </w:p>
    <w:p w14:paraId="477AC0CA">
      <w:pPr>
        <w:pStyle w:val="11"/>
        <w:widowControl/>
        <w:shd w:val="clear" w:color="auto" w:fill="FFFFFF"/>
        <w:spacing w:before="0" w:beforeAutospacing="0" w:after="0" w:afterAutospacing="0" w:line="582" w:lineRule="exact"/>
        <w:ind w:left="160" w:firstLine="340" w:firstLineChars="100"/>
        <w:rPr>
          <w:rFonts w:hint="eastAsia" w:ascii="楷体_GB2312" w:hAnsi="黑体" w:eastAsia="楷体_GB2312" w:cs="黑体"/>
          <w:bCs/>
          <w:color w:val="000000"/>
          <w:sz w:val="32"/>
          <w:szCs w:val="32"/>
        </w:rPr>
      </w:pPr>
      <w:r>
        <w:rPr>
          <w:rFonts w:hint="eastAsia" w:ascii="楷体_GB2312" w:hAnsi="黑体" w:eastAsia="楷体_GB2312" w:cs="黑体"/>
          <w:bCs/>
          <w:color w:val="000000"/>
          <w:sz w:val="32"/>
          <w:szCs w:val="32"/>
          <w:shd w:val="clear" w:color="auto" w:fill="FFFFFF"/>
        </w:rPr>
        <w:t>（一）基本情况</w:t>
      </w:r>
    </w:p>
    <w:p w14:paraId="002B505F">
      <w:pPr>
        <w:pStyle w:val="11"/>
        <w:widowControl/>
        <w:shd w:val="clear" w:color="auto" w:fill="FFFFFF"/>
        <w:spacing w:before="0" w:beforeAutospacing="0" w:after="0" w:afterAutospacing="0" w:line="582" w:lineRule="exact"/>
        <w:ind w:firstLine="680" w:firstLineChars="200"/>
        <w:jc w:val="both"/>
        <w:rPr>
          <w:rFonts w:ascii="Times New Roman" w:hAnsi="Times New Roman" w:eastAsia="仿宋_GB2312" w:cs="仿宋"/>
          <w:bCs/>
          <w:color w:val="000000"/>
          <w:sz w:val="32"/>
          <w:szCs w:val="32"/>
        </w:rPr>
      </w:pPr>
      <w:r>
        <w:rPr>
          <w:rFonts w:hint="eastAsia" w:ascii="Times New Roman" w:hAnsi="Times New Roman" w:eastAsia="仿宋_GB2312" w:cs="仿宋"/>
          <w:color w:val="000000"/>
          <w:sz w:val="32"/>
          <w:szCs w:val="32"/>
          <w:shd w:val="clear" w:color="auto" w:fill="FFFFFF"/>
        </w:rPr>
        <w:t>年五华区水务局实施了5个项目，分别是</w:t>
      </w:r>
      <w:r>
        <w:rPr>
          <w:rFonts w:hint="eastAsia" w:ascii="Times New Roman" w:hAnsi="Times New Roman" w:eastAsia="仿宋_GB2312" w:cs="仿宋"/>
          <w:color w:val="000000"/>
          <w:sz w:val="32"/>
          <w:szCs w:val="32"/>
        </w:rPr>
        <w:t>年农村饮水安全巩固提升工程（查缺补漏），自卫村水库、红坡水库水源地保护提升工程,陡普鲁箐、姚家冲、新挑坝塘除险加固及磨刀箐新建水池项目,龙庆社区头村二组及龙庆小学饮水管网维护养护、年农村饮水安全巩固提升工程。</w:t>
      </w:r>
    </w:p>
    <w:p w14:paraId="1CD2CACD">
      <w:pPr>
        <w:pStyle w:val="11"/>
        <w:widowControl/>
        <w:shd w:val="clear" w:color="auto" w:fill="FFFFFF"/>
        <w:spacing w:before="0" w:beforeAutospacing="0" w:after="0" w:afterAutospacing="0" w:line="582" w:lineRule="exact"/>
        <w:ind w:firstLine="666" w:firstLineChars="196"/>
        <w:jc w:val="both"/>
        <w:rPr>
          <w:rFonts w:hint="eastAsia" w:ascii="楷体_GB2312" w:hAnsi="黑体" w:eastAsia="楷体_GB2312" w:cs="黑体"/>
          <w:bCs/>
          <w:color w:val="000000"/>
          <w:sz w:val="32"/>
          <w:szCs w:val="32"/>
        </w:rPr>
      </w:pPr>
      <w:r>
        <w:rPr>
          <w:rFonts w:hint="eastAsia" w:ascii="楷体_GB2312" w:hAnsi="黑体" w:eastAsia="楷体_GB2312" w:cs="黑体"/>
          <w:bCs/>
          <w:color w:val="000000"/>
          <w:sz w:val="32"/>
          <w:szCs w:val="32"/>
          <w:shd w:val="clear" w:color="auto" w:fill="FFFFFF"/>
        </w:rPr>
        <w:t>（二）工程质量分析评价</w:t>
      </w:r>
    </w:p>
    <w:p w14:paraId="63DE837F">
      <w:pPr>
        <w:pStyle w:val="11"/>
        <w:widowControl/>
        <w:shd w:val="clear" w:color="auto" w:fill="FFFFFF"/>
        <w:spacing w:before="0" w:beforeAutospacing="0" w:after="0" w:afterAutospacing="0" w:line="582" w:lineRule="exact"/>
        <w:ind w:firstLine="680" w:firstLineChars="200"/>
        <w:jc w:val="both"/>
        <w:rPr>
          <w:rFonts w:ascii="Times New Roman" w:hAnsi="Times New Roman" w:eastAsia="仿宋_GB2312" w:cs="仿宋"/>
          <w:color w:val="000000"/>
          <w:sz w:val="32"/>
          <w:szCs w:val="32"/>
          <w:shd w:val="clear" w:color="auto" w:fill="FFFFFF"/>
        </w:rPr>
      </w:pPr>
      <w:r>
        <w:rPr>
          <w:rFonts w:hint="eastAsia" w:ascii="Times New Roman" w:hAnsi="Times New Roman" w:eastAsia="仿宋_GB2312" w:cs="仿宋"/>
          <w:color w:val="000000"/>
          <w:sz w:val="32"/>
          <w:szCs w:val="32"/>
          <w:shd w:val="clear" w:color="auto" w:fill="FFFFFF"/>
        </w:rPr>
        <w:t>在水利工程建设过程中，工程建设严格按照工程基本建设程序相关要求严格建设管理，强化质量监管，确保工程充分发挥效益，水务局委托第三方对</w:t>
      </w:r>
      <w:r>
        <w:rPr>
          <w:rFonts w:hint="eastAsia" w:ascii="Times New Roman" w:hAnsi="Times New Roman" w:eastAsia="仿宋_GB2312" w:cs="仿宋"/>
          <w:color w:val="000000"/>
          <w:sz w:val="32"/>
          <w:szCs w:val="32"/>
        </w:rPr>
        <w:t>,陡普鲁箐、姚家冲、新挑坝塘除险加固及磨刀箐新建水池项目、年农村饮水安全巩固提升工程</w:t>
      </w:r>
      <w:r>
        <w:rPr>
          <w:rFonts w:hint="eastAsia" w:ascii="Times New Roman" w:hAnsi="Times New Roman" w:eastAsia="仿宋_GB2312" w:cs="仿宋"/>
          <w:color w:val="000000"/>
          <w:sz w:val="32"/>
          <w:szCs w:val="32"/>
          <w:shd w:val="clear" w:color="auto" w:fill="FFFFFF"/>
        </w:rPr>
        <w:t>进行质量检测，从硬件上保证工程检查检测的真实性、准确性，共检测42余件，合格率100%。水务局质量监督检查站组织人员对工程的隐蔽工程进行了检查25次，合格率100%，参加分部工程验收、外观质量评定、单位工程验收和竣工验收，查阅工程档案，核定单元工程质量评定验收合格率100%；分部工程质量评定验收合格率100%；单元工程施工质量验收评定合格率100%。通过综合分析评定后，区水务局今年水利工程质量考核达到90分以上，通过与往年对比，总体来说，年五华区水利工程较2019年稳步提升。</w:t>
      </w:r>
    </w:p>
    <w:p w14:paraId="07868E7A">
      <w:pPr>
        <w:pStyle w:val="11"/>
        <w:widowControl/>
        <w:shd w:val="clear" w:color="auto" w:fill="FFFFFF"/>
        <w:spacing w:before="0" w:beforeAutospacing="0" w:after="0" w:afterAutospacing="0" w:line="582" w:lineRule="exact"/>
        <w:ind w:firstLine="680" w:firstLineChars="200"/>
        <w:jc w:val="both"/>
        <w:rPr>
          <w:rFonts w:hint="eastAsia" w:ascii="楷体_GB2312" w:hAnsi="黑体" w:eastAsia="楷体_GB2312" w:cs="黑体"/>
          <w:bCs/>
          <w:color w:val="000000"/>
          <w:sz w:val="32"/>
          <w:szCs w:val="32"/>
        </w:rPr>
      </w:pPr>
      <w:r>
        <w:rPr>
          <w:rFonts w:hint="eastAsia" w:ascii="楷体_GB2312" w:hAnsi="黑体" w:eastAsia="楷体_GB2312" w:cs="黑体"/>
          <w:bCs/>
          <w:color w:val="000000"/>
          <w:sz w:val="32"/>
          <w:szCs w:val="32"/>
          <w:shd w:val="clear" w:color="auto" w:fill="FFFFFF"/>
        </w:rPr>
        <w:t>（三）工程质量事故和处理情况</w:t>
      </w:r>
    </w:p>
    <w:p w14:paraId="0840C133">
      <w:pPr>
        <w:pStyle w:val="11"/>
        <w:widowControl/>
        <w:shd w:val="clear" w:color="auto" w:fill="FFFFFF"/>
        <w:spacing w:before="0" w:beforeAutospacing="0" w:after="0" w:afterAutospacing="0" w:line="582" w:lineRule="exact"/>
        <w:ind w:firstLine="645"/>
        <w:jc w:val="both"/>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shd w:val="clear" w:color="auto" w:fill="FFFFFF"/>
        </w:rPr>
        <w:t>年五华区所有在建水利工程项目均未发生任何工程质量事故。</w:t>
      </w:r>
    </w:p>
    <w:p w14:paraId="72FFEDE2">
      <w:pPr>
        <w:pStyle w:val="11"/>
        <w:widowControl/>
        <w:shd w:val="clear" w:color="auto" w:fill="FFFFFF"/>
        <w:spacing w:before="0" w:beforeAutospacing="0" w:after="0" w:afterAutospacing="0" w:line="582" w:lineRule="exact"/>
        <w:ind w:firstLine="680" w:firstLineChars="200"/>
        <w:jc w:val="both"/>
        <w:rPr>
          <w:rFonts w:hint="eastAsia" w:ascii="楷体_GB2312" w:hAnsi="黑体" w:eastAsia="楷体_GB2312" w:cs="黑体"/>
          <w:bCs/>
          <w:color w:val="000000"/>
          <w:sz w:val="32"/>
          <w:szCs w:val="32"/>
        </w:rPr>
      </w:pPr>
      <w:r>
        <w:rPr>
          <w:rFonts w:hint="eastAsia" w:ascii="楷体_GB2312" w:hAnsi="黑体" w:eastAsia="楷体_GB2312" w:cs="黑体"/>
          <w:bCs/>
          <w:color w:val="000000"/>
          <w:sz w:val="32"/>
          <w:szCs w:val="32"/>
          <w:shd w:val="clear" w:color="auto" w:fill="FFFFFF"/>
        </w:rPr>
        <w:t>（四）工程建设质量存在的主要问题</w:t>
      </w:r>
    </w:p>
    <w:p w14:paraId="211A01C7">
      <w:pPr>
        <w:pStyle w:val="11"/>
        <w:widowControl/>
        <w:shd w:val="clear" w:color="auto" w:fill="FFFFFF"/>
        <w:spacing w:before="0" w:beforeAutospacing="0" w:after="0" w:afterAutospacing="0" w:line="582" w:lineRule="exact"/>
        <w:ind w:firstLine="645"/>
        <w:jc w:val="both"/>
        <w:rPr>
          <w:rFonts w:hint="eastAsia" w:ascii="Times New Roman" w:hAnsi="Times New Roman" w:eastAsia="仿宋_GB2312" w:cs="仿宋"/>
          <w:color w:val="000000"/>
          <w:sz w:val="32"/>
          <w:szCs w:val="30"/>
          <w:shd w:val="clear" w:color="auto" w:fill="FFFFFF"/>
        </w:rPr>
      </w:pPr>
      <w:r>
        <w:rPr>
          <w:rFonts w:hint="eastAsia" w:ascii="Times New Roman" w:hAnsi="Times New Roman" w:eastAsia="仿宋_GB2312" w:cs="仿宋"/>
          <w:color w:val="000000"/>
          <w:sz w:val="32"/>
          <w:szCs w:val="32"/>
          <w:shd w:val="clear" w:color="auto" w:fill="FFFFFF"/>
        </w:rPr>
        <w:t>区水务局实施的水利工程大部分位于西翥街道辖区，建设工程项目点多面广，</w:t>
      </w:r>
      <w:r>
        <w:rPr>
          <w:rFonts w:hint="eastAsia" w:ascii="Times New Roman" w:hAnsi="Times New Roman" w:eastAsia="仿宋_GB2312" w:cs="仿宋"/>
          <w:color w:val="000000"/>
          <w:sz w:val="32"/>
          <w:szCs w:val="30"/>
          <w:shd w:val="clear" w:color="auto" w:fill="FFFFFF"/>
        </w:rPr>
        <w:t>随着大规模开工建设，工程建设项目法人、监理单位、施工单位专业技术人员不足，工程质量管理力量薄弱，施工单位自检、监理单位平行检测数目存在不齐全、不及时。</w:t>
      </w:r>
    </w:p>
    <w:p w14:paraId="4F8164D2">
      <w:pPr>
        <w:pStyle w:val="11"/>
        <w:widowControl/>
        <w:shd w:val="clear" w:color="auto" w:fill="FFFFFF"/>
        <w:spacing w:before="0" w:beforeAutospacing="0" w:after="0" w:afterAutospacing="0" w:line="582" w:lineRule="exact"/>
        <w:ind w:firstLine="645"/>
        <w:jc w:val="both"/>
        <w:rPr>
          <w:rFonts w:hint="eastAsia" w:ascii="楷体_GB2312" w:hAnsi="黑体" w:eastAsia="楷体_GB2312" w:cs="黑体"/>
          <w:bCs/>
          <w:color w:val="000000"/>
          <w:sz w:val="32"/>
          <w:szCs w:val="32"/>
        </w:rPr>
      </w:pPr>
      <w:r>
        <w:rPr>
          <w:rFonts w:hint="eastAsia" w:ascii="楷体_GB2312" w:hAnsi="黑体" w:eastAsia="楷体_GB2312" w:cs="黑体"/>
          <w:bCs/>
          <w:color w:val="000000"/>
          <w:sz w:val="32"/>
          <w:szCs w:val="32"/>
          <w:shd w:val="clear" w:color="auto" w:fill="FFFFFF"/>
        </w:rPr>
        <w:t>（五）提高工程质量水平的措施和建议</w:t>
      </w:r>
    </w:p>
    <w:p w14:paraId="665EC721">
      <w:pPr>
        <w:pStyle w:val="11"/>
        <w:widowControl/>
        <w:shd w:val="clear" w:color="auto" w:fill="FFFFFF"/>
        <w:spacing w:before="0" w:beforeAutospacing="0" w:after="0" w:afterAutospacing="0" w:line="582" w:lineRule="exact"/>
        <w:ind w:firstLine="645"/>
        <w:jc w:val="both"/>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shd w:val="clear" w:color="auto" w:fill="FFFFFF"/>
        </w:rPr>
        <w:t>1.落实参建单位各方责任。依据合同对项目建设实施有效管理，切实履行对合同规定的履约要求、质量标准的监督检查职责。对于质量问题，要举一反三，进一步全面排查，逐一制定整改措施、时限和参建各方的责任人，进行有效整改。</w:t>
      </w:r>
    </w:p>
    <w:p w14:paraId="10CA719B">
      <w:pPr>
        <w:tabs>
          <w:tab w:val="left" w:pos="711"/>
        </w:tabs>
        <w:spacing w:line="582" w:lineRule="exact"/>
        <w:ind w:firstLine="680" w:firstLineChars="200"/>
        <w:rPr>
          <w:rFonts w:hint="eastAsia" w:ascii="Times New Roman" w:hAnsi="Times New Roman" w:eastAsia="仿宋_GB2312" w:cs="仿宋"/>
          <w:color w:val="000000"/>
          <w:sz w:val="32"/>
          <w:szCs w:val="32"/>
          <w:shd w:val="clear" w:color="auto" w:fill="FFFFFF"/>
        </w:rPr>
      </w:pPr>
      <w:r>
        <w:rPr>
          <w:rFonts w:hint="eastAsia" w:ascii="Times New Roman" w:hAnsi="Times New Roman" w:eastAsia="仿宋_GB2312" w:cs="仿宋"/>
          <w:color w:val="000000"/>
          <w:sz w:val="32"/>
          <w:szCs w:val="32"/>
          <w:shd w:val="clear" w:color="auto" w:fill="FFFFFF"/>
        </w:rPr>
        <w:t>2.加强对工程全过程管理。对前阶段质量问题没有得到有效整改的，后续又暴露出新问题的“屡改屡犯”现象，要依据合同规定，严格追究相关单位和责任人的责任，以提高从业人员的责任感，切实加强质量管理工作。</w:t>
      </w:r>
    </w:p>
    <w:p w14:paraId="558ACEED">
      <w:pPr>
        <w:numPr>
          <w:ilvl w:val="0"/>
          <w:numId w:val="4"/>
        </w:numPr>
        <w:jc w:val="left"/>
        <w:rPr>
          <w:rFonts w:hint="eastAsia" w:ascii="方正小标宋简体" w:hAnsi="仿宋_GB2312" w:eastAsia="方正小标宋简体" w:cs="仿宋_GB2312"/>
          <w:color w:val="000000"/>
          <w:sz w:val="32"/>
          <w:szCs w:val="32"/>
        </w:rPr>
      </w:pPr>
      <w:r>
        <w:rPr>
          <w:rFonts w:hint="eastAsia" w:ascii="方正小标宋简体" w:hAnsi="仿宋_GB2312" w:eastAsia="方正小标宋简体" w:cs="仿宋_GB2312"/>
          <w:color w:val="000000"/>
          <w:sz w:val="32"/>
          <w:szCs w:val="32"/>
        </w:rPr>
        <w:t>公路工程质量状况</w:t>
      </w:r>
    </w:p>
    <w:p w14:paraId="3EF01107">
      <w:pPr>
        <w:autoSpaceDN w:val="0"/>
        <w:adjustRightInd w:val="0"/>
        <w:ind w:firstLine="680" w:firstLineChars="200"/>
        <w:rPr>
          <w:rFonts w:hint="eastAsia" w:ascii="楷体_GB2312" w:eastAsia="楷体_GB2312"/>
          <w:color w:val="000000"/>
          <w:sz w:val="32"/>
          <w:szCs w:val="32"/>
        </w:rPr>
      </w:pPr>
      <w:r>
        <w:rPr>
          <w:rFonts w:hint="eastAsia" w:ascii="楷体_GB2312" w:hAnsi="Times New Roman" w:eastAsia="楷体_GB2312"/>
          <w:color w:val="000000"/>
          <w:sz w:val="32"/>
          <w:szCs w:val="32"/>
        </w:rPr>
        <w:t>年，五华区公路工程质量监督站共受理公路养护工程项目3项，较上一年增加1项，监督覆盖率100%。从管辖权属看，区管项目共计3项，同比增加1项。从项目类型看，农村公路新建公路工程项目共计0项，同比减少2项，农村公路养护工程项目共计3项，同比增加3项。通过近2年数据分析，</w:t>
      </w:r>
      <w:r>
        <w:rPr>
          <w:rFonts w:hint="eastAsia" w:ascii="楷体_GB2312" w:eastAsia="楷体_GB2312"/>
          <w:color w:val="000000"/>
          <w:sz w:val="32"/>
          <w:szCs w:val="32"/>
        </w:rPr>
        <w:t>五华区今后公路工程建设的发展趋势：</w:t>
      </w:r>
      <w:r>
        <w:rPr>
          <w:rFonts w:hint="eastAsia" w:ascii="楷体_GB2312" w:hAnsi="Times New Roman" w:eastAsia="楷体_GB2312"/>
          <w:color w:val="000000"/>
          <w:sz w:val="32"/>
          <w:szCs w:val="32"/>
        </w:rPr>
        <w:t>新建工程数量</w:t>
      </w:r>
      <w:r>
        <w:rPr>
          <w:rFonts w:hint="eastAsia" w:ascii="楷体_GB2312" w:eastAsia="楷体_GB2312"/>
          <w:color w:val="000000"/>
          <w:sz w:val="32"/>
          <w:szCs w:val="32"/>
        </w:rPr>
        <w:t>将逐渐</w:t>
      </w:r>
      <w:r>
        <w:rPr>
          <w:rFonts w:hint="eastAsia" w:ascii="楷体_GB2312" w:hAnsi="Times New Roman" w:eastAsia="楷体_GB2312"/>
          <w:color w:val="000000"/>
          <w:sz w:val="32"/>
          <w:szCs w:val="32"/>
        </w:rPr>
        <w:t>减少，</w:t>
      </w:r>
      <w:r>
        <w:rPr>
          <w:rFonts w:hint="eastAsia" w:ascii="楷体_GB2312" w:eastAsia="楷体_GB2312"/>
          <w:color w:val="000000"/>
          <w:sz w:val="32"/>
          <w:szCs w:val="32"/>
        </w:rPr>
        <w:t>改建、扩建、大中修等</w:t>
      </w:r>
      <w:r>
        <w:rPr>
          <w:rFonts w:hint="eastAsia" w:ascii="楷体_GB2312" w:hAnsi="Times New Roman" w:eastAsia="楷体_GB2312"/>
          <w:color w:val="000000"/>
          <w:sz w:val="32"/>
          <w:szCs w:val="32"/>
        </w:rPr>
        <w:t>公路养护工程数量</w:t>
      </w:r>
      <w:r>
        <w:rPr>
          <w:rFonts w:hint="eastAsia" w:ascii="楷体_GB2312" w:eastAsia="楷体_GB2312"/>
          <w:color w:val="000000"/>
          <w:sz w:val="32"/>
          <w:szCs w:val="32"/>
        </w:rPr>
        <w:t>可能</w:t>
      </w:r>
      <w:r>
        <w:rPr>
          <w:rFonts w:hint="eastAsia" w:ascii="楷体_GB2312" w:hAnsi="Times New Roman" w:eastAsia="楷体_GB2312"/>
          <w:color w:val="000000"/>
          <w:sz w:val="32"/>
          <w:szCs w:val="32"/>
        </w:rPr>
        <w:t>增多</w:t>
      </w:r>
      <w:r>
        <w:rPr>
          <w:rFonts w:hint="eastAsia" w:ascii="楷体_GB2312" w:eastAsia="楷体_GB2312"/>
          <w:color w:val="000000"/>
          <w:sz w:val="32"/>
          <w:szCs w:val="32"/>
        </w:rPr>
        <w:t>。</w:t>
      </w:r>
    </w:p>
    <w:p w14:paraId="3D1E47EB">
      <w:pPr>
        <w:rPr>
          <w:rFonts w:ascii="楷体_GB2312" w:eastAsia="楷体_GB2312"/>
          <w:color w:val="000000"/>
          <w:szCs w:val="32"/>
        </w:rPr>
      </w:pPr>
      <w:r>
        <w:rPr>
          <w:color w:val="000000"/>
          <w:szCs w:val="32"/>
          <w:lang/>
        </w:rPr>
        <w:drawing>
          <wp:inline distT="0" distB="0" distL="114300" distR="114300">
            <wp:extent cx="5562600" cy="3851910"/>
            <wp:effectExtent l="4445" t="4445" r="14605" b="10795"/>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1A4DEC">
      <w:pPr>
        <w:autoSpaceDN w:val="0"/>
        <w:adjustRightInd w:val="0"/>
        <w:rPr>
          <w:color w:val="000000"/>
          <w:szCs w:val="32"/>
        </w:rPr>
      </w:pPr>
      <w:r>
        <w:rPr>
          <w:color w:val="000000"/>
          <w:szCs w:val="32"/>
          <w:lang/>
        </w:rPr>
        <w:drawing>
          <wp:inline distT="0" distB="0" distL="114300" distR="114300">
            <wp:extent cx="4887595" cy="3097530"/>
            <wp:effectExtent l="4445" t="4445" r="22860" b="22225"/>
            <wp:docPr id="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A3B7EA">
      <w:pPr>
        <w:autoSpaceDN w:val="0"/>
        <w:adjustRightInd w:val="0"/>
        <w:ind w:firstLine="680" w:firstLineChars="200"/>
        <w:rPr>
          <w:rFonts w:hint="eastAsia" w:ascii="仿宋_GB2312" w:eastAsia="仿宋_GB2312"/>
          <w:color w:val="000000"/>
          <w:sz w:val="32"/>
          <w:szCs w:val="32"/>
        </w:rPr>
      </w:pPr>
      <w:r>
        <w:rPr>
          <w:rFonts w:hint="eastAsia" w:ascii="仿宋_GB2312" w:hAnsi="Times New Roman" w:eastAsia="仿宋_GB2312"/>
          <w:color w:val="000000"/>
          <w:sz w:val="32"/>
          <w:szCs w:val="32"/>
        </w:rPr>
        <w:t>2020年，五华区公路建设工程质量情况总体稳定，质量监督管理体系运转正常，区级主管项目未发生质量责任事故，全年共办理公路工程质量监督手续3项，新建公路工程质量评定备案0项，养护工程质量评定备案3项，竣（交）工质量评定合格率100%。</w:t>
      </w:r>
    </w:p>
    <w:p w14:paraId="5B8B4CEA">
      <w:pPr>
        <w:numPr>
          <w:ilvl w:val="0"/>
          <w:numId w:val="5"/>
        </w:numPr>
        <w:autoSpaceDN w:val="0"/>
        <w:adjustRightInd w:val="0"/>
        <w:rPr>
          <w:rFonts w:eastAsia="黑体"/>
          <w:color w:val="000000"/>
          <w:sz w:val="32"/>
          <w:szCs w:val="32"/>
        </w:rPr>
      </w:pPr>
      <w:r>
        <w:rPr>
          <w:rFonts w:ascii="Times New Roman" w:hAnsi="Times New Roman" w:eastAsia="黑体"/>
          <w:color w:val="000000"/>
          <w:sz w:val="32"/>
          <w:szCs w:val="32"/>
        </w:rPr>
        <w:t>质量监督工作开展情况</w:t>
      </w:r>
    </w:p>
    <w:p w14:paraId="5FD7A70B">
      <w:pPr>
        <w:autoSpaceDN w:val="0"/>
        <w:adjustRightInd w:val="0"/>
        <w:ind w:left="105" w:firstLine="680" w:firstLineChars="200"/>
        <w:rPr>
          <w:rFonts w:eastAsia="楷体"/>
          <w:color w:val="000000"/>
          <w:sz w:val="32"/>
          <w:szCs w:val="32"/>
        </w:rPr>
      </w:pPr>
      <w:r>
        <w:rPr>
          <w:rFonts w:hint="eastAsia" w:ascii="Times New Roman" w:hAnsi="Times New Roman" w:eastAsia="楷体"/>
          <w:color w:val="000000"/>
          <w:sz w:val="32"/>
          <w:szCs w:val="32"/>
        </w:rPr>
        <w:t>1.</w:t>
      </w:r>
      <w:r>
        <w:rPr>
          <w:rFonts w:ascii="Times New Roman" w:hAnsi="Times New Roman" w:eastAsia="楷体"/>
          <w:color w:val="000000"/>
          <w:sz w:val="32"/>
          <w:szCs w:val="32"/>
        </w:rPr>
        <w:t>监督检查工作情况</w:t>
      </w:r>
    </w:p>
    <w:p w14:paraId="7880599F">
      <w:pPr>
        <w:autoSpaceDN w:val="0"/>
        <w:adjustRightInd w:val="0"/>
        <w:ind w:firstLine="680" w:firstLineChars="200"/>
        <w:rPr>
          <w:rFonts w:hint="eastAsia" w:ascii="仿宋_GB2312" w:eastAsia="仿宋_GB2312"/>
          <w:color w:val="000000"/>
          <w:sz w:val="32"/>
          <w:szCs w:val="32"/>
        </w:rPr>
      </w:pPr>
      <w:r>
        <w:rPr>
          <w:rFonts w:hint="eastAsia" w:ascii="仿宋_GB2312" w:hAnsi="Times New Roman" w:eastAsia="仿宋_GB2312"/>
          <w:color w:val="000000"/>
          <w:sz w:val="32"/>
          <w:szCs w:val="32"/>
        </w:rPr>
        <w:t>2020年，五华区公路工程质量监督站组织质量监督检查3次，竣（交）工质量鉴定3次，出动执法人员12人次，针对施工现场质量管理不到位等问题，下发整改通知书3份。抽查工程实体质量</w:t>
      </w:r>
      <w:r>
        <w:rPr>
          <w:rFonts w:hint="eastAsia" w:ascii="仿宋_GB2312" w:eastAsia="仿宋_GB2312"/>
          <w:color w:val="000000"/>
          <w:sz w:val="32"/>
          <w:szCs w:val="32"/>
        </w:rPr>
        <w:t>整体能够</w:t>
      </w:r>
      <w:r>
        <w:rPr>
          <w:rFonts w:hint="eastAsia" w:ascii="仿宋_GB2312" w:hAnsi="Times New Roman" w:eastAsia="仿宋_GB2312"/>
          <w:color w:val="000000"/>
          <w:sz w:val="32"/>
          <w:szCs w:val="32"/>
        </w:rPr>
        <w:t>满足标准、规范要求。</w:t>
      </w:r>
    </w:p>
    <w:p w14:paraId="60246F83">
      <w:pPr>
        <w:autoSpaceDN w:val="0"/>
        <w:adjustRightInd w:val="0"/>
        <w:ind w:firstLine="680" w:firstLineChars="200"/>
        <w:rPr>
          <w:rFonts w:hint="eastAsia" w:ascii="楷体_GB2312" w:eastAsia="楷体_GB2312"/>
          <w:color w:val="000000"/>
          <w:sz w:val="32"/>
          <w:szCs w:val="32"/>
        </w:rPr>
      </w:pPr>
      <w:r>
        <w:rPr>
          <w:rFonts w:hint="eastAsia" w:ascii="楷体_GB2312" w:hAnsi="Times New Roman" w:eastAsia="楷体_GB2312"/>
          <w:color w:val="000000"/>
          <w:sz w:val="32"/>
          <w:szCs w:val="32"/>
        </w:rPr>
        <w:t>2.质量抽检结果分析</w:t>
      </w:r>
    </w:p>
    <w:p w14:paraId="587ADB87">
      <w:pPr>
        <w:autoSpaceDN w:val="0"/>
        <w:adjustRightInd w:val="0"/>
        <w:ind w:firstLine="680" w:firstLineChars="200"/>
        <w:rPr>
          <w:rFonts w:hint="eastAsia" w:ascii="仿宋_GB2312" w:eastAsia="仿宋_GB2312"/>
          <w:color w:val="000000"/>
          <w:sz w:val="32"/>
          <w:szCs w:val="32"/>
        </w:rPr>
      </w:pPr>
      <w:r>
        <w:rPr>
          <w:rFonts w:hint="eastAsia" w:ascii="仿宋_GB2312" w:hAnsi="Times New Roman" w:eastAsia="仿宋_GB2312"/>
          <w:color w:val="000000"/>
          <w:sz w:val="32"/>
          <w:szCs w:val="32"/>
        </w:rPr>
        <w:t>监督抽检是质量监督机构在监督检查中针对工程实体质量的薄弱环节进行随机抽查，用一次合格率，即抽检的合格点数占总的抽检点数的百分比，衡量在建工程质量状况。</w:t>
      </w:r>
    </w:p>
    <w:p w14:paraId="35DF8ECD">
      <w:pPr>
        <w:autoSpaceDN w:val="0"/>
        <w:adjustRightInd w:val="0"/>
        <w:ind w:firstLine="680" w:firstLineChars="200"/>
        <w:rPr>
          <w:rFonts w:hint="eastAsia" w:ascii="仿宋_GB2312" w:eastAsia="仿宋_GB2312"/>
          <w:color w:val="000000"/>
          <w:sz w:val="32"/>
          <w:szCs w:val="32"/>
        </w:rPr>
      </w:pPr>
      <w:r>
        <w:rPr>
          <w:rFonts w:hint="eastAsia" w:ascii="仿宋_GB2312" w:hAnsi="Times New Roman" w:eastAsia="仿宋_GB2312"/>
          <w:color w:val="000000"/>
          <w:sz w:val="32"/>
          <w:szCs w:val="32"/>
        </w:rPr>
        <w:t>2020年，共监督抽检1233点（组），合格1181点（组），总体合格率为95.8%。监督抽检主要针对公路养护工程项目中路基、路面、交安设施等单位工程中涉及质量的18项指标。其中路基工程抽查点数360点（组），合格351点（组），合格率97.5%；路面工程抽查204点（组），合格200点（组），合格率98%；交安设施抽查669点（组），合格630点（组），合格率94.2%。</w:t>
      </w:r>
    </w:p>
    <w:p w14:paraId="2C150CC7">
      <w:pPr>
        <w:autoSpaceDN w:val="0"/>
        <w:adjustRightInd w:val="0"/>
        <w:rPr>
          <w:color w:val="000000"/>
          <w:szCs w:val="32"/>
        </w:rPr>
      </w:pPr>
      <w:r>
        <w:rPr>
          <w:color w:val="000000"/>
          <w:szCs w:val="32"/>
          <w:lang/>
        </w:rPr>
        <w:drawing>
          <wp:inline distT="0" distB="0" distL="114300" distR="114300">
            <wp:extent cx="5080635" cy="3810000"/>
            <wp:effectExtent l="4445" t="4445" r="20320" b="14605"/>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8014E1">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color w:val="000000"/>
          <w:sz w:val="32"/>
          <w:szCs w:val="32"/>
        </w:rPr>
        <w:t>从图3可以看出，工程总体抽检合格率较2020年有明显提</w:t>
      </w:r>
      <w:r>
        <w:rPr>
          <w:rFonts w:hint="eastAsia" w:ascii="仿宋_GB2312" w:hAnsi="Times New Roman" w:eastAsia="仿宋_GB2312"/>
          <w:sz w:val="32"/>
          <w:szCs w:val="32"/>
        </w:rPr>
        <w:t>升，其中路基工程、路面工程抽检合格率较2020年提升较明显，但交安设施合格率较2019年下降了1.7%，合格率为94.2%。</w:t>
      </w:r>
    </w:p>
    <w:p w14:paraId="462E8C95">
      <w:pPr>
        <w:autoSpaceDN w:val="0"/>
        <w:adjustRightInd w:val="0"/>
        <w:ind w:firstLine="750" w:firstLineChars="250"/>
        <w:rPr>
          <w:rFonts w:hint="eastAsia" w:ascii="仿宋_GB2312" w:eastAsia="仿宋_GB2312"/>
          <w:sz w:val="28"/>
          <w:szCs w:val="28"/>
        </w:rPr>
      </w:pPr>
      <w:r>
        <w:rPr>
          <w:rFonts w:hint="eastAsia" w:ascii="仿宋_GB2312" w:hAnsi="Times New Roman" w:eastAsia="仿宋_GB2312"/>
          <w:sz w:val="28"/>
          <w:szCs w:val="28"/>
        </w:rPr>
        <w:t>（1）路基工程</w:t>
      </w:r>
    </w:p>
    <w:p w14:paraId="5F3FB6A2">
      <w:pPr>
        <w:autoSpaceDN w:val="0"/>
        <w:adjustRightInd w:val="0"/>
        <w:ind w:left="105" w:firstLine="600" w:firstLineChars="200"/>
        <w:rPr>
          <w:rFonts w:hint="eastAsia" w:ascii="仿宋_GB2312" w:eastAsia="仿宋_GB2312"/>
          <w:sz w:val="28"/>
          <w:szCs w:val="28"/>
        </w:rPr>
      </w:pPr>
      <w:r>
        <w:rPr>
          <w:rFonts w:hint="eastAsia" w:ascii="仿宋_GB2312" w:hAnsi="Times New Roman" w:eastAsia="仿宋_GB2312"/>
          <w:sz w:val="28"/>
          <w:szCs w:val="28"/>
        </w:rPr>
        <w:t>路基工程主要指标合格率如图4所示，混凝土采用商品混凝土，机械设备投入充分，质量能够得到较大的保证，支挡工程混凝土强度</w:t>
      </w:r>
      <w:r>
        <w:rPr>
          <w:rFonts w:hint="eastAsia" w:ascii="仿宋_GB2312" w:eastAsia="仿宋_GB2312"/>
          <w:sz w:val="28"/>
          <w:szCs w:val="28"/>
        </w:rPr>
        <w:t>合格率</w:t>
      </w:r>
      <w:r>
        <w:rPr>
          <w:rFonts w:hint="eastAsia" w:ascii="仿宋_GB2312" w:hAnsi="Times New Roman" w:eastAsia="仿宋_GB2312"/>
          <w:sz w:val="28"/>
          <w:szCs w:val="28"/>
        </w:rPr>
        <w:t>100%，较上一年持平。排水工程断面尺寸、铺砌厚度和支挡工程断面尺寸质量合格率较上一年虽明显提升，但相关构造物尺寸控制还有待提高，合格率分别为</w:t>
      </w:r>
      <w:r>
        <w:rPr>
          <w:rFonts w:hint="eastAsia" w:ascii="仿宋_GB2312" w:eastAsia="仿宋_GB2312"/>
          <w:sz w:val="28"/>
          <w:szCs w:val="28"/>
        </w:rPr>
        <w:t>：排水工程断面尺寸</w:t>
      </w:r>
      <w:r>
        <w:rPr>
          <w:rFonts w:hint="eastAsia" w:ascii="仿宋_GB2312" w:hAnsi="Times New Roman" w:eastAsia="仿宋_GB2312"/>
          <w:sz w:val="28"/>
          <w:szCs w:val="28"/>
        </w:rPr>
        <w:t>96.9%、</w:t>
      </w:r>
      <w:r>
        <w:rPr>
          <w:rFonts w:hint="eastAsia" w:ascii="仿宋_GB2312" w:eastAsia="仿宋_GB2312"/>
          <w:sz w:val="28"/>
          <w:szCs w:val="28"/>
        </w:rPr>
        <w:t>排水工程铺砌厚度</w:t>
      </w:r>
      <w:r>
        <w:rPr>
          <w:rFonts w:hint="eastAsia" w:ascii="仿宋_GB2312" w:hAnsi="Times New Roman" w:eastAsia="仿宋_GB2312"/>
          <w:sz w:val="28"/>
          <w:szCs w:val="28"/>
        </w:rPr>
        <w:t>96.0%</w:t>
      </w:r>
      <w:r>
        <w:rPr>
          <w:rFonts w:hint="eastAsia" w:ascii="仿宋_GB2312" w:eastAsia="仿宋_GB2312"/>
          <w:sz w:val="28"/>
          <w:szCs w:val="28"/>
        </w:rPr>
        <w:t>、支挡工程断面尺寸</w:t>
      </w:r>
      <w:r>
        <w:rPr>
          <w:rFonts w:hint="eastAsia" w:ascii="仿宋_GB2312" w:hAnsi="Times New Roman" w:eastAsia="仿宋_GB2312"/>
          <w:sz w:val="28"/>
          <w:szCs w:val="28"/>
        </w:rPr>
        <w:t>95.7%。</w:t>
      </w:r>
    </w:p>
    <w:p w14:paraId="0E1B6BA6">
      <w:pPr>
        <w:autoSpaceDN w:val="0"/>
        <w:adjustRightInd w:val="0"/>
        <w:ind w:left="640"/>
        <w:rPr>
          <w:szCs w:val="32"/>
        </w:rPr>
      </w:pPr>
      <w:r>
        <w:rPr>
          <w:szCs w:val="32"/>
          <w:lang/>
        </w:rPr>
        <w:drawing>
          <wp:inline distT="0" distB="0" distL="114300" distR="114300">
            <wp:extent cx="5080635" cy="3810000"/>
            <wp:effectExtent l="4445" t="4445" r="20320" b="14605"/>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657C88">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（2）路面工程</w:t>
      </w:r>
    </w:p>
    <w:p w14:paraId="74B81456">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路面工程主要指标抽检合格率如图5所示，可以看出各项抽检指标总体保持良好稳定上升状态。沥青路面压实度、路面厚度、混凝土路面强度质量控制措施较好，合格率100%，与上年持平。路面尺寸合格率较上一年明显提高，抽查合格率</w:t>
      </w:r>
      <w:r>
        <w:rPr>
          <w:rFonts w:hint="eastAsia" w:ascii="仿宋_GB2312" w:eastAsia="仿宋_GB2312"/>
          <w:sz w:val="32"/>
          <w:szCs w:val="32"/>
        </w:rPr>
        <w:t>96%，同比</w:t>
      </w:r>
      <w:r>
        <w:rPr>
          <w:rFonts w:hint="eastAsia" w:ascii="仿宋_GB2312" w:hAnsi="Times New Roman" w:eastAsia="仿宋_GB2312"/>
          <w:sz w:val="32"/>
          <w:szCs w:val="32"/>
        </w:rPr>
        <w:t>提高了14.2%。</w:t>
      </w:r>
    </w:p>
    <w:p w14:paraId="2211EE17">
      <w:pPr>
        <w:autoSpaceDN w:val="0"/>
        <w:adjustRightInd w:val="0"/>
        <w:ind w:left="640"/>
        <w:rPr>
          <w:rFonts w:hint="eastAsia" w:ascii="仿宋_GB2312" w:eastAsia="仿宋_GB2312"/>
          <w:sz w:val="32"/>
          <w:szCs w:val="32"/>
        </w:rPr>
      </w:pPr>
    </w:p>
    <w:p w14:paraId="1E2EE3D6">
      <w:pPr>
        <w:autoSpaceDN w:val="0"/>
        <w:adjustRightInd w:val="0"/>
        <w:ind w:left="1360"/>
        <w:rPr>
          <w:szCs w:val="32"/>
        </w:rPr>
      </w:pPr>
    </w:p>
    <w:p w14:paraId="28FCAD20">
      <w:pPr>
        <w:autoSpaceDN w:val="0"/>
        <w:adjustRightInd w:val="0"/>
        <w:ind w:left="1360"/>
        <w:rPr>
          <w:szCs w:val="32"/>
        </w:rPr>
      </w:pPr>
    </w:p>
    <w:p w14:paraId="62E3763C">
      <w:pPr>
        <w:autoSpaceDN w:val="0"/>
        <w:adjustRightInd w:val="0"/>
        <w:rPr>
          <w:szCs w:val="32"/>
        </w:rPr>
      </w:pPr>
      <w:r>
        <w:rPr>
          <w:szCs w:val="32"/>
          <w:lang/>
        </w:rPr>
        <w:drawing>
          <wp:inline distT="0" distB="0" distL="114300" distR="114300">
            <wp:extent cx="4947920" cy="2811780"/>
            <wp:effectExtent l="5080" t="4445" r="19050" b="22225"/>
            <wp:docPr id="1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36DA0D">
      <w:pPr>
        <w:autoSpaceDN w:val="0"/>
        <w:adjustRightInd w:val="0"/>
        <w:rPr>
          <w:rFonts w:hint="eastAsia" w:ascii="仿宋_GB2312" w:eastAsia="仿宋_GB2312"/>
          <w:sz w:val="32"/>
          <w:szCs w:val="32"/>
        </w:rPr>
      </w:pPr>
      <w:r>
        <w:rPr>
          <w:rFonts w:hint="eastAsia" w:ascii="仿宋_GB2312" w:hAnsi="Times New Roman" w:eastAsia="仿宋_GB2312"/>
          <w:sz w:val="32"/>
          <w:szCs w:val="32"/>
        </w:rPr>
        <w:t>（3）交通安全设施工程</w:t>
      </w:r>
    </w:p>
    <w:p w14:paraId="0E3FA2F5">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交通安全设施工程主要指标抽检合格率如图6所示，可以看出，交通安全设施工程各抽检指标合格率总体保持良好稳定状态。其中混凝土护栏强度和波形护栏立柱厚度合格率100%，与上年持平；波形护栏横梁中心高度合格率</w:t>
      </w:r>
      <w:r>
        <w:rPr>
          <w:rFonts w:hint="eastAsia" w:ascii="仿宋_GB2312" w:eastAsia="仿宋_GB2312"/>
          <w:sz w:val="32"/>
          <w:szCs w:val="32"/>
        </w:rPr>
        <w:t>95%，</w:t>
      </w:r>
      <w:r>
        <w:rPr>
          <w:rFonts w:hint="eastAsia" w:ascii="仿宋_GB2312" w:hAnsi="Times New Roman" w:eastAsia="仿宋_GB2312"/>
          <w:sz w:val="32"/>
          <w:szCs w:val="32"/>
        </w:rPr>
        <w:t>较上年提高5%</w:t>
      </w:r>
      <w:r>
        <w:rPr>
          <w:rFonts w:hint="eastAsia" w:ascii="仿宋_GB2312" w:eastAsia="仿宋_GB2312"/>
          <w:sz w:val="32"/>
          <w:szCs w:val="32"/>
        </w:rPr>
        <w:t>；</w:t>
      </w:r>
      <w:r>
        <w:rPr>
          <w:rFonts w:hint="eastAsia" w:ascii="仿宋_GB2312" w:hAnsi="Times New Roman" w:eastAsia="仿宋_GB2312"/>
          <w:sz w:val="32"/>
          <w:szCs w:val="32"/>
        </w:rPr>
        <w:t>标志板厚度合格率</w:t>
      </w:r>
      <w:r>
        <w:rPr>
          <w:rFonts w:hint="eastAsia" w:ascii="仿宋_GB2312" w:eastAsia="仿宋_GB2312"/>
          <w:sz w:val="32"/>
          <w:szCs w:val="32"/>
        </w:rPr>
        <w:t>100%，</w:t>
      </w:r>
      <w:r>
        <w:rPr>
          <w:rFonts w:hint="eastAsia" w:ascii="仿宋_GB2312" w:hAnsi="Times New Roman" w:eastAsia="仿宋_GB2312"/>
          <w:sz w:val="32"/>
          <w:szCs w:val="32"/>
        </w:rPr>
        <w:t>较上一年提高7.4%。但部分指标抽检合格率下降较为明显，主要集中在砼护栏断面尺寸、波形护栏基底金属壁厚、波形护栏埋入深度、标志板净空高度、标志牌立柱竖直度，分别下降至88.0%、95.8%、85.4%、86.7%、93.3%。</w:t>
      </w:r>
    </w:p>
    <w:p w14:paraId="59B980CC">
      <w:pPr>
        <w:ind w:left="460" w:hanging="460" w:hangingChars="200"/>
        <w:rPr>
          <w:rFonts w:hint="eastAsia"/>
          <w:szCs w:val="32"/>
        </w:rPr>
      </w:pPr>
      <w:r>
        <w:rPr>
          <w:rFonts w:ascii="Times New Roman" w:hAnsi="Times New Roman"/>
          <w:szCs w:val="32"/>
        </w:rPr>
        <w:t xml:space="preserve">    </w:t>
      </w:r>
      <w:r>
        <w:rPr>
          <w:szCs w:val="32"/>
          <w:lang/>
        </w:rPr>
        <w:drawing>
          <wp:inline distT="0" distB="0" distL="114300" distR="114300">
            <wp:extent cx="5075555" cy="3006090"/>
            <wp:effectExtent l="4445" t="4445" r="6350" b="18415"/>
            <wp:docPr id="1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hint="eastAsia" w:ascii="方正小标宋简体" w:hAnsi="Times New Roman" w:eastAsia="方正小标宋简体"/>
          <w:sz w:val="32"/>
          <w:szCs w:val="32"/>
        </w:rPr>
        <w:t>（二）监督工作主要措施</w:t>
      </w:r>
    </w:p>
    <w:p w14:paraId="4C1159F4">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1.强化工程质量监督，推进“五化”管理</w:t>
      </w:r>
    </w:p>
    <w:p w14:paraId="56C94B9E">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一是以重点项目和养护工程等改造工程为抓手，认真贯彻落实以“发展理念人本化</w:t>
      </w:r>
      <w:r>
        <w:rPr>
          <w:rFonts w:hint="eastAsia" w:ascii="仿宋_GB2312" w:eastAsia="仿宋_GB2312"/>
          <w:sz w:val="32"/>
          <w:szCs w:val="32"/>
        </w:rPr>
        <w:t>、</w:t>
      </w:r>
      <w:r>
        <w:rPr>
          <w:rFonts w:hint="eastAsia" w:ascii="仿宋_GB2312" w:hAnsi="Times New Roman" w:eastAsia="仿宋_GB2312"/>
          <w:sz w:val="32"/>
          <w:szCs w:val="32"/>
        </w:rPr>
        <w:t>项目管理专业化、工程施工标准化</w:t>
      </w:r>
      <w:r>
        <w:rPr>
          <w:rFonts w:hint="eastAsia" w:ascii="仿宋_GB2312" w:eastAsia="仿宋_GB2312"/>
          <w:sz w:val="32"/>
          <w:szCs w:val="32"/>
        </w:rPr>
        <w:t>、管理手段信息化</w:t>
      </w:r>
      <w:r>
        <w:rPr>
          <w:rFonts w:hint="eastAsia" w:ascii="仿宋_GB2312" w:hAnsi="Times New Roman" w:eastAsia="仿宋_GB2312"/>
          <w:sz w:val="32"/>
          <w:szCs w:val="32"/>
        </w:rPr>
        <w:t>和日常管理精细化”为重点的“五化”工程建设管理要求，加强专业化管理、标准化施工和精细化管理监督，努力提升五华区公路建设工程质量，保障监督成效。二是加强设计执行监督。强化对工程建设过程中设计执行情况的监督，特别是加大对农村公路建设中涉及结构性、主要原材料及重要工程设计内容的监督力度；对不按设计执行的建设工程，加大监管力度，保障工程按设计实施。三是实行差别化监督管理，突出重点，狠抓质量管理薄弱环节，监督工程实行综合检查、重点巡查和抽查，加强对路面、支挡工程和高边坡工程的</w:t>
      </w:r>
      <w:r>
        <w:rPr>
          <w:rFonts w:hint="eastAsia" w:ascii="仿宋_GB2312" w:eastAsia="仿宋_GB2312"/>
          <w:sz w:val="32"/>
          <w:szCs w:val="32"/>
        </w:rPr>
        <w:t>质量</w:t>
      </w:r>
      <w:r>
        <w:rPr>
          <w:rFonts w:hint="eastAsia" w:ascii="仿宋_GB2312" w:hAnsi="Times New Roman" w:eastAsia="仿宋_GB2312"/>
          <w:sz w:val="32"/>
          <w:szCs w:val="32"/>
        </w:rPr>
        <w:t>监督。</w:t>
      </w:r>
    </w:p>
    <w:p w14:paraId="44BD2CE8">
      <w:pPr>
        <w:autoSpaceDN w:val="0"/>
        <w:adjustRightInd w:val="0"/>
        <w:ind w:firstLine="680" w:firstLineChars="200"/>
        <w:rPr>
          <w:sz w:val="32"/>
          <w:szCs w:val="32"/>
        </w:rPr>
      </w:pPr>
      <w:r>
        <w:rPr>
          <w:rFonts w:hint="eastAsia" w:ascii="Times New Roman" w:hAnsi="Times New Roman" w:eastAsia="楷体"/>
          <w:sz w:val="32"/>
          <w:szCs w:val="32"/>
        </w:rPr>
        <w:t>2.</w:t>
      </w:r>
      <w:r>
        <w:rPr>
          <w:rFonts w:ascii="Times New Roman" w:hAnsi="Times New Roman" w:eastAsia="楷体"/>
          <w:sz w:val="32"/>
          <w:szCs w:val="32"/>
        </w:rPr>
        <w:t>强化竣（交）工质量鉴定，保障质量合格</w:t>
      </w:r>
    </w:p>
    <w:p w14:paraId="5828F747">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一是加强对具备条件的竣工项目及时进行质量鉴定；二是积极组织竣工项目的质量鉴定检测；三是及时组织在建农村公路项目转序交验，促进公路建设的良性运转。</w:t>
      </w:r>
    </w:p>
    <w:p w14:paraId="4CB0C3E6">
      <w:pPr>
        <w:autoSpaceDN w:val="0"/>
        <w:adjustRightInd w:val="0"/>
        <w:ind w:firstLine="680" w:firstLineChars="200"/>
        <w:rPr>
          <w:rFonts w:hint="eastAsia" w:ascii="方正小标宋简体" w:eastAsia="方正小标宋简体"/>
          <w:sz w:val="32"/>
          <w:szCs w:val="32"/>
        </w:rPr>
      </w:pPr>
      <w:r>
        <w:rPr>
          <w:rFonts w:hint="eastAsia" w:ascii="方正小标宋简体" w:hAnsi="Times New Roman" w:eastAsia="方正小标宋简体"/>
          <w:sz w:val="32"/>
          <w:szCs w:val="32"/>
        </w:rPr>
        <w:t>（三）存在的主要问题和对策建议</w:t>
      </w:r>
    </w:p>
    <w:p w14:paraId="4AC794BF">
      <w:pPr>
        <w:autoSpaceDN w:val="0"/>
        <w:adjustRightInd w:val="0"/>
        <w:ind w:firstLine="680" w:firstLineChars="200"/>
        <w:rPr>
          <w:rFonts w:hint="eastAsia" w:ascii="楷体_GB2312" w:eastAsia="楷体_GB2312"/>
          <w:b/>
          <w:sz w:val="32"/>
          <w:szCs w:val="32"/>
        </w:rPr>
      </w:pPr>
      <w:r>
        <w:rPr>
          <w:rFonts w:hint="eastAsia" w:ascii="楷体_GB2312" w:hAnsi="Times New Roman" w:eastAsia="楷体_GB2312"/>
          <w:b/>
          <w:sz w:val="32"/>
          <w:szCs w:val="32"/>
        </w:rPr>
        <w:t>1.存在的主要问题</w:t>
      </w:r>
    </w:p>
    <w:p w14:paraId="1900897F">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1）技术管理人员总体素质有待提高。年，五华区在建项目以养护工程为主，公路安保工程、水毁修复工程持续施工，面临着建设规模大，项目点多、线长、面广的管理问题。建设单位普遍存在工程技术及管理人员数量不足，水平不高的情况；大多数施工、监理单位企业资质低，人员履约不到位，且现场技术人员水平不高、经验不丰富，对工程管理不到位。</w:t>
      </w:r>
    </w:p>
    <w:p w14:paraId="15F09159">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2）施工标准化水平低，缺少精细化施工意识。农村公路普遍存在施工工艺简单、不注意细节施工、施工标准化程度低的情况。如路基搭接部位施工不规范、压实不到位；沥青路面施工中存在配合比控制不严、压实厚度不均匀；防撞墙、排水工程等断面尺寸控制不到位、模板支撑不牢固、外观质量缺陷多等问题。</w:t>
      </w:r>
    </w:p>
    <w:p w14:paraId="3A5F0CB2">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3）试验检测工作重视程度不够。建设、施工、监理单位委托第三方检测单位，试验检测仪器配备不足，检测能力较弱，工序质量检测不及时；试验检测人员持证率相对较低低，业务水平不精。特别是有些项目没有能力建立工地试验室，没有质量控制与把关的手段。</w:t>
      </w:r>
    </w:p>
    <w:p w14:paraId="02CDCF0F">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（4）内业资料整理不规范、不及时。建设、施工、监理单位内业资料不齐全，整理不规范、不及时；施工自检、监理抽检数据存在虚假现象，不能真正反映工程质量实际状况，质量管理体系未落实。</w:t>
      </w:r>
    </w:p>
    <w:p w14:paraId="007CBD00">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5）监督管理难度不断增加。一是农村公路建设由于资金严重不足、导致工程未严格按设计实施现象较多，随意变更工程设计情况时有发生。二是水毁灾害数量逐渐增多，参建各方技术力量不足，导致不能及时抢修，工程精细化管理跟不上，质量监督难度不断加大。三是从业人员质量管理意识不足，个别监理单位履职不到位，导致施工质量管理不到位。</w:t>
      </w:r>
    </w:p>
    <w:p w14:paraId="0B0A09B9">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（6）质量监督力量不足。随着每年改建、扩建和养护工程的增多、建设规模和标准不断提高，监督工作量不断加大与监督骨干力量不足、监督队伍专业力量不足、监督经费不足的问题突出，监督工作压力较大。</w:t>
      </w:r>
    </w:p>
    <w:p w14:paraId="3E0AD9EF">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（7）区公路质监站工作不平衡。质量监督工作重视不够，监督人员身兼数职、严重不足，日常监督机制还未健全，监督履职不能深入到位，影响了公路质量监督工作有效开展。</w:t>
      </w:r>
    </w:p>
    <w:p w14:paraId="6B520B84">
      <w:pPr>
        <w:autoSpaceDN w:val="0"/>
        <w:adjustRightInd w:val="0"/>
        <w:ind w:firstLine="680" w:firstLineChars="200"/>
        <w:rPr>
          <w:rFonts w:hint="eastAsia" w:ascii="楷体_GB2312" w:hAnsi="楷体" w:eastAsia="楷体_GB2312" w:cs="楷体"/>
          <w:b/>
          <w:sz w:val="32"/>
          <w:szCs w:val="32"/>
        </w:rPr>
      </w:pPr>
      <w:r>
        <w:rPr>
          <w:rFonts w:hint="eastAsia" w:ascii="楷体_GB2312" w:hAnsi="楷体" w:eastAsia="楷体_GB2312" w:cs="楷体"/>
          <w:b/>
          <w:sz w:val="32"/>
          <w:szCs w:val="32"/>
        </w:rPr>
        <w:t>2.对策建议</w:t>
      </w:r>
    </w:p>
    <w:p w14:paraId="18675DC8">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1）进一步落实质量主体责任。建设单位要按照有关规定加强自身建设，配齐专业人员，完善建设管理制度，明确工作职责；要以合同文件为依据，进一步落实施工、监理单位的质量主体责任，对从业单位的不规范行为进行处罚，督促施工、监理单位建立健全质量保证体系；加强农村公路质量知识培训，提高技术与管理人员水平。</w:t>
      </w:r>
    </w:p>
    <w:p w14:paraId="0BC6FA12">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2）积极推行施工标准化。根据农村公路建设特点积极推行施工标准化建设，提升施工工艺水平。如水稳混合料、沥青混凝土全面实行“集中拌合、机械化摊铺”的施工工艺；合理安排施工工序，提高机械设备配备标准，并注重质量通病防治，采取有效措施，切实保证农村公路工程质量。</w:t>
      </w:r>
    </w:p>
    <w:p w14:paraId="53ADEA5A">
      <w:pPr>
        <w:autoSpaceDN w:val="0"/>
        <w:adjustRightInd w:val="0"/>
        <w:ind w:firstLine="680" w:firstLineChars="200"/>
        <w:rPr>
          <w:rFonts w:hint="eastAsia" w:ascii="仿宋_GB2312" w:eastAsia="仿宋_GB2312"/>
          <w:sz w:val="32"/>
          <w:szCs w:val="32"/>
        </w:rPr>
      </w:pPr>
      <w:r>
        <w:rPr>
          <w:rFonts w:hint="eastAsia" w:ascii="仿宋_GB2312" w:hAnsi="Times New Roman" w:eastAsia="仿宋_GB2312"/>
          <w:sz w:val="32"/>
          <w:szCs w:val="32"/>
        </w:rPr>
        <w:t>（3）加强试验检测工作。在施工、监理单位的招标文件中要明确第三方试验检测单位或建立工地试验室的标准和要求，未委托试验检测单位或工地试验室未建立的项目不得开工建设；建设单位要委托第三方检测单位开展施工过程的质量抽检工作，严格控制施工质量，不断规范试验检测工作行为，确保试验检测数据客观、真实。</w:t>
      </w:r>
    </w:p>
    <w:p w14:paraId="70B2F212">
      <w:pPr>
        <w:autoSpaceDN w:val="0"/>
        <w:adjustRightInd w:val="0"/>
        <w:ind w:firstLine="680" w:firstLineChars="200"/>
        <w:rPr>
          <w:sz w:val="32"/>
          <w:szCs w:val="32"/>
        </w:rPr>
      </w:pPr>
      <w:r>
        <w:rPr>
          <w:rFonts w:hint="eastAsia" w:ascii="仿宋_GB2312" w:hAnsi="Times New Roman" w:eastAsia="仿宋_GB2312"/>
          <w:sz w:val="32"/>
          <w:szCs w:val="32"/>
        </w:rPr>
        <w:t>（4）规范内业资料整理工作。建设单位要制定工程内业资料整理方法与要求，加大农村公路内业资料检查力度，逐步规范内业资料收集、整理、归档工作，确保内业资料收集齐全、整理规范、归档及时。</w:t>
      </w:r>
    </w:p>
    <w:p w14:paraId="164ECD79">
      <w:pPr>
        <w:rPr>
          <w:rFonts w:hint="eastAsia" w:ascii="仿宋_GB2312" w:hAnsi="Times New Roman" w:eastAsia="仿宋_GB2312"/>
          <w:b/>
          <w:color w:val="000000"/>
          <w:kern w:val="0"/>
          <w:sz w:val="32"/>
          <w:szCs w:val="32"/>
        </w:rPr>
      </w:pPr>
      <w:bookmarkStart w:id="8" w:name="_Toc15267"/>
      <w:bookmarkStart w:id="9" w:name="_Toc511587046"/>
      <w:bookmarkStart w:id="10" w:name="_Toc30283"/>
    </w:p>
    <w:p w14:paraId="2B58E04B">
      <w:pPr>
        <w:jc w:val="center"/>
        <w:rPr>
          <w:rFonts w:hint="eastAsia" w:ascii="黑体" w:hAnsi="黑体" w:eastAsia="黑体"/>
          <w:b/>
          <w:bCs/>
          <w:color w:val="000000"/>
          <w:sz w:val="44"/>
          <w:szCs w:val="44"/>
        </w:rPr>
      </w:pPr>
    </w:p>
    <w:p w14:paraId="55575847">
      <w:pPr>
        <w:jc w:val="center"/>
        <w:rPr>
          <w:rFonts w:hint="eastAsia" w:ascii="黑体" w:hAnsi="黑体" w:eastAsia="黑体"/>
          <w:b/>
          <w:bCs/>
          <w:color w:val="000000"/>
          <w:sz w:val="44"/>
          <w:szCs w:val="44"/>
        </w:rPr>
      </w:pPr>
    </w:p>
    <w:p w14:paraId="663BE574">
      <w:pPr>
        <w:jc w:val="center"/>
        <w:rPr>
          <w:rFonts w:hint="eastAsia" w:ascii="黑体" w:hAnsi="黑体" w:eastAsia="黑体"/>
          <w:b/>
          <w:bCs/>
          <w:color w:val="000000"/>
          <w:sz w:val="44"/>
          <w:szCs w:val="44"/>
        </w:rPr>
      </w:pPr>
    </w:p>
    <w:p w14:paraId="6B5B2F86">
      <w:pPr>
        <w:jc w:val="center"/>
        <w:rPr>
          <w:rFonts w:hint="eastAsia" w:ascii="黑体" w:hAnsi="黑体" w:eastAsia="黑体"/>
          <w:b/>
          <w:bCs/>
          <w:color w:val="000000"/>
          <w:sz w:val="44"/>
          <w:szCs w:val="44"/>
        </w:rPr>
      </w:pPr>
    </w:p>
    <w:p w14:paraId="45313557">
      <w:pPr>
        <w:jc w:val="center"/>
        <w:rPr>
          <w:rFonts w:hint="eastAsia" w:ascii="黑体" w:hAnsi="黑体" w:eastAsia="黑体"/>
          <w:b/>
          <w:bCs/>
          <w:color w:val="000000"/>
          <w:sz w:val="44"/>
          <w:szCs w:val="44"/>
        </w:rPr>
      </w:pPr>
    </w:p>
    <w:p w14:paraId="57D91C4C">
      <w:pPr>
        <w:jc w:val="center"/>
        <w:rPr>
          <w:rFonts w:hint="eastAsia" w:ascii="黑体" w:hAnsi="黑体" w:eastAsia="黑体"/>
          <w:b/>
          <w:bCs/>
          <w:color w:val="000000"/>
          <w:sz w:val="44"/>
          <w:szCs w:val="44"/>
        </w:rPr>
      </w:pPr>
    </w:p>
    <w:p w14:paraId="271A08B0">
      <w:pPr>
        <w:jc w:val="center"/>
        <w:rPr>
          <w:rFonts w:hint="eastAsia" w:ascii="黑体" w:hAnsi="黑体" w:eastAsia="黑体"/>
          <w:b/>
          <w:bCs/>
          <w:color w:val="000000"/>
          <w:sz w:val="44"/>
          <w:szCs w:val="44"/>
        </w:rPr>
      </w:pPr>
    </w:p>
    <w:p w14:paraId="70FA5A8B">
      <w:pPr>
        <w:jc w:val="center"/>
        <w:rPr>
          <w:rFonts w:hint="eastAsia" w:ascii="黑体" w:hAnsi="黑体" w:eastAsia="黑体"/>
          <w:b/>
          <w:bCs/>
          <w:color w:val="000000"/>
          <w:sz w:val="44"/>
          <w:szCs w:val="44"/>
        </w:rPr>
      </w:pPr>
    </w:p>
    <w:p w14:paraId="5E3F7E12">
      <w:pPr>
        <w:jc w:val="center"/>
        <w:rPr>
          <w:rFonts w:hint="eastAsia" w:ascii="黑体" w:hAnsi="黑体" w:eastAsia="黑体"/>
          <w:b/>
          <w:bCs/>
          <w:color w:val="000000"/>
          <w:sz w:val="44"/>
          <w:szCs w:val="44"/>
        </w:rPr>
      </w:pPr>
    </w:p>
    <w:p w14:paraId="2D74AAF6">
      <w:pPr>
        <w:jc w:val="center"/>
        <w:rPr>
          <w:rFonts w:hint="eastAsia" w:ascii="黑体" w:hAnsi="黑体" w:eastAsia="黑体"/>
          <w:b/>
          <w:bCs/>
          <w:color w:val="000000"/>
          <w:sz w:val="44"/>
          <w:szCs w:val="44"/>
        </w:rPr>
      </w:pPr>
    </w:p>
    <w:p w14:paraId="609B100E">
      <w:pPr>
        <w:rPr>
          <w:rFonts w:hint="eastAsia" w:ascii="黑体" w:hAnsi="黑体" w:eastAsia="黑体"/>
          <w:b/>
          <w:bCs/>
          <w:color w:val="000000"/>
          <w:sz w:val="44"/>
          <w:szCs w:val="44"/>
        </w:rPr>
      </w:pPr>
    </w:p>
    <w:p w14:paraId="1F9D4370">
      <w:pPr>
        <w:jc w:val="center"/>
        <w:rPr>
          <w:rFonts w:hint="eastAsia" w:ascii="黑体" w:hAnsi="黑体" w:eastAsia="黑体"/>
          <w:b/>
          <w:bCs/>
          <w:color w:val="000000"/>
          <w:sz w:val="44"/>
          <w:szCs w:val="44"/>
        </w:rPr>
      </w:pPr>
    </w:p>
    <w:p w14:paraId="1C66DDE4">
      <w:pPr>
        <w:jc w:val="center"/>
        <w:rPr>
          <w:rFonts w:hint="eastAsia" w:ascii="黑体" w:hAnsi="黑体" w:eastAsia="黑体"/>
          <w:b/>
          <w:bCs/>
          <w:color w:val="000000"/>
          <w:sz w:val="44"/>
          <w:szCs w:val="44"/>
        </w:rPr>
      </w:pPr>
    </w:p>
    <w:p w14:paraId="058987D2">
      <w:pPr>
        <w:jc w:val="center"/>
        <w:rPr>
          <w:rFonts w:hint="eastAsia" w:ascii="黑体" w:hAnsi="黑体" w:eastAsia="黑体"/>
          <w:b/>
          <w:bCs/>
          <w:color w:val="000000"/>
          <w:sz w:val="44"/>
          <w:szCs w:val="44"/>
        </w:rPr>
      </w:pPr>
    </w:p>
    <w:p w14:paraId="4C19580E">
      <w:pPr>
        <w:jc w:val="center"/>
        <w:rPr>
          <w:rFonts w:hint="eastAsia" w:ascii="黑体" w:hAnsi="黑体" w:eastAsia="黑体"/>
          <w:b/>
          <w:bCs/>
          <w:color w:val="000000"/>
          <w:sz w:val="44"/>
          <w:szCs w:val="44"/>
        </w:rPr>
      </w:pPr>
    </w:p>
    <w:p w14:paraId="410720BE">
      <w:pPr>
        <w:jc w:val="center"/>
        <w:rPr>
          <w:rFonts w:hint="eastAsia" w:ascii="黑体" w:hAnsi="黑体" w:eastAsia="黑体"/>
          <w:b/>
          <w:bCs/>
          <w:color w:val="000000"/>
          <w:sz w:val="44"/>
          <w:szCs w:val="44"/>
        </w:rPr>
      </w:pPr>
    </w:p>
    <w:p w14:paraId="199A234F">
      <w:pPr>
        <w:jc w:val="center"/>
        <w:rPr>
          <w:rFonts w:hint="eastAsia" w:ascii="黑体" w:hAnsi="黑体" w:eastAsia="黑体"/>
          <w:b/>
          <w:bCs/>
          <w:color w:val="000000"/>
          <w:sz w:val="44"/>
          <w:szCs w:val="44"/>
        </w:rPr>
      </w:pPr>
    </w:p>
    <w:p w14:paraId="1D3FF08C">
      <w:pPr>
        <w:jc w:val="center"/>
        <w:rPr>
          <w:rFonts w:hint="eastAsia" w:ascii="黑体" w:hAnsi="黑体" w:eastAsia="黑体"/>
          <w:b/>
          <w:bCs/>
          <w:color w:val="000000"/>
          <w:sz w:val="44"/>
          <w:szCs w:val="44"/>
        </w:rPr>
      </w:pPr>
    </w:p>
    <w:p w14:paraId="6684D202">
      <w:pPr>
        <w:jc w:val="center"/>
        <w:rPr>
          <w:rFonts w:hint="eastAsia" w:ascii="黑体" w:hAnsi="黑体" w:eastAsia="黑体"/>
          <w:b/>
          <w:bCs/>
          <w:color w:val="000000"/>
          <w:sz w:val="44"/>
          <w:szCs w:val="44"/>
        </w:rPr>
      </w:pPr>
    </w:p>
    <w:p w14:paraId="4D435734">
      <w:pPr>
        <w:jc w:val="center"/>
        <w:rPr>
          <w:rFonts w:ascii="Times New Roman" w:hAnsi="Times New Roman" w:eastAsia="楷体"/>
          <w:b/>
          <w:color w:val="000000"/>
          <w:kern w:val="0"/>
          <w:sz w:val="32"/>
          <w:szCs w:val="32"/>
        </w:rPr>
      </w:pPr>
      <w:r>
        <w:rPr>
          <w:rFonts w:hint="eastAsia" w:ascii="黑体" w:hAnsi="黑体" w:eastAsia="黑体"/>
          <w:b/>
          <w:bCs/>
          <w:color w:val="000000"/>
          <w:sz w:val="44"/>
          <w:szCs w:val="44"/>
        </w:rPr>
        <w:t>第四章 安全生产运行状况</w:t>
      </w:r>
      <w:bookmarkEnd w:id="8"/>
      <w:bookmarkEnd w:id="9"/>
      <w:bookmarkEnd w:id="10"/>
    </w:p>
    <w:p w14:paraId="0D5D19D5">
      <w:pPr>
        <w:spacing w:line="360" w:lineRule="auto"/>
        <w:ind w:firstLine="680" w:firstLineChars="200"/>
        <w:jc w:val="left"/>
        <w:outlineLvl w:val="1"/>
        <w:rPr>
          <w:rFonts w:ascii="方正小标宋简体" w:hAnsi="Times New Roman" w:eastAsia="方正小标宋简体" w:cs="楷体"/>
          <w:b/>
          <w:bCs/>
          <w:color w:val="000000"/>
          <w:kern w:val="0"/>
          <w:sz w:val="32"/>
          <w:szCs w:val="32"/>
        </w:rPr>
      </w:pPr>
      <w:bookmarkStart w:id="11" w:name="_Toc511587047"/>
      <w:bookmarkStart w:id="12" w:name="_Toc15795"/>
      <w:bookmarkStart w:id="13" w:name="_Toc5323"/>
      <w:r>
        <w:rPr>
          <w:rFonts w:hint="eastAsia" w:ascii="方正小标宋简体" w:hAnsi="Times New Roman" w:eastAsia="方正小标宋简体" w:cs="楷体"/>
          <w:b/>
          <w:bCs/>
          <w:color w:val="000000"/>
          <w:kern w:val="0"/>
          <w:sz w:val="32"/>
          <w:szCs w:val="32"/>
        </w:rPr>
        <w:t>一、全年特种设备安全</w:t>
      </w:r>
      <w:bookmarkEnd w:id="11"/>
      <w:bookmarkEnd w:id="12"/>
      <w:bookmarkEnd w:id="13"/>
    </w:p>
    <w:p w14:paraId="17CDB72A">
      <w:pPr>
        <w:pStyle w:val="5"/>
        <w:spacing w:after="0" w:line="600" w:lineRule="exact"/>
        <w:ind w:firstLine="680" w:firstLineChars="200"/>
        <w:rPr>
          <w:rFonts w:ascii="Times New Roman" w:hAnsi="Times New Roman" w:eastAsia="楷体_GB2312"/>
          <w:szCs w:val="32"/>
        </w:rPr>
      </w:pPr>
      <w:bookmarkStart w:id="14" w:name="_Toc511587053"/>
      <w:bookmarkStart w:id="15" w:name="_Toc3175"/>
      <w:r>
        <w:rPr>
          <w:rFonts w:ascii="Times New Roman" w:hAnsi="Times New Roman" w:eastAsia="楷体_GB2312"/>
          <w:szCs w:val="32"/>
        </w:rPr>
        <w:t>（一）特种设备安全形势</w:t>
      </w:r>
    </w:p>
    <w:p w14:paraId="55BE348C">
      <w:pPr>
        <w:widowControl/>
        <w:shd w:val="clear" w:color="auto" w:fill="FFFFFF"/>
        <w:spacing w:line="600" w:lineRule="exact"/>
        <w:ind w:firstLine="68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1</w:t>
      </w:r>
      <w:r>
        <w:rPr>
          <w:rFonts w:ascii="Times New Roman" w:hAnsi="Times New Roman"/>
          <w:sz w:val="32"/>
          <w:szCs w:val="32"/>
          <w:shd w:val="clear" w:color="auto" w:fill="FFFFFF"/>
        </w:rPr>
        <w:t>.</w:t>
      </w:r>
      <w:r>
        <w:rPr>
          <w:rFonts w:ascii="Times New Roman" w:hAnsi="Times New Roman" w:eastAsia="仿宋_GB2312"/>
          <w:sz w:val="32"/>
          <w:szCs w:val="32"/>
          <w:shd w:val="clear" w:color="auto" w:fill="FFFFFF"/>
        </w:rPr>
        <w:t>特种设备数量情况</w:t>
      </w:r>
      <w:r>
        <w:rPr>
          <w:rFonts w:ascii="Times New Roman" w:hAnsi="Times New Roman"/>
          <w:sz w:val="32"/>
          <w:szCs w:val="32"/>
          <w:shd w:val="clear" w:color="auto" w:fill="FFFFFF"/>
        </w:rPr>
        <w:t>：</w:t>
      </w:r>
    </w:p>
    <w:p w14:paraId="5592954E">
      <w:pPr>
        <w:pStyle w:val="11"/>
        <w:spacing w:before="0" w:beforeAutospacing="0" w:after="0" w:afterAutospacing="0" w:line="600" w:lineRule="exact"/>
        <w:ind w:firstLine="680" w:firstLineChars="200"/>
        <w:rPr>
          <w:rFonts w:ascii="Times New Roman" w:hAnsi="Times New Roman" w:eastAsia="仿宋_GB2312"/>
          <w:sz w:val="32"/>
          <w:szCs w:val="32"/>
        </w:rPr>
      </w:pPr>
      <w:r>
        <w:rPr>
          <w:rFonts w:ascii="Times New Roman" w:hAnsi="Times New Roman" w:eastAsia="仿宋_GB2312"/>
          <w:sz w:val="32"/>
          <w:szCs w:val="32"/>
        </w:rPr>
        <w:t>截止</w:t>
      </w:r>
      <w:r>
        <w:rPr>
          <w:rFonts w:ascii="Times New Roman" w:hAnsi="Times New Roman"/>
          <w:sz w:val="32"/>
          <w:szCs w:val="32"/>
        </w:rPr>
        <w:t>目前</w:t>
      </w:r>
      <w:r>
        <w:rPr>
          <w:rFonts w:ascii="Times New Roman" w:hAnsi="Times New Roman" w:eastAsia="仿宋_GB2312"/>
          <w:sz w:val="32"/>
          <w:szCs w:val="32"/>
        </w:rPr>
        <w:t>，全区共有在用特种设备101</w:t>
      </w:r>
      <w:r>
        <w:rPr>
          <w:rFonts w:hint="eastAsia" w:ascii="Times New Roman" w:hAnsi="Times New Roman"/>
          <w:sz w:val="32"/>
          <w:szCs w:val="32"/>
        </w:rPr>
        <w:t>83</w:t>
      </w:r>
      <w:r>
        <w:rPr>
          <w:rFonts w:ascii="Times New Roman" w:hAnsi="Times New Roman" w:eastAsia="仿宋_GB2312"/>
          <w:sz w:val="32"/>
          <w:szCs w:val="32"/>
        </w:rPr>
        <w:t>台，其中锅炉7</w:t>
      </w:r>
      <w:r>
        <w:rPr>
          <w:rFonts w:hint="eastAsia" w:ascii="Times New Roman" w:hAnsi="Times New Roman"/>
          <w:sz w:val="32"/>
          <w:szCs w:val="32"/>
        </w:rPr>
        <w:t>6</w:t>
      </w:r>
      <w:r>
        <w:rPr>
          <w:rFonts w:ascii="Times New Roman" w:hAnsi="Times New Roman" w:eastAsia="仿宋_GB2312"/>
          <w:sz w:val="32"/>
          <w:szCs w:val="32"/>
        </w:rPr>
        <w:t>台，压力容器</w:t>
      </w:r>
      <w:r>
        <w:rPr>
          <w:rFonts w:hint="eastAsia" w:ascii="Times New Roman" w:hAnsi="Times New Roman"/>
          <w:sz w:val="32"/>
          <w:szCs w:val="32"/>
        </w:rPr>
        <w:t>1012</w:t>
      </w:r>
      <w:r>
        <w:rPr>
          <w:rFonts w:ascii="Times New Roman" w:hAnsi="Times New Roman" w:eastAsia="仿宋_GB2312"/>
          <w:sz w:val="32"/>
          <w:szCs w:val="32"/>
        </w:rPr>
        <w:t>台，电梯77</w:t>
      </w:r>
      <w:r>
        <w:rPr>
          <w:rFonts w:hint="eastAsia" w:ascii="Times New Roman" w:hAnsi="Times New Roman"/>
          <w:sz w:val="32"/>
          <w:szCs w:val="32"/>
        </w:rPr>
        <w:t>89</w:t>
      </w:r>
      <w:r>
        <w:rPr>
          <w:rFonts w:ascii="Times New Roman" w:hAnsi="Times New Roman" w:eastAsia="仿宋_GB2312"/>
          <w:sz w:val="32"/>
          <w:szCs w:val="32"/>
        </w:rPr>
        <w:t>台，起重机械89</w:t>
      </w:r>
      <w:r>
        <w:rPr>
          <w:rFonts w:hint="eastAsia" w:ascii="Times New Roman" w:hAnsi="Times New Roman"/>
          <w:sz w:val="32"/>
          <w:szCs w:val="32"/>
        </w:rPr>
        <w:t>8</w:t>
      </w:r>
      <w:r>
        <w:rPr>
          <w:rFonts w:ascii="Times New Roman" w:hAnsi="Times New Roman" w:eastAsia="仿宋_GB2312"/>
          <w:sz w:val="32"/>
          <w:szCs w:val="32"/>
        </w:rPr>
        <w:t>台，厂（场）内专用机动车辆32</w:t>
      </w:r>
      <w:r>
        <w:rPr>
          <w:rFonts w:hint="eastAsia" w:ascii="Times New Roman" w:hAnsi="Times New Roman"/>
          <w:sz w:val="32"/>
          <w:szCs w:val="32"/>
        </w:rPr>
        <w:t>2</w:t>
      </w:r>
      <w:r>
        <w:rPr>
          <w:rFonts w:ascii="Times New Roman" w:hAnsi="Times New Roman" w:eastAsia="仿宋_GB2312"/>
          <w:sz w:val="32"/>
          <w:szCs w:val="32"/>
        </w:rPr>
        <w:t>辆，游乐设施33台，压力管道53条。</w:t>
      </w:r>
    </w:p>
    <w:p w14:paraId="7253CB84">
      <w:pPr>
        <w:spacing w:line="600" w:lineRule="exact"/>
        <w:ind w:firstLine="680" w:firstLineChars="200"/>
        <w:rPr>
          <w:rFonts w:ascii="Times New Roman" w:hAnsi="Times New Roman" w:eastAsia="仿宋_GB2312"/>
          <w:sz w:val="32"/>
          <w:szCs w:val="32"/>
          <w:shd w:val="clear" w:color="auto" w:fill="FFFFFF"/>
        </w:rPr>
      </w:pPr>
      <w:r>
        <w:rPr>
          <w:rFonts w:ascii="Times New Roman" w:hAnsi="Times New Roman" w:eastAsia="仿宋_GB2312"/>
          <w:kern w:val="0"/>
          <w:sz w:val="32"/>
          <w:szCs w:val="32"/>
        </w:rPr>
        <w:t>2.</w:t>
      </w:r>
      <w:r>
        <w:rPr>
          <w:rFonts w:ascii="Times New Roman" w:hAnsi="Times New Roman" w:eastAsia="仿宋_GB2312"/>
          <w:sz w:val="32"/>
          <w:szCs w:val="32"/>
          <w:shd w:val="clear" w:color="auto" w:fill="FFFFFF"/>
        </w:rPr>
        <w:t>特种设备安全监察情况 </w:t>
      </w:r>
      <w:r>
        <w:rPr>
          <w:rFonts w:ascii="Times New Roman" w:hAnsi="Times New Roman"/>
          <w:sz w:val="32"/>
          <w:szCs w:val="32"/>
          <w:shd w:val="clear" w:color="auto" w:fill="FFFFFF"/>
        </w:rPr>
        <w:t>：</w:t>
      </w:r>
    </w:p>
    <w:p w14:paraId="77D568A1">
      <w:pPr>
        <w:spacing w:line="560" w:lineRule="exact"/>
        <w:rPr>
          <w:rFonts w:ascii="Times New Roman" w:hAnsi="Times New Roman" w:eastAsia="仿宋_GB2312"/>
          <w:sz w:val="32"/>
          <w:szCs w:val="32"/>
        </w:rPr>
      </w:pPr>
      <w:r>
        <w:rPr>
          <w:rFonts w:hint="eastAsia" w:ascii="Times New Roman" w:hAnsi="Times New Roman"/>
          <w:color w:val="FF0000"/>
          <w:kern w:val="0"/>
          <w:sz w:val="32"/>
          <w:szCs w:val="32"/>
        </w:rPr>
        <w:t xml:space="preserve">  </w:t>
      </w:r>
      <w:r>
        <w:rPr>
          <w:rFonts w:hint="eastAsia" w:ascii="Times New Roman" w:hAnsi="Times New Roman"/>
          <w:kern w:val="0"/>
          <w:sz w:val="32"/>
          <w:szCs w:val="32"/>
        </w:rPr>
        <w:t xml:space="preserve"> </w:t>
      </w:r>
      <w:r>
        <w:rPr>
          <w:rFonts w:ascii="Times New Roman" w:hAnsi="Times New Roman" w:eastAsia="仿宋_GB2312"/>
          <w:kern w:val="0"/>
          <w:sz w:val="32"/>
          <w:szCs w:val="32"/>
        </w:rPr>
        <w:t>在统筹做好疫情防控和安全监管的基础上，</w:t>
      </w:r>
      <w:r>
        <w:rPr>
          <w:rFonts w:ascii="Times New Roman" w:hAnsi="Times New Roman" w:eastAsia="仿宋_GB2312"/>
          <w:sz w:val="32"/>
          <w:szCs w:val="32"/>
        </w:rPr>
        <w:t>共监察使用单位156家，特种设备1994台（条），其中锅炉61台，压力容器574台（次），电梯763台（次），起重机械379台（次），游乐设施60台（次），压力管道81条，厂（场）内专用机动车78台,气瓶22257支。发现安全隐患71条，发出安全监察指令32份，未发生任何特种设备安全事故。</w:t>
      </w:r>
    </w:p>
    <w:p w14:paraId="6C947B2C">
      <w:pPr>
        <w:spacing w:line="560" w:lineRule="exact"/>
        <w:rPr>
          <w:rFonts w:ascii="Times New Roman" w:hAnsi="Times New Roman" w:eastAsia="仿宋_GB2312"/>
          <w:color w:val="FF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2098" w:right="1474" w:bottom="1984" w:left="1587" w:header="851" w:footer="1587" w:gutter="0"/>
          <w:pgNumType w:fmt="numberInDash"/>
          <w:cols w:space="720" w:num="1"/>
          <w:docGrid w:type="linesAndChars" w:linePitch="579" w:charSpace="4135"/>
        </w:sectPr>
      </w:pPr>
    </w:p>
    <w:p w14:paraId="235C94ED">
      <w:pPr>
        <w:spacing w:line="560" w:lineRule="exact"/>
        <w:jc w:val="center"/>
        <w:rPr>
          <w:rFonts w:ascii="Times New Roman" w:hAnsi="Times New Roman" w:eastAsia="仿宋_GB2312"/>
          <w:b/>
          <w:bCs/>
          <w:color w:val="000000"/>
          <w:kern w:val="0"/>
          <w:sz w:val="28"/>
          <w:szCs w:val="28"/>
          <w:lang w:bidi="ar"/>
        </w:rPr>
      </w:pPr>
      <w:r>
        <w:rPr>
          <w:rFonts w:ascii="Times New Roman" w:hAnsi="Times New Roman" w:eastAsia="仿宋_GB2312"/>
          <w:b/>
          <w:bCs/>
          <w:color w:val="000000"/>
          <w:kern w:val="0"/>
          <w:sz w:val="28"/>
          <w:szCs w:val="28"/>
          <w:lang w:bidi="ar"/>
        </w:rPr>
        <w:t>表1：特种设备安全监察情况统计</w:t>
      </w:r>
    </w:p>
    <w:tbl>
      <w:tblPr>
        <w:tblStyle w:val="13"/>
        <w:tblW w:w="8483" w:type="dxa"/>
        <w:jc w:val="center"/>
        <w:tblLayout w:type="fixed"/>
        <w:tblCellMar>
          <w:top w:w="0" w:type="dxa"/>
          <w:left w:w="0" w:type="dxa"/>
          <w:bottom w:w="0" w:type="dxa"/>
          <w:right w:w="0" w:type="dxa"/>
        </w:tblCellMar>
      </w:tblPr>
      <w:tblGrid>
        <w:gridCol w:w="2245"/>
        <w:gridCol w:w="820"/>
        <w:gridCol w:w="958"/>
        <w:gridCol w:w="2175"/>
        <w:gridCol w:w="821"/>
        <w:gridCol w:w="1464"/>
      </w:tblGrid>
      <w:tr w14:paraId="3EFDAE0F">
        <w:tblPrEx>
          <w:tblCellMar>
            <w:top w:w="0" w:type="dxa"/>
            <w:left w:w="0" w:type="dxa"/>
            <w:bottom w:w="0" w:type="dxa"/>
            <w:right w:w="0" w:type="dxa"/>
          </w:tblCellMar>
        </w:tblPrEx>
        <w:trPr>
          <w:wBefore w:w="0" w:type="dxa"/>
          <w:wAfter w:w="0" w:type="dxa"/>
          <w:trHeight w:val="473" w:hRule="atLeast"/>
          <w:jc w:val="center"/>
        </w:trPr>
        <w:tc>
          <w:tcPr>
            <w:tcW w:w="2245"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2E5F3809">
            <w:pPr>
              <w:widowControl/>
              <w:spacing w:line="360" w:lineRule="exact"/>
              <w:jc w:val="center"/>
              <w:textAlignment w:val="center"/>
              <w:rPr>
                <w:rFonts w:ascii="Times New Roman" w:hAnsi="Times New Roman"/>
                <w:color w:val="002060"/>
                <w:szCs w:val="21"/>
              </w:rPr>
            </w:pPr>
            <w:r>
              <w:rPr>
                <w:rFonts w:ascii="Times New Roman" w:hAnsi="Times New Roman"/>
                <w:color w:val="002060"/>
                <w:kern w:val="0"/>
                <w:szCs w:val="21"/>
                <w:lang w:bidi="ar"/>
              </w:rPr>
              <w:t>项目</w:t>
            </w:r>
          </w:p>
        </w:tc>
        <w:tc>
          <w:tcPr>
            <w:tcW w:w="820"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6856DB1D">
            <w:pPr>
              <w:widowControl/>
              <w:spacing w:line="360" w:lineRule="exact"/>
              <w:jc w:val="center"/>
              <w:textAlignment w:val="center"/>
              <w:rPr>
                <w:rFonts w:ascii="Times New Roman" w:hAnsi="Times New Roman"/>
                <w:color w:val="002060"/>
                <w:szCs w:val="21"/>
              </w:rPr>
            </w:pPr>
            <w:r>
              <w:rPr>
                <w:rFonts w:ascii="Times New Roman" w:hAnsi="Times New Roman"/>
                <w:color w:val="002060"/>
                <w:kern w:val="0"/>
                <w:szCs w:val="21"/>
                <w:lang w:bidi="ar"/>
              </w:rPr>
              <w:t>单位</w:t>
            </w:r>
          </w:p>
        </w:tc>
        <w:tc>
          <w:tcPr>
            <w:tcW w:w="958"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03C2B819">
            <w:pPr>
              <w:widowControl/>
              <w:spacing w:line="360" w:lineRule="exact"/>
              <w:jc w:val="center"/>
              <w:textAlignment w:val="center"/>
              <w:rPr>
                <w:rFonts w:ascii="Times New Roman" w:hAnsi="Times New Roman"/>
                <w:color w:val="002060"/>
                <w:szCs w:val="21"/>
              </w:rPr>
            </w:pPr>
            <w:r>
              <w:rPr>
                <w:rFonts w:ascii="Times New Roman" w:hAnsi="Times New Roman"/>
                <w:color w:val="002060"/>
                <w:kern w:val="0"/>
                <w:szCs w:val="21"/>
                <w:lang w:bidi="ar"/>
              </w:rPr>
              <w:t xml:space="preserve"> 数量 </w:t>
            </w:r>
          </w:p>
        </w:tc>
        <w:tc>
          <w:tcPr>
            <w:tcW w:w="2175"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0A3D7687">
            <w:pPr>
              <w:widowControl/>
              <w:spacing w:line="360" w:lineRule="exact"/>
              <w:jc w:val="center"/>
              <w:textAlignment w:val="center"/>
              <w:rPr>
                <w:rFonts w:ascii="Times New Roman" w:hAnsi="Times New Roman"/>
                <w:color w:val="002060"/>
                <w:szCs w:val="21"/>
              </w:rPr>
            </w:pPr>
            <w:r>
              <w:rPr>
                <w:rFonts w:ascii="Times New Roman" w:hAnsi="Times New Roman"/>
                <w:color w:val="002060"/>
                <w:kern w:val="0"/>
                <w:szCs w:val="21"/>
                <w:lang w:bidi="ar"/>
              </w:rPr>
              <w:t>项目</w:t>
            </w:r>
          </w:p>
        </w:tc>
        <w:tc>
          <w:tcPr>
            <w:tcW w:w="821"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31B05F9C">
            <w:pPr>
              <w:widowControl/>
              <w:spacing w:line="360" w:lineRule="exact"/>
              <w:jc w:val="center"/>
              <w:textAlignment w:val="center"/>
              <w:rPr>
                <w:rFonts w:ascii="Times New Roman" w:hAnsi="Times New Roman"/>
                <w:color w:val="002060"/>
                <w:szCs w:val="21"/>
              </w:rPr>
            </w:pPr>
            <w:r>
              <w:rPr>
                <w:rFonts w:ascii="Times New Roman" w:hAnsi="Times New Roman"/>
                <w:color w:val="002060"/>
                <w:kern w:val="0"/>
                <w:szCs w:val="21"/>
                <w:lang w:bidi="ar"/>
              </w:rPr>
              <w:t>单位</w:t>
            </w:r>
          </w:p>
        </w:tc>
        <w:tc>
          <w:tcPr>
            <w:tcW w:w="1464"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21340B11">
            <w:pPr>
              <w:widowControl/>
              <w:spacing w:line="360" w:lineRule="exact"/>
              <w:jc w:val="center"/>
              <w:textAlignment w:val="center"/>
              <w:rPr>
                <w:rFonts w:ascii="Times New Roman" w:hAnsi="Times New Roman"/>
                <w:color w:val="002060"/>
                <w:szCs w:val="21"/>
              </w:rPr>
            </w:pPr>
            <w:r>
              <w:rPr>
                <w:rFonts w:ascii="Times New Roman" w:hAnsi="Times New Roman"/>
                <w:color w:val="002060"/>
                <w:kern w:val="0"/>
                <w:szCs w:val="21"/>
                <w:lang w:bidi="ar"/>
              </w:rPr>
              <w:t xml:space="preserve"> 数量 </w:t>
            </w:r>
          </w:p>
        </w:tc>
      </w:tr>
      <w:tr w14:paraId="6BB98584">
        <w:tblPrEx>
          <w:tblCellMar>
            <w:top w:w="0" w:type="dxa"/>
            <w:left w:w="0" w:type="dxa"/>
            <w:bottom w:w="0" w:type="dxa"/>
            <w:right w:w="0" w:type="dxa"/>
          </w:tblCellMar>
        </w:tblPrEx>
        <w:trPr>
          <w:wBefore w:w="0" w:type="dxa"/>
          <w:wAfter w:w="0" w:type="dxa"/>
          <w:trHeight w:val="90" w:hRule="atLeast"/>
          <w:jc w:val="center"/>
        </w:trPr>
        <w:tc>
          <w:tcPr>
            <w:tcW w:w="2245"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76ED5CCC">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检查特种设备生产、使用、检验单位</w:t>
            </w:r>
          </w:p>
        </w:tc>
        <w:tc>
          <w:tcPr>
            <w:tcW w:w="820"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5C1CE304">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家</w:t>
            </w:r>
          </w:p>
        </w:tc>
        <w:tc>
          <w:tcPr>
            <w:tcW w:w="958"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4CE7DB45">
            <w:pPr>
              <w:widowControl/>
              <w:spacing w:line="360" w:lineRule="exact"/>
              <w:jc w:val="center"/>
              <w:textAlignment w:val="center"/>
              <w:rPr>
                <w:rFonts w:ascii="Times New Roman" w:hAnsi="Times New Roman"/>
                <w:color w:val="002060"/>
                <w:kern w:val="0"/>
                <w:szCs w:val="21"/>
                <w:lang w:bidi="ar"/>
              </w:rPr>
            </w:pPr>
            <w:r>
              <w:rPr>
                <w:rFonts w:hint="eastAsia" w:ascii="Times New Roman" w:hAnsi="Times New Roman"/>
                <w:color w:val="002060"/>
                <w:kern w:val="0"/>
                <w:szCs w:val="21"/>
                <w:lang w:bidi="ar"/>
              </w:rPr>
              <w:t>156</w:t>
            </w:r>
            <w:r>
              <w:rPr>
                <w:rFonts w:ascii="Times New Roman" w:hAnsi="Times New Roman"/>
                <w:color w:val="002060"/>
                <w:kern w:val="0"/>
                <w:szCs w:val="21"/>
                <w:lang w:bidi="ar"/>
              </w:rPr>
              <w:t xml:space="preserve"> </w:t>
            </w:r>
          </w:p>
        </w:tc>
        <w:tc>
          <w:tcPr>
            <w:tcW w:w="2175" w:type="dxa"/>
            <w:vMerge w:val="restart"/>
            <w:tcBorders>
              <w:top w:val="single" w:color="000000" w:sz="4" w:space="0"/>
              <w:left w:val="single" w:color="000000" w:sz="4" w:space="0"/>
              <w:right w:val="single" w:color="000000" w:sz="4" w:space="0"/>
            </w:tcBorders>
            <w:shd w:val="clear" w:color="auto" w:fill="FCE4D6"/>
            <w:noWrap w:val="0"/>
            <w:tcMar>
              <w:top w:w="12" w:type="dxa"/>
              <w:left w:w="12" w:type="dxa"/>
              <w:right w:w="12" w:type="dxa"/>
            </w:tcMar>
            <w:vAlign w:val="center"/>
          </w:tcPr>
          <w:p w14:paraId="0A9C95CD">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检查特种设备</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textDirection w:val="tbRlV"/>
            <w:vAlign w:val="center"/>
          </w:tcPr>
          <w:p w14:paraId="48D66DBD">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（台）次</w:t>
            </w:r>
          </w:p>
        </w:tc>
        <w:tc>
          <w:tcPr>
            <w:tcW w:w="1464" w:type="dxa"/>
            <w:vMerge w:val="restart"/>
            <w:tcBorders>
              <w:top w:val="single" w:color="000000" w:sz="4" w:space="0"/>
              <w:left w:val="single" w:color="000000" w:sz="4" w:space="0"/>
              <w:right w:val="single" w:color="000000" w:sz="4" w:space="0"/>
            </w:tcBorders>
            <w:shd w:val="clear" w:color="auto" w:fill="FCE4D6"/>
            <w:noWrap w:val="0"/>
            <w:tcMar>
              <w:top w:w="12" w:type="dxa"/>
              <w:left w:w="12" w:type="dxa"/>
              <w:right w:w="12" w:type="dxa"/>
            </w:tcMar>
            <w:vAlign w:val="center"/>
          </w:tcPr>
          <w:p w14:paraId="22ECDD8D">
            <w:pPr>
              <w:widowControl/>
              <w:spacing w:line="360" w:lineRule="exact"/>
              <w:jc w:val="center"/>
              <w:textAlignment w:val="center"/>
              <w:rPr>
                <w:rFonts w:ascii="Times New Roman" w:hAnsi="Times New Roman"/>
                <w:color w:val="002060"/>
                <w:kern w:val="0"/>
                <w:szCs w:val="21"/>
                <w:lang w:bidi="ar"/>
              </w:rPr>
            </w:pPr>
            <w:r>
              <w:rPr>
                <w:rFonts w:hint="eastAsia" w:ascii="Times New Roman" w:hAnsi="Times New Roman"/>
                <w:color w:val="002060"/>
                <w:kern w:val="0"/>
                <w:szCs w:val="21"/>
                <w:lang w:bidi="ar"/>
              </w:rPr>
              <w:t>1994</w:t>
            </w:r>
          </w:p>
        </w:tc>
      </w:tr>
      <w:tr w14:paraId="2A6DE443">
        <w:tblPrEx>
          <w:tblCellMar>
            <w:top w:w="0" w:type="dxa"/>
            <w:left w:w="0" w:type="dxa"/>
            <w:bottom w:w="0" w:type="dxa"/>
            <w:right w:w="0" w:type="dxa"/>
          </w:tblCellMar>
        </w:tblPrEx>
        <w:trPr>
          <w:wBefore w:w="0" w:type="dxa"/>
          <w:wAfter w:w="0" w:type="dxa"/>
          <w:trHeight w:val="456" w:hRule="atLeast"/>
          <w:jc w:val="center"/>
        </w:trPr>
        <w:tc>
          <w:tcPr>
            <w:tcW w:w="2245"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2FA54FD4">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发出安全监察指令书</w:t>
            </w:r>
          </w:p>
        </w:tc>
        <w:tc>
          <w:tcPr>
            <w:tcW w:w="820"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1D9BC556">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份</w:t>
            </w:r>
          </w:p>
        </w:tc>
        <w:tc>
          <w:tcPr>
            <w:tcW w:w="958"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3441DDB3">
            <w:pPr>
              <w:widowControl/>
              <w:spacing w:line="360" w:lineRule="exact"/>
              <w:jc w:val="center"/>
              <w:textAlignment w:val="center"/>
              <w:rPr>
                <w:rFonts w:ascii="Times New Roman" w:hAnsi="Times New Roman"/>
                <w:color w:val="002060"/>
                <w:kern w:val="0"/>
                <w:szCs w:val="21"/>
                <w:lang w:bidi="ar"/>
              </w:rPr>
            </w:pPr>
            <w:r>
              <w:rPr>
                <w:rFonts w:hint="eastAsia" w:ascii="Times New Roman" w:hAnsi="Times New Roman"/>
                <w:color w:val="002060"/>
                <w:kern w:val="0"/>
                <w:szCs w:val="21"/>
                <w:lang w:bidi="ar"/>
              </w:rPr>
              <w:t>32</w:t>
            </w:r>
          </w:p>
        </w:tc>
        <w:tc>
          <w:tcPr>
            <w:tcW w:w="2175" w:type="dxa"/>
            <w:vMerge w:val="continue"/>
            <w:tcBorders>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457B4C06">
            <w:pPr>
              <w:widowControl/>
              <w:spacing w:line="360" w:lineRule="exact"/>
              <w:jc w:val="center"/>
              <w:textAlignment w:val="center"/>
              <w:rPr>
                <w:rFonts w:ascii="Times New Roman" w:hAnsi="Times New Roman"/>
                <w:color w:val="00206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textDirection w:val="tbRlV"/>
            <w:vAlign w:val="center"/>
          </w:tcPr>
          <w:p w14:paraId="4364B5F4">
            <w:pPr>
              <w:widowControl/>
              <w:spacing w:line="360" w:lineRule="exact"/>
              <w:jc w:val="center"/>
              <w:textAlignment w:val="center"/>
              <w:rPr>
                <w:rFonts w:ascii="Times New Roman" w:hAnsi="Times New Roman"/>
                <w:color w:val="002060"/>
                <w:kern w:val="0"/>
                <w:szCs w:val="21"/>
                <w:lang w:bidi="ar"/>
              </w:rPr>
            </w:pPr>
          </w:p>
        </w:tc>
        <w:tc>
          <w:tcPr>
            <w:tcW w:w="1464" w:type="dxa"/>
            <w:vMerge w:val="continue"/>
            <w:tcBorders>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21A3C73F">
            <w:pPr>
              <w:widowControl/>
              <w:spacing w:line="360" w:lineRule="exact"/>
              <w:jc w:val="center"/>
              <w:textAlignment w:val="center"/>
              <w:rPr>
                <w:rFonts w:ascii="Times New Roman" w:hAnsi="Times New Roman"/>
                <w:color w:val="002060"/>
                <w:kern w:val="0"/>
                <w:szCs w:val="21"/>
                <w:lang w:bidi="ar"/>
              </w:rPr>
            </w:pPr>
          </w:p>
        </w:tc>
      </w:tr>
      <w:tr w14:paraId="63D668CB">
        <w:tblPrEx>
          <w:tblCellMar>
            <w:top w:w="0" w:type="dxa"/>
            <w:left w:w="0" w:type="dxa"/>
            <w:bottom w:w="0" w:type="dxa"/>
            <w:right w:w="0" w:type="dxa"/>
          </w:tblCellMar>
        </w:tblPrEx>
        <w:trPr>
          <w:wBefore w:w="0" w:type="dxa"/>
          <w:wAfter w:w="0" w:type="dxa"/>
          <w:trHeight w:val="476" w:hRule="atLeast"/>
          <w:jc w:val="center"/>
        </w:trPr>
        <w:tc>
          <w:tcPr>
            <w:tcW w:w="2245"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7B4F1669">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发现安全隐患</w:t>
            </w:r>
          </w:p>
        </w:tc>
        <w:tc>
          <w:tcPr>
            <w:tcW w:w="820" w:type="dxa"/>
            <w:vMerge w:val="restart"/>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6B7F5F39">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条</w:t>
            </w:r>
          </w:p>
        </w:tc>
        <w:tc>
          <w:tcPr>
            <w:tcW w:w="958"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5D394F9C">
            <w:pPr>
              <w:widowControl/>
              <w:spacing w:line="360" w:lineRule="exact"/>
              <w:jc w:val="center"/>
              <w:textAlignment w:val="center"/>
              <w:rPr>
                <w:rFonts w:ascii="Times New Roman" w:hAnsi="Times New Roman"/>
                <w:color w:val="002060"/>
                <w:kern w:val="0"/>
                <w:szCs w:val="21"/>
                <w:lang w:bidi="ar"/>
              </w:rPr>
            </w:pPr>
            <w:r>
              <w:rPr>
                <w:rFonts w:hint="eastAsia" w:ascii="Times New Roman" w:hAnsi="Times New Roman"/>
                <w:color w:val="002060"/>
                <w:kern w:val="0"/>
                <w:szCs w:val="21"/>
                <w:lang w:bidi="ar"/>
              </w:rPr>
              <w:t>71</w:t>
            </w:r>
          </w:p>
        </w:tc>
        <w:tc>
          <w:tcPr>
            <w:tcW w:w="2175" w:type="dxa"/>
            <w:vMerge w:val="restart"/>
            <w:tcBorders>
              <w:top w:val="single" w:color="000000" w:sz="4" w:space="0"/>
              <w:left w:val="single" w:color="000000" w:sz="4" w:space="0"/>
              <w:right w:val="single" w:color="000000" w:sz="4" w:space="0"/>
            </w:tcBorders>
            <w:shd w:val="clear" w:color="auto" w:fill="FCE4D6"/>
            <w:noWrap w:val="0"/>
            <w:tcMar>
              <w:top w:w="12" w:type="dxa"/>
              <w:left w:w="12" w:type="dxa"/>
              <w:right w:w="12" w:type="dxa"/>
            </w:tcMar>
            <w:vAlign w:val="center"/>
          </w:tcPr>
          <w:p w14:paraId="244DBD9E">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检查压力管道</w:t>
            </w:r>
          </w:p>
        </w:tc>
        <w:tc>
          <w:tcPr>
            <w:tcW w:w="821" w:type="dxa"/>
            <w:vMerge w:val="restart"/>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textDirection w:val="tbRlV"/>
            <w:vAlign w:val="center"/>
          </w:tcPr>
          <w:p w14:paraId="79911DED">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条</w:t>
            </w:r>
          </w:p>
        </w:tc>
        <w:tc>
          <w:tcPr>
            <w:tcW w:w="1464" w:type="dxa"/>
            <w:vMerge w:val="restart"/>
            <w:tcBorders>
              <w:top w:val="single" w:color="000000" w:sz="4" w:space="0"/>
              <w:left w:val="single" w:color="000000" w:sz="4" w:space="0"/>
              <w:right w:val="single" w:color="000000" w:sz="4" w:space="0"/>
            </w:tcBorders>
            <w:shd w:val="clear" w:color="auto" w:fill="FCE4D6"/>
            <w:noWrap w:val="0"/>
            <w:tcMar>
              <w:top w:w="12" w:type="dxa"/>
              <w:left w:w="12" w:type="dxa"/>
              <w:right w:w="12" w:type="dxa"/>
            </w:tcMar>
            <w:vAlign w:val="center"/>
          </w:tcPr>
          <w:p w14:paraId="5C881669">
            <w:pPr>
              <w:widowControl/>
              <w:spacing w:line="360" w:lineRule="exact"/>
              <w:jc w:val="center"/>
              <w:textAlignment w:val="center"/>
              <w:rPr>
                <w:rFonts w:ascii="Times New Roman" w:hAnsi="Times New Roman"/>
                <w:color w:val="002060"/>
                <w:kern w:val="0"/>
                <w:szCs w:val="21"/>
                <w:lang w:bidi="ar"/>
              </w:rPr>
            </w:pPr>
            <w:r>
              <w:rPr>
                <w:rFonts w:hint="eastAsia" w:ascii="Times New Roman" w:hAnsi="Times New Roman"/>
                <w:color w:val="002060"/>
                <w:kern w:val="0"/>
                <w:szCs w:val="21"/>
                <w:lang w:bidi="ar"/>
              </w:rPr>
              <w:t>81</w:t>
            </w:r>
          </w:p>
        </w:tc>
      </w:tr>
      <w:tr w14:paraId="7220CF46">
        <w:tblPrEx>
          <w:tblCellMar>
            <w:top w:w="0" w:type="dxa"/>
            <w:left w:w="0" w:type="dxa"/>
            <w:bottom w:w="0" w:type="dxa"/>
            <w:right w:w="0" w:type="dxa"/>
          </w:tblCellMar>
        </w:tblPrEx>
        <w:trPr>
          <w:wBefore w:w="0" w:type="dxa"/>
          <w:wAfter w:w="0" w:type="dxa"/>
          <w:trHeight w:val="303" w:hRule="atLeast"/>
          <w:jc w:val="center"/>
        </w:trPr>
        <w:tc>
          <w:tcPr>
            <w:tcW w:w="2245"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58805455">
            <w:pPr>
              <w:widowControl/>
              <w:spacing w:line="360" w:lineRule="exact"/>
              <w:jc w:val="center"/>
              <w:textAlignment w:val="center"/>
              <w:rPr>
                <w:rFonts w:ascii="Times New Roman" w:hAnsi="Times New Roman"/>
                <w:color w:val="002060"/>
                <w:kern w:val="0"/>
                <w:szCs w:val="21"/>
                <w:lang w:bidi="ar"/>
              </w:rPr>
            </w:pPr>
            <w:r>
              <w:rPr>
                <w:rFonts w:ascii="Times New Roman" w:hAnsi="Times New Roman"/>
                <w:color w:val="002060"/>
                <w:kern w:val="0"/>
                <w:szCs w:val="21"/>
                <w:lang w:bidi="ar"/>
              </w:rPr>
              <w:t>完成安全隐患整改</w:t>
            </w:r>
          </w:p>
        </w:tc>
        <w:tc>
          <w:tcPr>
            <w:tcW w:w="820" w:type="dxa"/>
            <w:vMerge w:val="continue"/>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068B5FAE">
            <w:pPr>
              <w:widowControl/>
              <w:spacing w:line="360" w:lineRule="exact"/>
              <w:jc w:val="center"/>
              <w:textAlignment w:val="center"/>
              <w:rPr>
                <w:rFonts w:ascii="Times New Roman" w:hAnsi="Times New Roman"/>
                <w:color w:val="002060"/>
                <w:kern w:val="0"/>
                <w:szCs w:val="21"/>
                <w:lang w:bidi="ar"/>
              </w:rPr>
            </w:pPr>
          </w:p>
        </w:tc>
        <w:tc>
          <w:tcPr>
            <w:tcW w:w="958"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22A8CF5C">
            <w:pPr>
              <w:widowControl/>
              <w:spacing w:line="360" w:lineRule="exact"/>
              <w:jc w:val="center"/>
              <w:textAlignment w:val="center"/>
              <w:rPr>
                <w:rFonts w:ascii="Times New Roman" w:hAnsi="Times New Roman"/>
                <w:color w:val="002060"/>
                <w:kern w:val="0"/>
                <w:szCs w:val="21"/>
                <w:lang w:bidi="ar"/>
              </w:rPr>
            </w:pPr>
            <w:r>
              <w:rPr>
                <w:rFonts w:hint="eastAsia" w:ascii="Times New Roman" w:hAnsi="Times New Roman"/>
                <w:color w:val="002060"/>
                <w:kern w:val="0"/>
                <w:szCs w:val="21"/>
                <w:lang w:bidi="ar"/>
              </w:rPr>
              <w:t>50</w:t>
            </w:r>
          </w:p>
        </w:tc>
        <w:tc>
          <w:tcPr>
            <w:tcW w:w="2175" w:type="dxa"/>
            <w:vMerge w:val="continue"/>
            <w:tcBorders>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5603BC78">
            <w:pPr>
              <w:widowControl/>
              <w:spacing w:line="360" w:lineRule="exact"/>
              <w:jc w:val="center"/>
              <w:textAlignment w:val="center"/>
              <w:rPr>
                <w:rFonts w:ascii="Times New Roman" w:hAnsi="Times New Roman"/>
                <w:color w:val="002060"/>
                <w:kern w:val="0"/>
                <w:szCs w:val="21"/>
                <w:lang w:bidi="ar"/>
              </w:rPr>
            </w:pPr>
          </w:p>
        </w:tc>
        <w:tc>
          <w:tcPr>
            <w:tcW w:w="821" w:type="dxa"/>
            <w:vMerge w:val="continue"/>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textDirection w:val="tbRlV"/>
            <w:vAlign w:val="center"/>
          </w:tcPr>
          <w:p w14:paraId="4EF58FE8">
            <w:pPr>
              <w:widowControl/>
              <w:spacing w:line="360" w:lineRule="exact"/>
              <w:jc w:val="center"/>
              <w:textAlignment w:val="center"/>
              <w:rPr>
                <w:rFonts w:ascii="Times New Roman" w:hAnsi="Times New Roman"/>
                <w:color w:val="002060"/>
                <w:kern w:val="0"/>
                <w:szCs w:val="21"/>
                <w:lang w:bidi="ar"/>
              </w:rPr>
            </w:pPr>
          </w:p>
        </w:tc>
        <w:tc>
          <w:tcPr>
            <w:tcW w:w="1464" w:type="dxa"/>
            <w:vMerge w:val="continue"/>
            <w:tcBorders>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60053A2E">
            <w:pPr>
              <w:widowControl/>
              <w:spacing w:line="360" w:lineRule="exact"/>
              <w:jc w:val="center"/>
              <w:textAlignment w:val="center"/>
              <w:rPr>
                <w:rFonts w:ascii="Times New Roman" w:hAnsi="Times New Roman"/>
                <w:color w:val="002060"/>
                <w:kern w:val="0"/>
                <w:szCs w:val="21"/>
                <w:lang w:bidi="ar"/>
              </w:rPr>
            </w:pPr>
          </w:p>
        </w:tc>
      </w:tr>
      <w:tr w14:paraId="4345727E">
        <w:tblPrEx>
          <w:tblCellMar>
            <w:top w:w="0" w:type="dxa"/>
            <w:left w:w="0" w:type="dxa"/>
            <w:bottom w:w="0" w:type="dxa"/>
            <w:right w:w="0" w:type="dxa"/>
          </w:tblCellMar>
        </w:tblPrEx>
        <w:trPr>
          <w:wBefore w:w="0" w:type="dxa"/>
          <w:wAfter w:w="0" w:type="dxa"/>
          <w:trHeight w:val="501" w:hRule="atLeast"/>
          <w:jc w:val="center"/>
        </w:trPr>
        <w:tc>
          <w:tcPr>
            <w:tcW w:w="2245"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5D0C3BE7">
            <w:pPr>
              <w:widowControl/>
              <w:spacing w:line="360" w:lineRule="exact"/>
              <w:jc w:val="center"/>
              <w:textAlignment w:val="center"/>
              <w:rPr>
                <w:rFonts w:ascii="Times New Roman" w:hAnsi="Times New Roman"/>
                <w:color w:val="5F0007"/>
                <w:szCs w:val="21"/>
              </w:rPr>
            </w:pPr>
            <w:r>
              <w:rPr>
                <w:rFonts w:ascii="Times New Roman" w:hAnsi="Times New Roman"/>
                <w:color w:val="5F0007"/>
                <w:kern w:val="0"/>
                <w:szCs w:val="21"/>
                <w:lang w:bidi="ar"/>
              </w:rPr>
              <w:t>查处违法案件</w:t>
            </w:r>
          </w:p>
        </w:tc>
        <w:tc>
          <w:tcPr>
            <w:tcW w:w="820"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50934034">
            <w:pPr>
              <w:widowControl/>
              <w:spacing w:line="360" w:lineRule="exact"/>
              <w:jc w:val="center"/>
              <w:textAlignment w:val="center"/>
              <w:rPr>
                <w:rFonts w:ascii="Times New Roman" w:hAnsi="Times New Roman"/>
                <w:color w:val="5F0007"/>
                <w:szCs w:val="21"/>
              </w:rPr>
            </w:pPr>
            <w:r>
              <w:rPr>
                <w:rFonts w:ascii="Times New Roman" w:hAnsi="Times New Roman"/>
                <w:color w:val="5F0007"/>
                <w:kern w:val="0"/>
                <w:szCs w:val="21"/>
                <w:lang w:bidi="ar"/>
              </w:rPr>
              <w:t>起</w:t>
            </w:r>
          </w:p>
        </w:tc>
        <w:tc>
          <w:tcPr>
            <w:tcW w:w="958"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5F2A83BC">
            <w:pPr>
              <w:widowControl/>
              <w:spacing w:line="360" w:lineRule="exact"/>
              <w:jc w:val="center"/>
              <w:textAlignment w:val="center"/>
              <w:rPr>
                <w:rFonts w:ascii="Times New Roman" w:hAnsi="Times New Roman"/>
                <w:color w:val="5F0007"/>
                <w:szCs w:val="21"/>
              </w:rPr>
            </w:pPr>
            <w:r>
              <w:rPr>
                <w:rFonts w:ascii="Times New Roman" w:hAnsi="Times New Roman"/>
                <w:color w:val="5F0007"/>
                <w:szCs w:val="21"/>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74244A26">
            <w:pPr>
              <w:widowControl/>
              <w:spacing w:line="360" w:lineRule="exact"/>
              <w:jc w:val="center"/>
              <w:textAlignment w:val="center"/>
              <w:rPr>
                <w:rFonts w:ascii="Times New Roman" w:hAnsi="Times New Roman"/>
                <w:color w:val="5F0007"/>
                <w:szCs w:val="21"/>
              </w:rPr>
            </w:pPr>
            <w:r>
              <w:rPr>
                <w:rFonts w:ascii="Times New Roman" w:hAnsi="Times New Roman"/>
                <w:color w:val="5F0007"/>
                <w:kern w:val="0"/>
                <w:szCs w:val="21"/>
                <w:lang w:bidi="ar"/>
              </w:rPr>
              <w:t>罚没款</w:t>
            </w:r>
          </w:p>
        </w:tc>
        <w:tc>
          <w:tcPr>
            <w:tcW w:w="821"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233043F2">
            <w:pPr>
              <w:widowControl/>
              <w:spacing w:line="360" w:lineRule="exact"/>
              <w:jc w:val="center"/>
              <w:textAlignment w:val="center"/>
              <w:rPr>
                <w:rFonts w:ascii="Times New Roman" w:hAnsi="Times New Roman"/>
                <w:color w:val="5F0007"/>
                <w:szCs w:val="21"/>
              </w:rPr>
            </w:pPr>
            <w:r>
              <w:rPr>
                <w:rFonts w:ascii="Times New Roman" w:hAnsi="Times New Roman"/>
                <w:color w:val="5F0007"/>
                <w:kern w:val="0"/>
                <w:szCs w:val="21"/>
                <w:lang w:bidi="ar"/>
              </w:rPr>
              <w:t>万元</w:t>
            </w:r>
          </w:p>
        </w:tc>
        <w:tc>
          <w:tcPr>
            <w:tcW w:w="1464" w:type="dxa"/>
            <w:tcBorders>
              <w:top w:val="single" w:color="000000" w:sz="4" w:space="0"/>
              <w:left w:val="single" w:color="000000" w:sz="4" w:space="0"/>
              <w:bottom w:val="single" w:color="000000" w:sz="4" w:space="0"/>
              <w:right w:val="single" w:color="000000" w:sz="4" w:space="0"/>
            </w:tcBorders>
            <w:shd w:val="clear" w:color="auto" w:fill="FCE4D6"/>
            <w:noWrap w:val="0"/>
            <w:tcMar>
              <w:top w:w="12" w:type="dxa"/>
              <w:left w:w="12" w:type="dxa"/>
              <w:right w:w="12" w:type="dxa"/>
            </w:tcMar>
            <w:vAlign w:val="center"/>
          </w:tcPr>
          <w:p w14:paraId="6955C18F">
            <w:pPr>
              <w:widowControl/>
              <w:spacing w:line="360" w:lineRule="exact"/>
              <w:jc w:val="center"/>
              <w:textAlignment w:val="center"/>
              <w:rPr>
                <w:rFonts w:ascii="Times New Roman" w:hAnsi="Times New Roman"/>
                <w:color w:val="5F0007"/>
                <w:szCs w:val="21"/>
              </w:rPr>
            </w:pPr>
            <w:r>
              <w:rPr>
                <w:rFonts w:ascii="Times New Roman" w:hAnsi="Times New Roman"/>
                <w:color w:val="5F0007"/>
                <w:szCs w:val="21"/>
              </w:rPr>
              <w:t>4</w:t>
            </w:r>
          </w:p>
        </w:tc>
      </w:tr>
    </w:tbl>
    <w:p w14:paraId="73BECE7D">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w:t>
      </w:r>
      <w:r>
        <w:rPr>
          <w:rFonts w:ascii="Times New Roman" w:hAnsi="Times New Roman" w:eastAsia="楷体_GB2312"/>
          <w:sz w:val="32"/>
          <w:szCs w:val="32"/>
        </w:rPr>
        <w:t>特种设备投诉受理情况：截止目前</w:t>
      </w:r>
      <w:r>
        <w:rPr>
          <w:rFonts w:ascii="Times New Roman" w:hAnsi="Times New Roman" w:eastAsia="仿宋_GB2312"/>
          <w:sz w:val="32"/>
          <w:szCs w:val="32"/>
        </w:rPr>
        <w:t>，共受理特种设备投诉</w:t>
      </w:r>
      <w:r>
        <w:rPr>
          <w:rFonts w:ascii="Times New Roman" w:hAnsi="Times New Roman"/>
          <w:sz w:val="32"/>
          <w:szCs w:val="32"/>
        </w:rPr>
        <w:t>12</w:t>
      </w:r>
      <w:r>
        <w:rPr>
          <w:rFonts w:ascii="Times New Roman" w:hAnsi="Times New Roman" w:eastAsia="仿宋_GB2312"/>
          <w:sz w:val="32"/>
          <w:szCs w:val="32"/>
        </w:rPr>
        <w:t>起，其中电梯</w:t>
      </w:r>
      <w:r>
        <w:rPr>
          <w:rFonts w:ascii="Times New Roman" w:hAnsi="Times New Roman"/>
          <w:sz w:val="32"/>
          <w:szCs w:val="32"/>
        </w:rPr>
        <w:t>12</w:t>
      </w:r>
      <w:r>
        <w:rPr>
          <w:rFonts w:ascii="Times New Roman" w:hAnsi="Times New Roman" w:eastAsia="仿宋_GB2312"/>
          <w:sz w:val="32"/>
          <w:szCs w:val="32"/>
        </w:rPr>
        <w:t>起，处理率100%。</w:t>
      </w:r>
    </w:p>
    <w:p w14:paraId="574DF08C">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w:t>
      </w:r>
      <w:r>
        <w:rPr>
          <w:rFonts w:ascii="Times New Roman" w:hAnsi="Times New Roman" w:eastAsia="黑体"/>
          <w:sz w:val="32"/>
          <w:szCs w:val="32"/>
        </w:rPr>
        <w:t>、特种设备事故情况</w:t>
      </w:r>
    </w:p>
    <w:p w14:paraId="038E0E78">
      <w:pPr>
        <w:spacing w:line="560" w:lineRule="exact"/>
        <w:ind w:firstLine="640" w:firstLineChars="200"/>
        <w:rPr>
          <w:rFonts w:ascii="Times New Roman" w:hAnsi="Times New Roman"/>
        </w:rPr>
      </w:pPr>
      <w:r>
        <w:rPr>
          <w:rFonts w:ascii="Times New Roman" w:hAnsi="Times New Roman" w:eastAsia="仿宋_GB2312"/>
          <w:sz w:val="32"/>
          <w:szCs w:val="32"/>
        </w:rPr>
        <w:t>年</w:t>
      </w:r>
      <w:r>
        <w:rPr>
          <w:rFonts w:ascii="Times New Roman" w:hAnsi="Times New Roman"/>
          <w:sz w:val="32"/>
          <w:szCs w:val="32"/>
        </w:rPr>
        <w:t>截止目前</w:t>
      </w:r>
      <w:r>
        <w:rPr>
          <w:rFonts w:ascii="Times New Roman" w:hAnsi="Times New Roman" w:eastAsia="仿宋_GB2312"/>
          <w:color w:val="000000"/>
          <w:kern w:val="0"/>
          <w:sz w:val="32"/>
          <w:szCs w:val="32"/>
        </w:rPr>
        <w:t>共发生特种设备事故零起。</w:t>
      </w:r>
    </w:p>
    <w:p w14:paraId="0A6790C1">
      <w:pPr>
        <w:widowControl/>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w:t>
      </w:r>
      <w:r>
        <w:rPr>
          <w:rFonts w:ascii="Times New Roman" w:hAnsi="Times New Roman" w:eastAsia="黑体"/>
          <w:sz w:val="32"/>
          <w:szCs w:val="32"/>
        </w:rPr>
        <w:t>、工作开展情况</w:t>
      </w:r>
    </w:p>
    <w:p w14:paraId="1ECBF8BB">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（一）全面开展各类专项整治工作</w:t>
      </w:r>
    </w:p>
    <w:p w14:paraId="061C7ED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按照省、市市场监管局年特种设备安全监督检查工作计划和市委市政府、区委区政府安全生产工作要求，结合我局年重点工作目标、结合安全生产大检查工作计划，我局制定了《昆明市五华区市场监督管理局年特种设备安全监督检查工作计划》（五市监〔44〕号）、《五华区市场监督管理局安全生产集中整治工作实施方案》、《五华区特种设备使用单位（企业）复工复产安全大检查工作实施方案》（五市监〔26〕号）、《切实做好疫情防控期间复工复产特种设备安全监管工作实施方案》（五市监〔18〕号）等文件，并按照计划要求实施了锅炉、气瓶充装单位安全生产隐患排查治理工作，全面开展安全隐患自查自纠，督促使用单位落实企业主体责任，消除安全隐患。严格查处存在的违法行为，消除存在的安全隐患。完成岁末年初安全大检查及安全隐患大排查工作，以宾馆、酒店、商场、公园、旅游景区、气体充装站、化工企业、机械式停车场、重点建设工程和人口密集场所等作为重点单位和重点检查范围，重点排查治理了电梯、大型游乐设施、锅炉、压力容器、压力管道、机械式停车设备等方面的隐患，责令企业限期整改到位，有效消除了辖区特种设备安全隐患。我局深入开展特种设备隐患治理和“打非治违”工作，实消除事故隐患，预防和减少事故发生。</w:t>
      </w:r>
    </w:p>
    <w:p w14:paraId="03B3CEDA">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（二）积极开展燃煤锅炉整治工作</w:t>
      </w:r>
    </w:p>
    <w:p w14:paraId="4C7C59E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根据相关文件要求</w:t>
      </w:r>
      <w:r>
        <w:rPr>
          <w:rFonts w:ascii="Times New Roman" w:hAnsi="Times New Roman" w:eastAsia="仿宋_GB2312"/>
          <w:kern w:val="0"/>
          <w:sz w:val="32"/>
          <w:szCs w:val="32"/>
        </w:rPr>
        <w:t>，我局高度重视，</w:t>
      </w:r>
      <w:r>
        <w:rPr>
          <w:rFonts w:ascii="Times New Roman" w:hAnsi="Times New Roman" w:eastAsia="仿宋_GB2312"/>
          <w:sz w:val="32"/>
          <w:szCs w:val="32"/>
        </w:rPr>
        <w:t>牢固树立“绿水青山就是金山银山”的理念，坚持生态优先、保护优先、节约优先，坚持绿色发展、低碳发展、循环发展，调整产业结构，淘汰落后产能，实施清洁生产，坚决打赢污染防治攻坚战，建设天更蓝、地更绿、水更清、空气更清新的美丽五华区。目前已清理339台，其中燃煤锅炉有228台；在用锅炉有109台，其中10蒸吨以上的锅炉有11台，对此我执法人员继续加强监管，已督促使用燃煤锅炉的单位及时办理注销使用登记手续。</w:t>
      </w:r>
    </w:p>
    <w:p w14:paraId="5F9369FA">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（三）抓好特种设备节能监管工作</w:t>
      </w:r>
    </w:p>
    <w:p w14:paraId="3F80350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加强锅炉节能监察。通过开展现场监督检查，督促使用单位加强安全管理和水处理检测工作，做好安全和节能宣传。积极配合支持省特检院开展锅炉能效测试，对不符合能效指标的锅炉不予注册登记，并督促企业按照要求进行整改；支持推广电梯节能技术。针对能耗较高的在用电梯，我局根据设备实际使用情况，引导支持使用单位，对电梯实施节能改造。在电梯节能改造中，严格按照要求及时做好相应服务工作，确保节能改造后的电梯的安全可靠运行。</w:t>
      </w:r>
    </w:p>
    <w:p w14:paraId="32DC0C52">
      <w:pPr>
        <w:widowControl/>
        <w:shd w:val="clear" w:color="auto" w:fill="FFFFFF"/>
        <w:spacing w:line="560" w:lineRule="exact"/>
        <w:ind w:firstLine="640" w:firstLineChars="200"/>
        <w:rPr>
          <w:rFonts w:ascii="Times New Roman" w:hAnsi="Times New Roman" w:eastAsia="楷体_GB2312"/>
          <w:kern w:val="0"/>
          <w:sz w:val="32"/>
          <w:szCs w:val="32"/>
        </w:rPr>
      </w:pPr>
      <w:r>
        <w:rPr>
          <w:rFonts w:ascii="Times New Roman" w:hAnsi="Times New Roman" w:eastAsia="楷体_GB2312"/>
          <w:kern w:val="0"/>
          <w:sz w:val="32"/>
          <w:szCs w:val="32"/>
        </w:rPr>
        <w:t>（四）疫情防控及复工复产安全保障工作</w:t>
      </w:r>
    </w:p>
    <w:p w14:paraId="29ABDDA2">
      <w:pPr>
        <w:widowControl/>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在疫情防控关键时刻，按照市局《关于做好疫情防控期间特种设备安全保障工作的通知》，到化工企业、气体充装企业、景区开展复工复产、疫情防控及安全生产指导帮扶，抓实涉疫单位（场所）安全生产排查整治和复工复产安全生产，截止目前，全市市场监管系统共检查涉疫企业</w:t>
      </w:r>
      <w:r>
        <w:rPr>
          <w:rFonts w:ascii="Times New Roman" w:hAnsi="Times New Roman"/>
          <w:kern w:val="0"/>
          <w:sz w:val="32"/>
          <w:szCs w:val="32"/>
        </w:rPr>
        <w:t>4</w:t>
      </w:r>
      <w:r>
        <w:rPr>
          <w:rFonts w:ascii="Times New Roman" w:hAnsi="Times New Roman" w:eastAsia="仿宋_GB2312"/>
          <w:kern w:val="0"/>
          <w:sz w:val="32"/>
          <w:szCs w:val="32"/>
        </w:rPr>
        <w:t>家次，出动</w:t>
      </w:r>
      <w:r>
        <w:rPr>
          <w:rFonts w:ascii="Times New Roman" w:hAnsi="Times New Roman"/>
          <w:kern w:val="0"/>
          <w:sz w:val="32"/>
          <w:szCs w:val="32"/>
        </w:rPr>
        <w:t>10</w:t>
      </w:r>
      <w:r>
        <w:rPr>
          <w:rFonts w:ascii="Times New Roman" w:hAnsi="Times New Roman" w:eastAsia="仿宋_GB2312"/>
          <w:kern w:val="0"/>
          <w:sz w:val="32"/>
          <w:szCs w:val="32"/>
        </w:rPr>
        <w:t>人次，排除隐患</w:t>
      </w:r>
      <w:r>
        <w:rPr>
          <w:rFonts w:ascii="Times New Roman" w:hAnsi="Times New Roman"/>
          <w:kern w:val="0"/>
          <w:sz w:val="32"/>
          <w:szCs w:val="32"/>
        </w:rPr>
        <w:t>1</w:t>
      </w:r>
      <w:r>
        <w:rPr>
          <w:rFonts w:ascii="Times New Roman" w:hAnsi="Times New Roman" w:eastAsia="仿宋_GB2312"/>
          <w:kern w:val="0"/>
          <w:sz w:val="32"/>
          <w:szCs w:val="32"/>
        </w:rPr>
        <w:t>条，已整改</w:t>
      </w:r>
      <w:r>
        <w:rPr>
          <w:rFonts w:ascii="Times New Roman" w:hAnsi="Times New Roman"/>
          <w:kern w:val="0"/>
          <w:sz w:val="32"/>
          <w:szCs w:val="32"/>
        </w:rPr>
        <w:t>1</w:t>
      </w:r>
      <w:r>
        <w:rPr>
          <w:rFonts w:ascii="Times New Roman" w:hAnsi="Times New Roman" w:eastAsia="仿宋_GB2312"/>
          <w:kern w:val="0"/>
          <w:sz w:val="32"/>
          <w:szCs w:val="32"/>
        </w:rPr>
        <w:t>条。</w:t>
      </w:r>
    </w:p>
    <w:p w14:paraId="411E5F71">
      <w:pPr>
        <w:widowControl/>
        <w:shd w:val="clear" w:color="auto" w:fill="FFFFFF"/>
        <w:spacing w:line="560" w:lineRule="exact"/>
        <w:ind w:firstLine="640" w:firstLineChars="200"/>
        <w:rPr>
          <w:rFonts w:ascii="Times New Roman" w:hAnsi="Times New Roman" w:eastAsia="楷体_GB2312"/>
          <w:kern w:val="0"/>
          <w:sz w:val="32"/>
          <w:szCs w:val="32"/>
        </w:rPr>
      </w:pPr>
      <w:r>
        <w:rPr>
          <w:rFonts w:ascii="Times New Roman" w:hAnsi="Times New Roman" w:eastAsia="楷体_GB2312"/>
          <w:kern w:val="0"/>
          <w:sz w:val="32"/>
          <w:szCs w:val="32"/>
        </w:rPr>
        <w:t>（五）积极开展特种设备安全大检查工作</w:t>
      </w:r>
    </w:p>
    <w:p w14:paraId="230BAE54">
      <w:pPr>
        <w:widowControl/>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根据省、市文件工作要求，结合我市特种设备实际情况，开展“元旦”、“春节”、“两会”、“五一”、“六一”等节假日期间安全大检查，组织对工厂、医院、冶金、危化品、火力发电等重点企业及公园、车站、大型购物场所、宾馆饭店等公众集聚场所进行重点检查。</w:t>
      </w:r>
    </w:p>
    <w:p w14:paraId="5044A928">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（六）帮助指导市场监督管理所开展工作</w:t>
      </w:r>
    </w:p>
    <w:p w14:paraId="11D085A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为确保各所职能发挥，强化“传帮带”，对各所人员进行特种设备安全知识培训，以任务为牵引，以监督执法为抓手，以确保特种设备生产经营安全为主要目的，提升各所人员实施特种设备监管的能力。</w:t>
      </w:r>
    </w:p>
    <w:p w14:paraId="4C534713">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（七）持续推进气瓶电子二维码录入、粘贴工作</w:t>
      </w:r>
    </w:p>
    <w:p w14:paraId="38B42F49">
      <w:pPr>
        <w:spacing w:line="560" w:lineRule="exact"/>
        <w:ind w:firstLine="640" w:firstLineChars="200"/>
        <w:rPr>
          <w:rFonts w:ascii="Times New Roman" w:hAnsi="Times New Roman" w:eastAsia="仿宋_GB2312"/>
          <w:color w:val="FF0000"/>
          <w:sz w:val="32"/>
          <w:szCs w:val="32"/>
        </w:rPr>
      </w:pPr>
      <w:r>
        <w:rPr>
          <w:rFonts w:ascii="Times New Roman" w:hAnsi="Times New Roman" w:eastAsia="仿宋_GB2312"/>
          <w:sz w:val="32"/>
          <w:szCs w:val="32"/>
        </w:rPr>
        <w:t>对辖区内6家气体充装单位进行不间断督促指导，强力推进气瓶电子二维码录入、粘贴工作，找准问题症结所在，多方协调解决困难，截止</w:t>
      </w:r>
      <w:r>
        <w:rPr>
          <w:rFonts w:ascii="Times New Roman" w:hAnsi="Times New Roman"/>
          <w:sz w:val="32"/>
          <w:szCs w:val="32"/>
        </w:rPr>
        <w:t>目前</w:t>
      </w:r>
      <w:r>
        <w:rPr>
          <w:rFonts w:ascii="Times New Roman" w:hAnsi="Times New Roman" w:eastAsia="仿宋_GB2312"/>
          <w:sz w:val="32"/>
          <w:szCs w:val="32"/>
        </w:rPr>
        <w:t>，昆明氧气厂完成率为100%，富明薪冶工贸有限公司五华分公司完成率为46.53%，云铜氧气厂完成率为99.01%，昆明泰瑞佳气体有限公司完成率为85.9%，昆明滇楚液化气有限公司完成率为97.1%，昆明西江燃气有限公司完成率为94.18%。</w:t>
      </w:r>
    </w:p>
    <w:p w14:paraId="7A4B7C0C">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（八）稳步推进专项整治工作</w:t>
      </w:r>
    </w:p>
    <w:p w14:paraId="36AAC15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w:t>
      </w:r>
      <w:r>
        <w:rPr>
          <w:rFonts w:hint="eastAsia" w:ascii="Times New Roman" w:hAnsi="Times New Roman" w:eastAsia="仿宋_GB2312"/>
          <w:sz w:val="32"/>
          <w:szCs w:val="32"/>
        </w:rPr>
        <w:t>昆明市局</w:t>
      </w:r>
      <w:r>
        <w:rPr>
          <w:rFonts w:ascii="Times New Roman" w:hAnsi="Times New Roman" w:eastAsia="仿宋_GB2312"/>
          <w:sz w:val="32"/>
          <w:szCs w:val="32"/>
        </w:rPr>
        <w:t>计划安排，</w:t>
      </w:r>
      <w:r>
        <w:rPr>
          <w:rFonts w:hint="eastAsia" w:ascii="Times New Roman" w:hAnsi="Times New Roman" w:eastAsia="仿宋_GB2312"/>
          <w:sz w:val="32"/>
          <w:szCs w:val="32"/>
        </w:rPr>
        <w:t>五华区市场监管局</w:t>
      </w:r>
      <w:r>
        <w:rPr>
          <w:rFonts w:ascii="Times New Roman" w:hAnsi="Times New Roman" w:eastAsia="仿宋_GB2312"/>
          <w:sz w:val="32"/>
          <w:szCs w:val="32"/>
        </w:rPr>
        <w:t>结合日常巡查，按照健全各级各类组织、加强宣传引导、督促企业自查、严密组织现场检查的步骤，在全区范围内稳步推进冶金起重机械、厂（场）内专用机动车、压力管道的专项整治。</w:t>
      </w:r>
    </w:p>
    <w:p w14:paraId="4EED8767">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（九）筹划开展违规充装液化石油气气瓶专项整治工作</w:t>
      </w:r>
    </w:p>
    <w:p w14:paraId="54AD9F3C">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昆明市安全生产委员会办公室关于开展违规充装使用液化石油气气瓶专项整治工作的通知》（昆安办〔2019〕7号）及昆明市市场监管局《关于印发违规充装液化石油气气瓶专项整治工作方案的通知》文件精神，按照区政府要求，制定《五华区违规充装液化石油气气瓶专项整治工作方案》，严厉打击违法行为，消除隐患，杜绝事故发生。进一步督促液化石油气充装单位落实安全主体责任，深刻汲取事故教训，严禁对不合规使用、存在安全隐患的用户供气，举一反三，排查和消除安全隐患，杜绝不合格气瓶流入市场,有效遏制气瓶事故发生并提高企业的管理水平和生产效率，为我市经济社会和谐发展提供安全保障。</w:t>
      </w:r>
    </w:p>
    <w:p w14:paraId="467F0C64">
      <w:pPr>
        <w:spacing w:line="560" w:lineRule="exact"/>
        <w:ind w:firstLine="560" w:firstLineChars="200"/>
        <w:rPr>
          <w:rFonts w:ascii="Times New Roman" w:hAnsi="Times New Roman" w:eastAsia="楷体_GB2312"/>
          <w:spacing w:val="-20"/>
          <w:sz w:val="32"/>
          <w:szCs w:val="32"/>
          <w:lang w:bidi="en-US"/>
        </w:rPr>
      </w:pPr>
      <w:r>
        <w:rPr>
          <w:rFonts w:ascii="Times New Roman" w:hAnsi="Times New Roman" w:eastAsia="楷体_GB2312"/>
          <w:spacing w:val="-20"/>
          <w:sz w:val="32"/>
          <w:szCs w:val="32"/>
        </w:rPr>
        <w:t>（十）筹划开展</w:t>
      </w:r>
      <w:r>
        <w:rPr>
          <w:rFonts w:ascii="Times New Roman" w:hAnsi="Times New Roman" w:eastAsia="楷体_GB2312"/>
          <w:spacing w:val="-20"/>
          <w:sz w:val="32"/>
          <w:szCs w:val="32"/>
          <w:lang w:bidi="en-US"/>
        </w:rPr>
        <w:t>危险化学品安全生产拉网式大排查大整治工作</w:t>
      </w:r>
    </w:p>
    <w:p w14:paraId="49C90CE4">
      <w:pPr>
        <w:spacing w:line="560" w:lineRule="exact"/>
        <w:ind w:firstLine="640" w:firstLineChars="200"/>
        <w:rPr>
          <w:rFonts w:ascii="Times New Roman" w:hAnsi="Times New Roman"/>
        </w:rPr>
      </w:pPr>
      <w:r>
        <w:rPr>
          <w:rFonts w:ascii="Times New Roman" w:hAnsi="Times New Roman" w:eastAsia="仿宋_GB2312"/>
          <w:sz w:val="32"/>
          <w:szCs w:val="32"/>
        </w:rPr>
        <w:t>认真贯彻落实党中央、国务院有关领导同志关于安全生产工作的重要指示批示要求，严格执行安全生产有关法律法规，牢固树立安全发展理念，坚持人民利益至上，坚守安全红线，强化法治，明晰责任，严格监管，落实“党政同责、一岗双责、齐抓共管、失职追责”及“管行业必须管安全、管业务必须管安全、管生产经营必须管安全”等要求，全面加强危险化学品安全隐患大排查大整治工作，杜绝危险化学品安全生产重特大事故的发生。根据我局工作实际，制定了《</w:t>
      </w:r>
      <w:r>
        <w:rPr>
          <w:rFonts w:ascii="Times New Roman" w:hAnsi="Times New Roman" w:eastAsia="仿宋_GB2312"/>
          <w:sz w:val="32"/>
          <w:szCs w:val="32"/>
          <w:lang w:bidi="en-US"/>
        </w:rPr>
        <w:t>五华区COP15危险化学品安全生产专项整治行动实施方案</w:t>
      </w:r>
      <w:r>
        <w:rPr>
          <w:rFonts w:ascii="Times New Roman" w:hAnsi="Times New Roman" w:eastAsia="仿宋_GB2312"/>
          <w:sz w:val="32"/>
          <w:szCs w:val="32"/>
        </w:rPr>
        <w:t>》（五市监〔42〕号），对我辖区内的危险化学品生产、经营企业实施安全隐患大排查大整治，及时发现企业存在隐患，督促企业严格落实企业主体责任，加强企业内部隐患的自检自查和整改落实工作，坚决遏制危险化学品重特大事故，严防较大事故，减少一般事故。</w:t>
      </w:r>
    </w:p>
    <w:p w14:paraId="51844338">
      <w:pPr>
        <w:widowControl/>
        <w:shd w:val="clear" w:color="auto" w:fill="FFFFFF"/>
        <w:spacing w:line="560" w:lineRule="exact"/>
        <w:ind w:firstLine="640" w:firstLineChars="200"/>
        <w:rPr>
          <w:rFonts w:ascii="Times New Roman" w:hAnsi="Times New Roman" w:eastAsia="楷体_GB2312"/>
          <w:kern w:val="0"/>
          <w:sz w:val="32"/>
          <w:szCs w:val="32"/>
        </w:rPr>
      </w:pPr>
      <w:r>
        <w:rPr>
          <w:rFonts w:ascii="Times New Roman" w:hAnsi="Times New Roman" w:eastAsia="楷体_GB2312"/>
          <w:kern w:val="0"/>
          <w:sz w:val="32"/>
          <w:szCs w:val="32"/>
        </w:rPr>
        <w:t>（十一）协助市局开展特种设备应急救援演练</w:t>
      </w:r>
    </w:p>
    <w:p w14:paraId="21BEB44C">
      <w:pPr>
        <w:widowControl/>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1.协助市局开展大型游乐设施应急救援演练。为深入贯彻落实</w:t>
      </w:r>
      <w:r>
        <w:rPr>
          <w:rFonts w:hint="eastAsia" w:ascii="Times New Roman" w:hAnsi="Times New Roman" w:eastAsia="仿宋_GB2312"/>
          <w:kern w:val="0"/>
          <w:sz w:val="32"/>
          <w:szCs w:val="32"/>
          <w:lang w:eastAsia="zh-CN"/>
        </w:rPr>
        <w:t>习近平总书记关于安全生产工作的重要指示精神</w:t>
      </w:r>
      <w:bookmarkStart w:id="17" w:name="_GoBack"/>
      <w:bookmarkEnd w:id="17"/>
      <w:r>
        <w:rPr>
          <w:rFonts w:ascii="Times New Roman" w:hAnsi="Times New Roman" w:eastAsia="仿宋_GB2312"/>
          <w:kern w:val="0"/>
          <w:sz w:val="32"/>
          <w:szCs w:val="32"/>
        </w:rPr>
        <w:t>，进一步加强应急管理工作，提高应急处置能力，检验应急预案的科学性和可操性, 确保旅游市场秩序稳定和特种设备安全运行,年6月22日上午，由昆明市市场监督管理局主办，五华区市场监督管理局及华山市场监管所协办，昆明动物园、昆明中瀚投资有限公司承办的“昆明动物园大型游乐设备应急预案演练”，通过演练使工作人员熟悉和熟练掌握应急救援操作程序和方法，提高应急救援小组协调作战的能力，在灾害发生时能做到救援及时，降低损失。演练结束后，昆明市市场监管局胡副处长对演练进行了点评，并提出了特殊条件下，怎样解救被困游客的方法，希望动物园和中瀚公司深一步的研究和探讨，整个演练过程在有条不紊的进行，圆满地完成了演练任务。</w:t>
      </w:r>
    </w:p>
    <w:p w14:paraId="2428784B">
      <w:pPr>
        <w:widowControl/>
        <w:shd w:val="clear" w:color="auto" w:fill="FFFFFF"/>
        <w:spacing w:line="560" w:lineRule="exact"/>
        <w:ind w:firstLine="640" w:firstLineChars="200"/>
        <w:rPr>
          <w:rFonts w:hint="eastAsia" w:ascii="仿宋_GB2312" w:hAnsi="仿宋_GB2312" w:eastAsia="仿宋_GB2312" w:cs="仿宋_GB2312"/>
          <w:kern w:val="0"/>
          <w:sz w:val="32"/>
          <w:szCs w:val="32"/>
        </w:rPr>
      </w:pPr>
      <w:r>
        <w:rPr>
          <w:rFonts w:ascii="Times New Roman" w:hAnsi="Times New Roman" w:eastAsia="仿宋_GB2312"/>
          <w:kern w:val="0"/>
          <w:sz w:val="32"/>
          <w:szCs w:val="32"/>
        </w:rPr>
        <w:t>2.协助市局开展车用燃气泄漏事故应急救援演练。为认真开展年“安全生产月”活动，进一步加强昆明市特种设备应急管理工作，提高应急处置能力，检验应急预案的科学性和可操性,年6月23日上午，由昆明市市场监督管理局主办，五华区市场监督管理局协办在云南民生能源有限公司举办车用燃气泄漏事故应急救援演练。</w:t>
      </w:r>
      <w:r>
        <w:rPr>
          <w:rFonts w:hint="eastAsia" w:ascii="仿宋_GB2312" w:hAnsi="仿宋_GB2312" w:eastAsia="仿宋_GB2312" w:cs="仿宋_GB2312"/>
          <w:kern w:val="0"/>
          <w:sz w:val="32"/>
          <w:szCs w:val="32"/>
        </w:rPr>
        <w:t>此次应急演练有效提高了使用单位处置特种设备突发状况的能力，提升了使用单位对特种设备的管理水平。</w:t>
      </w:r>
    </w:p>
    <w:p w14:paraId="14358D0A">
      <w:pPr>
        <w:widowControl/>
        <w:shd w:val="clear" w:color="auto" w:fill="FFFFFF"/>
        <w:spacing w:line="560" w:lineRule="exact"/>
        <w:ind w:firstLine="640" w:firstLineChars="200"/>
        <w:rPr>
          <w:rFonts w:ascii="Times New Roman" w:hAnsi="Times New Roman" w:eastAsia="楷体_GB2312"/>
          <w:kern w:val="0"/>
          <w:sz w:val="32"/>
          <w:szCs w:val="32"/>
        </w:rPr>
      </w:pPr>
      <w:r>
        <w:rPr>
          <w:rFonts w:ascii="Times New Roman" w:hAnsi="Times New Roman" w:eastAsia="楷体_GB2312"/>
          <w:kern w:val="0"/>
          <w:sz w:val="32"/>
          <w:szCs w:val="32"/>
        </w:rPr>
        <w:t>（十</w:t>
      </w:r>
      <w:r>
        <w:rPr>
          <w:rFonts w:hint="eastAsia" w:ascii="Times New Roman" w:hAnsi="Times New Roman" w:eastAsia="楷体_GB2312"/>
          <w:kern w:val="0"/>
          <w:sz w:val="32"/>
          <w:szCs w:val="32"/>
        </w:rPr>
        <w:t>二</w:t>
      </w:r>
      <w:r>
        <w:rPr>
          <w:rFonts w:ascii="Times New Roman" w:hAnsi="Times New Roman" w:eastAsia="楷体_GB2312"/>
          <w:kern w:val="0"/>
          <w:sz w:val="32"/>
          <w:szCs w:val="32"/>
        </w:rPr>
        <w:t>）推进既有住宅加装电梯工作</w:t>
      </w:r>
    </w:p>
    <w:p w14:paraId="7067A72D">
      <w:pPr>
        <w:widowControl/>
        <w:shd w:val="clear" w:color="auto" w:fill="FFFFFF"/>
        <w:spacing w:line="560" w:lineRule="exact"/>
        <w:ind w:firstLine="640" w:firstLineChars="200"/>
        <w:rPr>
          <w:rFonts w:ascii="Times New Roman" w:hAnsi="Times New Roman" w:eastAsia="仿宋_GB2312"/>
          <w:kern w:val="0"/>
          <w:sz w:val="32"/>
          <w:szCs w:val="32"/>
        </w:rPr>
      </w:pPr>
      <w:r>
        <w:rPr>
          <w:rFonts w:hint="eastAsia" w:ascii="仿宋_GB2312" w:hAnsi="Times New Roman" w:eastAsia="仿宋_GB2312"/>
          <w:kern w:val="0"/>
          <w:sz w:val="32"/>
          <w:szCs w:val="32"/>
        </w:rPr>
        <w:t>按照相关要求，立足改善民生</w:t>
      </w:r>
      <w:r>
        <w:rPr>
          <w:rFonts w:ascii="Times New Roman" w:hAnsi="Times New Roman" w:eastAsia="仿宋_GB2312"/>
          <w:kern w:val="0"/>
          <w:sz w:val="32"/>
          <w:szCs w:val="32"/>
        </w:rPr>
        <w:t>，把老旧小区改造列为重点民心工程和文明城市创建重要抓手精心谋划，精准施策，密切合作，截止</w:t>
      </w:r>
      <w:r>
        <w:rPr>
          <w:rFonts w:ascii="Times New Roman" w:hAnsi="Times New Roman"/>
          <w:kern w:val="0"/>
          <w:sz w:val="32"/>
          <w:szCs w:val="32"/>
        </w:rPr>
        <w:t>目前</w:t>
      </w:r>
      <w:r>
        <w:rPr>
          <w:rFonts w:ascii="Times New Roman" w:hAnsi="Times New Roman" w:eastAsia="仿宋_GB2312"/>
          <w:kern w:val="0"/>
          <w:sz w:val="32"/>
          <w:szCs w:val="32"/>
        </w:rPr>
        <w:t>，我区共有6个小区完成加装电梯，共安装电梯65台。</w:t>
      </w:r>
    </w:p>
    <w:p w14:paraId="0F5CF6D4">
      <w:pPr>
        <w:widowControl/>
        <w:shd w:val="clear" w:color="auto" w:fill="FFFFFF"/>
        <w:spacing w:line="560" w:lineRule="exact"/>
        <w:ind w:firstLine="640" w:firstLineChars="200"/>
        <w:rPr>
          <w:rFonts w:ascii="Times New Roman" w:hAnsi="Times New Roman" w:eastAsia="楷体_GB2312"/>
          <w:sz w:val="32"/>
          <w:szCs w:val="32"/>
          <w:shd w:val="clear" w:color="auto" w:fill="FFFFFF"/>
        </w:rPr>
      </w:pPr>
      <w:r>
        <w:rPr>
          <w:rFonts w:ascii="Times New Roman" w:hAnsi="Times New Roman" w:eastAsia="楷体_GB2312"/>
          <w:kern w:val="0"/>
          <w:sz w:val="32"/>
          <w:szCs w:val="32"/>
        </w:rPr>
        <w:t>（十</w:t>
      </w:r>
      <w:r>
        <w:rPr>
          <w:rFonts w:hint="eastAsia" w:ascii="Times New Roman" w:hAnsi="Times New Roman" w:eastAsia="楷体_GB2312"/>
          <w:kern w:val="0"/>
          <w:sz w:val="32"/>
          <w:szCs w:val="32"/>
        </w:rPr>
        <w:t>三</w:t>
      </w:r>
      <w:r>
        <w:rPr>
          <w:rFonts w:ascii="Times New Roman" w:hAnsi="Times New Roman" w:eastAsia="楷体_GB2312"/>
          <w:kern w:val="0"/>
          <w:sz w:val="32"/>
          <w:szCs w:val="32"/>
        </w:rPr>
        <w:t>）开展机械式停车设备专</w:t>
      </w:r>
      <w:r>
        <w:rPr>
          <w:rFonts w:ascii="Times New Roman" w:hAnsi="Times New Roman" w:eastAsia="楷体_GB2312"/>
          <w:sz w:val="32"/>
          <w:szCs w:val="32"/>
          <w:shd w:val="clear" w:color="auto" w:fill="FFFFFF"/>
        </w:rPr>
        <w:t>项整治</w:t>
      </w:r>
    </w:p>
    <w:p w14:paraId="375B3ADC">
      <w:pPr>
        <w:widowControl/>
        <w:shd w:val="clear" w:color="auto" w:fill="FFFFFF"/>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shd w:val="clear" w:color="auto" w:fill="FFFFFF"/>
        </w:rPr>
        <w:t>经现场检查，五华区实际使用机械式停车设备的单位共有16家，在用机械式停车设备221台，按照工作方案，我局积极配合市局部门</w:t>
      </w:r>
      <w:r>
        <w:rPr>
          <w:rFonts w:ascii="Times New Roman" w:hAnsi="Times New Roman" w:eastAsia="仿宋_GB2312"/>
          <w:sz w:val="32"/>
          <w:szCs w:val="32"/>
        </w:rPr>
        <w:t>联合开展现场检查阶段，截止</w:t>
      </w:r>
      <w:r>
        <w:rPr>
          <w:rFonts w:ascii="Times New Roman" w:hAnsi="Times New Roman"/>
          <w:sz w:val="32"/>
          <w:szCs w:val="32"/>
        </w:rPr>
        <w:t>目前</w:t>
      </w:r>
      <w:r>
        <w:rPr>
          <w:rFonts w:ascii="Times New Roman" w:hAnsi="Times New Roman" w:eastAsia="仿宋_GB2312"/>
          <w:sz w:val="32"/>
          <w:szCs w:val="32"/>
        </w:rPr>
        <w:t>，五华区共发现安全隐患3条，现已整改3条，目前该项工作正在有序开展。</w:t>
      </w:r>
    </w:p>
    <w:p w14:paraId="0A180AD8">
      <w:pPr>
        <w:widowControl/>
        <w:shd w:val="clear" w:color="auto" w:fill="FFFFFF"/>
        <w:spacing w:line="560" w:lineRule="exact"/>
        <w:ind w:firstLine="640" w:firstLineChars="200"/>
        <w:rPr>
          <w:rFonts w:ascii="Times New Roman" w:hAnsi="Times New Roman" w:eastAsia="楷体_GB2312"/>
          <w:kern w:val="0"/>
          <w:sz w:val="32"/>
          <w:szCs w:val="32"/>
        </w:rPr>
      </w:pPr>
      <w:r>
        <w:rPr>
          <w:rFonts w:ascii="Times New Roman" w:hAnsi="Times New Roman" w:eastAsia="楷体_GB2312"/>
          <w:kern w:val="0"/>
          <w:sz w:val="32"/>
          <w:szCs w:val="32"/>
        </w:rPr>
        <w:t>（十</w:t>
      </w:r>
      <w:r>
        <w:rPr>
          <w:rFonts w:hint="eastAsia" w:ascii="Times New Roman" w:hAnsi="Times New Roman" w:eastAsia="楷体_GB2312"/>
          <w:kern w:val="0"/>
          <w:sz w:val="32"/>
          <w:szCs w:val="32"/>
        </w:rPr>
        <w:t>四</w:t>
      </w:r>
      <w:r>
        <w:rPr>
          <w:rFonts w:ascii="Times New Roman" w:hAnsi="Times New Roman" w:eastAsia="楷体_GB2312"/>
          <w:kern w:val="0"/>
          <w:sz w:val="32"/>
          <w:szCs w:val="32"/>
        </w:rPr>
        <w:t>）气瓶检验机构专项整治</w:t>
      </w:r>
    </w:p>
    <w:p w14:paraId="6D00BCFE">
      <w:pPr>
        <w:widowControl/>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按照工作方案，全面开展专项检查，截止</w:t>
      </w:r>
      <w:r>
        <w:rPr>
          <w:rFonts w:ascii="Times New Roman" w:hAnsi="Times New Roman"/>
          <w:kern w:val="0"/>
          <w:sz w:val="32"/>
          <w:szCs w:val="32"/>
        </w:rPr>
        <w:t>目前</w:t>
      </w:r>
      <w:r>
        <w:rPr>
          <w:rFonts w:ascii="Times New Roman" w:hAnsi="Times New Roman" w:eastAsia="仿宋_GB2312"/>
          <w:kern w:val="0"/>
          <w:sz w:val="32"/>
          <w:szCs w:val="32"/>
        </w:rPr>
        <w:t>，将全区4家气瓶检验机构逐一排查完，排查安全隐患  5条，已整改5条，下达安全指令书1份，督促企业逐一完成整改。通过本次整治，全面实现气瓶线上检验功能，气瓶检验数量明显递增，进一步规范气瓶检验行为，提高我区气瓶监管水平。</w:t>
      </w:r>
    </w:p>
    <w:p w14:paraId="5BE53F32">
      <w:pPr>
        <w:widowControl/>
        <w:shd w:val="clear" w:color="auto" w:fill="FFFFFF"/>
        <w:spacing w:line="560" w:lineRule="exact"/>
        <w:ind w:firstLine="640" w:firstLineChars="200"/>
        <w:rPr>
          <w:rFonts w:ascii="Times New Roman" w:hAnsi="Times New Roman" w:eastAsia="楷体_GB2312"/>
          <w:kern w:val="0"/>
          <w:sz w:val="32"/>
          <w:szCs w:val="32"/>
        </w:rPr>
      </w:pPr>
      <w:r>
        <w:rPr>
          <w:rFonts w:ascii="Times New Roman" w:hAnsi="Times New Roman" w:eastAsia="楷体_GB2312"/>
          <w:kern w:val="0"/>
          <w:sz w:val="32"/>
          <w:szCs w:val="32"/>
        </w:rPr>
        <w:t>（十</w:t>
      </w:r>
      <w:r>
        <w:rPr>
          <w:rFonts w:hint="eastAsia" w:ascii="Times New Roman" w:hAnsi="Times New Roman" w:eastAsia="楷体_GB2312"/>
          <w:kern w:val="0"/>
          <w:sz w:val="32"/>
          <w:szCs w:val="32"/>
        </w:rPr>
        <w:t>五</w:t>
      </w:r>
      <w:r>
        <w:rPr>
          <w:rFonts w:ascii="Times New Roman" w:hAnsi="Times New Roman" w:eastAsia="楷体_GB2312"/>
          <w:kern w:val="0"/>
          <w:sz w:val="32"/>
          <w:szCs w:val="32"/>
        </w:rPr>
        <w:t>）认真组织开展“安全生产月”活动</w:t>
      </w:r>
    </w:p>
    <w:p w14:paraId="4D6C0EAE">
      <w:pPr>
        <w:widowControl/>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按照市安委办的工作部署，制定并下发了《昆明市市场监督管理局年“安全生产月”和“安全生产万里行”活动方案》，成立 “安全生产月”和“安全生产万里行”活动领导小组，主要开展以下工作：一是组织开展“安全生产月”咨询宣传活动，做好安全生产月网络宣传活动，二是安全大练兵，开展特种设备应急演练2次；三是持续开展安全监督检查；四是加强法律法规安全宣传，并发放相关资料15000份。</w:t>
      </w:r>
    </w:p>
    <w:p w14:paraId="71A4F8BB">
      <w:pPr>
        <w:pStyle w:val="8"/>
        <w:spacing w:line="560" w:lineRule="exact"/>
        <w:ind w:left="0" w:leftChars="0" w:firstLine="640" w:firstLineChars="200"/>
        <w:rPr>
          <w:rFonts w:ascii="Times New Roman" w:hAnsi="Times New Roman" w:eastAsia="黑体"/>
          <w:sz w:val="32"/>
          <w:szCs w:val="32"/>
        </w:rPr>
      </w:pPr>
      <w:r>
        <w:rPr>
          <w:rFonts w:ascii="Times New Roman" w:hAnsi="Times New Roman" w:eastAsia="黑体"/>
          <w:sz w:val="32"/>
          <w:szCs w:val="32"/>
        </w:rPr>
        <w:t>五、下一步工作计划</w:t>
      </w:r>
    </w:p>
    <w:p w14:paraId="41696154">
      <w:pPr>
        <w:tabs>
          <w:tab w:val="left" w:pos="630"/>
        </w:tabs>
        <w:spacing w:line="560" w:lineRule="exact"/>
        <w:ind w:firstLine="640" w:firstLineChars="200"/>
        <w:textAlignment w:val="baseline"/>
        <w:rPr>
          <w:rFonts w:ascii="Times New Roman" w:hAnsi="Times New Roman" w:eastAsia="仿宋_GB2312"/>
          <w:kern w:val="0"/>
          <w:sz w:val="32"/>
          <w:szCs w:val="32"/>
        </w:rPr>
      </w:pPr>
      <w:r>
        <w:rPr>
          <w:rFonts w:ascii="Times New Roman" w:hAnsi="Times New Roman" w:eastAsia="仿宋_GB2312"/>
          <w:kern w:val="0"/>
          <w:sz w:val="32"/>
          <w:szCs w:val="32"/>
        </w:rPr>
        <w:t>下一步，我们将进一步加强领导，落实责任，强化监管，夯实基础，广泛宣传，全力推动我区安全生产形势的持续稳定好转。重点做好以下几个方面的工作。</w:t>
      </w:r>
    </w:p>
    <w:p w14:paraId="0450454F">
      <w:pPr>
        <w:tabs>
          <w:tab w:val="left" w:pos="630"/>
        </w:tabs>
        <w:spacing w:line="560" w:lineRule="exact"/>
        <w:ind w:firstLine="640" w:firstLineChars="200"/>
        <w:textAlignment w:val="baseline"/>
        <w:rPr>
          <w:rFonts w:ascii="Times New Roman" w:hAnsi="Times New Roman" w:eastAsia="楷体_GB2312"/>
          <w:sz w:val="32"/>
          <w:szCs w:val="32"/>
        </w:rPr>
      </w:pPr>
      <w:r>
        <w:rPr>
          <w:rFonts w:ascii="Times New Roman" w:hAnsi="Times New Roman" w:eastAsia="楷体_GB2312"/>
          <w:sz w:val="32"/>
          <w:szCs w:val="32"/>
        </w:rPr>
        <w:t>（一）加强特种设备安全监察组织领导工作</w:t>
      </w:r>
    </w:p>
    <w:p w14:paraId="139F1F5B">
      <w:pPr>
        <w:spacing w:line="560" w:lineRule="exact"/>
        <w:ind w:firstLine="640" w:firstLineChars="200"/>
        <w:textAlignment w:val="baseline"/>
        <w:rPr>
          <w:rFonts w:ascii="Times New Roman" w:hAnsi="Times New Roman" w:eastAsia="仿宋_GB2312"/>
          <w:sz w:val="32"/>
          <w:szCs w:val="32"/>
        </w:rPr>
      </w:pPr>
      <w:r>
        <w:rPr>
          <w:rFonts w:ascii="Times New Roman" w:hAnsi="Times New Roman" w:eastAsia="仿宋_GB2312"/>
          <w:sz w:val="32"/>
          <w:szCs w:val="32"/>
        </w:rPr>
        <w:t>继续落实《昆明市人民政府关于推行安全生产“一岗双责”进一步强化安全生产责任制的实施意见》，建立健全“一把手”负总责、分管领导具体负责的安全生产“一岗双责”责任制，建立健全特种设备安全监察责任目标体系，同时结合《五华安全生产委员会办公室关于印发五华区2014年安全生产、网格化监管体系建设目标考核实施细则的通知》要求，结合五华区</w:t>
      </w:r>
      <w:r>
        <w:rPr>
          <w:rFonts w:ascii="Times New Roman" w:hAnsi="Times New Roman"/>
          <w:sz w:val="32"/>
          <w:szCs w:val="32"/>
        </w:rPr>
        <w:t>十</w:t>
      </w:r>
      <w:r>
        <w:rPr>
          <w:rFonts w:ascii="Times New Roman" w:hAnsi="Times New Roman" w:eastAsia="仿宋_GB2312"/>
          <w:sz w:val="32"/>
          <w:szCs w:val="32"/>
        </w:rPr>
        <w:t>个市场监督管理所情况，进行定岗定责，并严格进行考评。</w:t>
      </w:r>
    </w:p>
    <w:p w14:paraId="7BC9F672">
      <w:pPr>
        <w:pStyle w:val="34"/>
        <w:spacing w:line="560" w:lineRule="exact"/>
        <w:ind w:firstLine="640" w:firstLineChars="200"/>
        <w:rPr>
          <w:rFonts w:ascii="Times New Roman" w:hAnsi="Times New Roman" w:eastAsia="楷体_GB2312"/>
          <w:sz w:val="32"/>
        </w:rPr>
      </w:pPr>
      <w:r>
        <w:rPr>
          <w:rFonts w:ascii="Times New Roman" w:hAnsi="Times New Roman" w:eastAsia="楷体_GB2312"/>
          <w:sz w:val="32"/>
        </w:rPr>
        <w:t>（二）明确重点监察范围</w:t>
      </w:r>
    </w:p>
    <w:p w14:paraId="402B2842">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2021年度特种设备安全监察涉及辖区内所有特种设备相关企业，结合辖区特种设备参数高、密度大、风险高等实际情况，着重检查以下重点行业和重点设备。</w:t>
      </w:r>
    </w:p>
    <w:p w14:paraId="35673026">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重点行业：能源、冶炼、机械、涉氨、发电厂、气体充装等重点行业，以及医院、学校、旅游景区、大型超市、宾馆饭店等公众聚集场所。</w:t>
      </w:r>
    </w:p>
    <w:p w14:paraId="62DE2CD9">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重点设备：电站锅炉、高风险压力容器、大型起重机械、冶金起重机械、电梯、气瓶、游乐设施等重点设备。</w:t>
      </w:r>
    </w:p>
    <w:p w14:paraId="517794AF">
      <w:pPr>
        <w:pStyle w:val="34"/>
        <w:spacing w:line="560" w:lineRule="exact"/>
        <w:ind w:firstLine="640" w:firstLineChars="200"/>
        <w:rPr>
          <w:rFonts w:ascii="Times New Roman" w:hAnsi="Times New Roman" w:eastAsia="楷体_GB2312"/>
          <w:sz w:val="32"/>
        </w:rPr>
      </w:pPr>
      <w:r>
        <w:rPr>
          <w:rFonts w:ascii="Times New Roman" w:hAnsi="Times New Roman" w:eastAsia="楷体_GB2312"/>
          <w:sz w:val="32"/>
        </w:rPr>
        <w:t>（三）明确重点检查内容</w:t>
      </w:r>
    </w:p>
    <w:p w14:paraId="1A02B85B">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依据《特种设备现场安全监督检查规则》的规定，结合上年度监督检查中发现的主要问题，确定了以下重点检查内容：</w:t>
      </w:r>
    </w:p>
    <w:p w14:paraId="314025A1">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1.是否按照规定建立安全管理制度和岗位安全责任制度，相关制度是否能够有效执行。</w:t>
      </w:r>
    </w:p>
    <w:p w14:paraId="01CD3A95">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2.是否按照规定设置特种设备安全管理机构或者配备专兼职管理人员。</w:t>
      </w:r>
    </w:p>
    <w:p w14:paraId="579C13C6">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3.特种设备安全管理人员和作业人员是否持证上岗。</w:t>
      </w:r>
    </w:p>
    <w:p w14:paraId="56ADFF18">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4.是否使用未取得许可生产，未办理使用登记，未经检验或者检验不合格，或者国家明令淘汰、已经报废的特种设备。</w:t>
      </w:r>
    </w:p>
    <w:p w14:paraId="4E9C0246">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5.是否存在特种设备出现故障或者发生异常情况，未对其进行全面检查、消除事故隐患，继续使用的。</w:t>
      </w:r>
    </w:p>
    <w:p w14:paraId="5BD41D9B">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6.特种设备安全技术档案是否齐全，是否开展了经常性日常维护和定期检查。</w:t>
      </w:r>
    </w:p>
    <w:p w14:paraId="787E1014">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7.特种设备安全附件和安全保护装置是否齐全有效。</w:t>
      </w:r>
    </w:p>
    <w:p w14:paraId="02D325AF">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8.是否无证或超范围充装气瓶，违法充装超期未检、翻新、改造、报废的气瓶。</w:t>
      </w:r>
    </w:p>
    <w:p w14:paraId="179AFB6B">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9.是否建立事故应急救援预案并组织定期演练，有无记录。</w:t>
      </w:r>
    </w:p>
    <w:p w14:paraId="4457A5E3">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10.各分类特种设备检查内容详见《特种设备安全现场监督检查项目表》（附件1）。</w:t>
      </w:r>
    </w:p>
    <w:p w14:paraId="126F563E">
      <w:pPr>
        <w:pStyle w:val="34"/>
        <w:spacing w:line="560" w:lineRule="exact"/>
        <w:ind w:firstLine="640" w:firstLineChars="200"/>
        <w:rPr>
          <w:rFonts w:ascii="Times New Roman" w:hAnsi="Times New Roman" w:eastAsia="楷体_GB2312"/>
          <w:sz w:val="32"/>
        </w:rPr>
      </w:pPr>
      <w:r>
        <w:rPr>
          <w:rFonts w:ascii="Times New Roman" w:hAnsi="Times New Roman" w:eastAsia="楷体_GB2312"/>
          <w:sz w:val="32"/>
        </w:rPr>
        <w:t>（四）狠抓隐患排查治理</w:t>
      </w:r>
    </w:p>
    <w:p w14:paraId="37AA5C49">
      <w:pPr>
        <w:pStyle w:val="34"/>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我科室将结合本监察工作计划及区政府和上级主管部门的各项专项整治工作要求，深入企业开展特种设备安全检查，督促企业履行特种设备安全管理主体责任，认真开展隐患排查整治，落实隐患整改和安全防范措施。对检查发现的违法违规行为，依法依规严肃处理，绝不姑息。对检查发现的安全隐患，落实整改责任，</w:t>
      </w:r>
      <w:r>
        <w:rPr>
          <w:rFonts w:ascii="Times New Roman" w:hAnsi="Times New Roman" w:eastAsia="仿宋_GB2312"/>
          <w:kern w:val="0"/>
          <w:sz w:val="32"/>
          <w:szCs w:val="32"/>
        </w:rPr>
        <w:t>制定整改措施，跟踪整改情况，形成闭环管理，确保整改到位。每季度对特种设备安全监察的基本情况、检查出的共性问题、未完成整改的安全隐患、企业管理中存在的突出问题进行统计分析。</w:t>
      </w:r>
    </w:p>
    <w:p w14:paraId="56AD585D">
      <w:pPr>
        <w:tabs>
          <w:tab w:val="left" w:pos="630"/>
        </w:tabs>
        <w:spacing w:line="560" w:lineRule="exact"/>
        <w:ind w:firstLine="640" w:firstLineChars="200"/>
        <w:textAlignment w:val="baseline"/>
        <w:rPr>
          <w:rFonts w:ascii="Times New Roman" w:hAnsi="Times New Roman" w:eastAsia="楷体_GB2312"/>
          <w:sz w:val="32"/>
          <w:szCs w:val="32"/>
        </w:rPr>
      </w:pPr>
      <w:r>
        <w:rPr>
          <w:rFonts w:ascii="Times New Roman" w:hAnsi="Times New Roman" w:eastAsia="楷体_GB2312"/>
          <w:sz w:val="32"/>
          <w:szCs w:val="32"/>
        </w:rPr>
        <w:t>（五）巩固和加强特种设备专项普查工作成果</w:t>
      </w:r>
    </w:p>
    <w:p w14:paraId="5B089FC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要在前期取得成效的基础上，继续完善以使用单位为单元的特种设备动态监管台账，全面、准确掌握特种设备使用单位管理、使用状况；抓好特种设备动态监管网络系统的维护，及时录入监察信息，按照要求的程序、方法，维护、更新特种设备动态监管网络系统数据，提高特种设备安全监察有效性。</w:t>
      </w:r>
    </w:p>
    <w:p w14:paraId="775410CD">
      <w:pPr>
        <w:widowControl/>
        <w:shd w:val="clear" w:color="auto" w:fill="FFFFFF"/>
        <w:spacing w:line="560" w:lineRule="exact"/>
        <w:ind w:firstLine="640"/>
        <w:rPr>
          <w:rFonts w:ascii="Times New Roman" w:hAnsi="Times New Roman"/>
          <w:kern w:val="0"/>
          <w:szCs w:val="21"/>
        </w:rPr>
      </w:pPr>
      <w:r>
        <w:rPr>
          <w:rFonts w:ascii="Times New Roman" w:hAnsi="Times New Roman" w:eastAsia="楷体_GB2312"/>
          <w:kern w:val="0"/>
          <w:sz w:val="32"/>
          <w:szCs w:val="32"/>
        </w:rPr>
        <w:t>（六）加大特种设备业务培训和宣传教育</w:t>
      </w:r>
    </w:p>
    <w:p w14:paraId="1AAE699D">
      <w:pPr>
        <w:widowControl/>
        <w:shd w:val="clear" w:color="auto" w:fill="FFFFFF"/>
        <w:spacing w:line="560" w:lineRule="exact"/>
        <w:ind w:firstLine="645"/>
        <w:rPr>
          <w:rFonts w:ascii="Times New Roman" w:hAnsi="Times New Roman" w:eastAsia="仿宋_GB2312"/>
          <w:kern w:val="0"/>
          <w:sz w:val="32"/>
          <w:szCs w:val="32"/>
        </w:rPr>
      </w:pPr>
      <w:r>
        <w:rPr>
          <w:rFonts w:ascii="Times New Roman" w:hAnsi="Times New Roman" w:eastAsia="仿宋_GB2312"/>
          <w:kern w:val="0"/>
          <w:sz w:val="32"/>
          <w:szCs w:val="32"/>
        </w:rPr>
        <w:t>针对各特种设备相关单位不同程度存在领导层面安全意识不强，安全管理人员水平不高，安全管理制度落实不到位等问题，协助企业制定安全生产业务培训及宣传教育活动计划，集中组织管理人员开展特种设备安全相关业务培训，同时在现场监督检查过程中向企业宣贯特种设备相关法律法规及管理使用规范，协助企业解决在特种设备安全方面存在的疑难问题。各相关单位作为特种设备安全的责任主体，进一步规范特种设备安全使用管理，提高现场突发事件的应急处置能力。</w:t>
      </w:r>
    </w:p>
    <w:p w14:paraId="1E2AFBFE">
      <w:pPr>
        <w:widowControl/>
        <w:shd w:val="clear" w:color="auto" w:fill="FFFFFF"/>
        <w:spacing w:line="560" w:lineRule="exact"/>
        <w:ind w:firstLine="640"/>
        <w:rPr>
          <w:rFonts w:ascii="Times New Roman" w:hAnsi="Times New Roman" w:eastAsia="楷体_GB2312"/>
          <w:kern w:val="0"/>
          <w:sz w:val="24"/>
        </w:rPr>
      </w:pPr>
      <w:r>
        <w:rPr>
          <w:rFonts w:ascii="Times New Roman" w:hAnsi="Times New Roman" w:eastAsia="楷体_GB2312"/>
          <w:kern w:val="0"/>
          <w:sz w:val="32"/>
          <w:szCs w:val="32"/>
        </w:rPr>
        <w:t>（七）开展监管人员培训工作</w:t>
      </w:r>
    </w:p>
    <w:p w14:paraId="5BFECBD8">
      <w:pPr>
        <w:widowControl/>
        <w:shd w:val="clear" w:color="auto" w:fill="FFFFFF"/>
        <w:spacing w:line="560" w:lineRule="exact"/>
        <w:ind w:firstLine="640"/>
        <w:rPr>
          <w:rFonts w:ascii="Times New Roman" w:hAnsi="Times New Roman"/>
        </w:rPr>
      </w:pPr>
      <w:r>
        <w:rPr>
          <w:rFonts w:ascii="Times New Roman" w:hAnsi="Times New Roman" w:eastAsia="仿宋_GB2312"/>
          <w:kern w:val="0"/>
          <w:sz w:val="32"/>
          <w:szCs w:val="32"/>
        </w:rPr>
        <w:t>组织开展对已取得特种设备安全监察人员证书的人员进行特种设备业务培训，提升我区特种设备安全监察人员业务素质，组织新取证人员参加取证考试培训。</w:t>
      </w:r>
    </w:p>
    <w:p w14:paraId="61736D31">
      <w:pPr>
        <w:widowControl/>
        <w:shd w:val="clear" w:color="auto" w:fill="FFFFFF"/>
        <w:spacing w:line="560" w:lineRule="exact"/>
        <w:ind w:firstLine="640"/>
        <w:rPr>
          <w:rFonts w:ascii="Times New Roman" w:hAnsi="Times New Roman" w:eastAsia="楷体_GB2312"/>
          <w:kern w:val="0"/>
          <w:sz w:val="24"/>
        </w:rPr>
      </w:pPr>
      <w:r>
        <w:rPr>
          <w:rFonts w:ascii="Times New Roman" w:hAnsi="Times New Roman" w:eastAsia="楷体_GB2312"/>
          <w:kern w:val="0"/>
          <w:sz w:val="32"/>
          <w:szCs w:val="32"/>
        </w:rPr>
        <w:t>（八）加强特种设备安全宣传</w:t>
      </w:r>
    </w:p>
    <w:p w14:paraId="41F46158">
      <w:pPr>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深入宣传“安全发展”的理念，认真抓好“安全月”主题宣传活动，普及特种设备安全知识，努力营造重视特种设备安全的良好社会氛围，不断提高全民安全意识。</w:t>
      </w:r>
    </w:p>
    <w:p w14:paraId="31BE3383">
      <w:pPr>
        <w:pBdr>
          <w:bottom w:val="single" w:color="FFFFFF" w:sz="4" w:space="31"/>
        </w:pBdr>
        <w:overflowPunct w:val="0"/>
        <w:autoSpaceDE w:val="0"/>
        <w:autoSpaceDN w:val="0"/>
        <w:spacing w:line="560" w:lineRule="exact"/>
        <w:ind w:firstLine="640" w:firstLineChars="200"/>
        <w:rPr>
          <w:rFonts w:ascii="Times New Roman" w:hAnsi="Times New Roman" w:eastAsia="仿宋_GB2312"/>
          <w:sz w:val="32"/>
          <w:szCs w:val="32"/>
        </w:rPr>
      </w:pPr>
    </w:p>
    <w:p w14:paraId="6597850A">
      <w:pPr>
        <w:pBdr>
          <w:bottom w:val="single" w:color="FFFFFF" w:sz="4" w:space="31"/>
        </w:pBdr>
        <w:overflowPunct w:val="0"/>
        <w:autoSpaceDE w:val="0"/>
        <w:autoSpaceDN w:val="0"/>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（九）做好应急救援和事故调查处理</w:t>
      </w:r>
    </w:p>
    <w:p w14:paraId="2CD4EDF7">
      <w:pPr>
        <w:pBdr>
          <w:bottom w:val="single" w:color="FFFFFF" w:sz="4" w:space="31"/>
        </w:pBdr>
        <w:overflowPunct w:val="0"/>
        <w:autoSpaceDE w:val="0"/>
        <w:autoSpaceDN w:val="0"/>
        <w:spacing w:line="56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督促企业开展特种设备专项应急救援定期演练，按照国务院《生产安全事故报告和调查处理条例》汇同有关部门建立事故调查处理联动、配合机制，通报安全监察信息，提高应急反应能力。</w:t>
      </w:r>
    </w:p>
    <w:p w14:paraId="36211883">
      <w:pPr>
        <w:pBdr>
          <w:bottom w:val="single" w:color="FFFFFF" w:sz="4" w:space="31"/>
        </w:pBdr>
        <w:overflowPunct w:val="0"/>
        <w:autoSpaceDE w:val="0"/>
        <w:autoSpaceDN w:val="0"/>
        <w:spacing w:line="560" w:lineRule="exact"/>
        <w:ind w:firstLine="640" w:firstLineChars="200"/>
        <w:rPr>
          <w:rFonts w:hint="eastAsia" w:ascii="Times New Roman" w:hAnsi="Times New Roman" w:eastAsia="仿宋_GB2312"/>
          <w:color w:val="000000"/>
          <w:sz w:val="32"/>
          <w:szCs w:val="32"/>
        </w:rPr>
      </w:pPr>
      <w:r>
        <w:rPr>
          <w:rFonts w:hint="eastAsia" w:ascii="方正小标宋简体" w:hAnsi="Times New Roman" w:eastAsia="方正小标宋简体" w:cs="楷体"/>
          <w:bCs/>
          <w:color w:val="000000"/>
          <w:kern w:val="0"/>
          <w:sz w:val="32"/>
          <w:szCs w:val="32"/>
        </w:rPr>
        <w:t>二、安全生产情况</w:t>
      </w:r>
    </w:p>
    <w:p w14:paraId="175A9312">
      <w:pPr>
        <w:pBdr>
          <w:bottom w:val="single" w:color="FFFFFF" w:sz="4" w:space="31"/>
        </w:pBdr>
        <w:overflowPunct w:val="0"/>
        <w:autoSpaceDE w:val="0"/>
        <w:autoSpaceDN w:val="0"/>
        <w:spacing w:line="560" w:lineRule="exact"/>
        <w:ind w:firstLine="640" w:firstLineChars="200"/>
        <w:rPr>
          <w:rFonts w:hint="eastAsia" w:ascii="Times New Roman" w:hAnsi="Times New Roman" w:eastAsia="仿宋_GB2312"/>
          <w:color w:val="000000"/>
          <w:sz w:val="32"/>
          <w:szCs w:val="32"/>
        </w:rPr>
      </w:pPr>
      <w:r>
        <w:rPr>
          <w:rFonts w:hint="eastAsia" w:ascii="方正小标宋简体" w:hAnsi="Times New Roman" w:eastAsia="方正小标宋简体" w:cs="楷体"/>
          <w:bCs/>
          <w:color w:val="000000"/>
          <w:kern w:val="0"/>
          <w:sz w:val="32"/>
          <w:szCs w:val="32"/>
        </w:rPr>
        <w:t>（一）</w:t>
      </w:r>
      <w:bookmarkEnd w:id="14"/>
      <w:bookmarkEnd w:id="15"/>
      <w:r>
        <w:rPr>
          <w:rFonts w:ascii="Times New Roman" w:hAnsi="Times New Roman" w:eastAsia="黑体"/>
          <w:color w:val="000000"/>
          <w:sz w:val="32"/>
          <w:szCs w:val="32"/>
        </w:rPr>
        <w:t>全区安全生产形势总体平稳</w:t>
      </w:r>
    </w:p>
    <w:p w14:paraId="7EFE6EF5">
      <w:pPr>
        <w:pBdr>
          <w:bottom w:val="single" w:color="FFFFFF" w:sz="4" w:space="31"/>
        </w:pBdr>
        <w:overflowPunct w:val="0"/>
        <w:autoSpaceDE w:val="0"/>
        <w:autoSpaceDN w:val="0"/>
        <w:spacing w:line="560" w:lineRule="exact"/>
        <w:ind w:firstLine="640"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2020</w:t>
      </w:r>
      <w:r>
        <w:rPr>
          <w:rFonts w:ascii="Times New Roman" w:hAnsi="Times New Roman" w:eastAsia="仿宋_GB2312"/>
          <w:color w:val="000000"/>
          <w:sz w:val="32"/>
          <w:szCs w:val="32"/>
        </w:rPr>
        <w:t>年，五华区共发生生产安全事故2起，死亡2人，直接经济损失205万元。未发生较大以上事故，总体形式平稳。</w:t>
      </w:r>
      <w:r>
        <w:rPr>
          <w:rFonts w:hint="eastAsia" w:ascii="Times New Roman" w:hAnsi="Times New Roman" w:eastAsia="仿宋_GB2312"/>
          <w:color w:val="000000"/>
          <w:sz w:val="32"/>
          <w:szCs w:val="32"/>
        </w:rPr>
        <w:t xml:space="preserve">            </w:t>
      </w:r>
    </w:p>
    <w:p w14:paraId="0201E3AC">
      <w:pPr>
        <w:pBdr>
          <w:bottom w:val="single" w:color="FFFFFF" w:sz="4" w:space="31"/>
        </w:pBdr>
        <w:overflowPunct w:val="0"/>
        <w:autoSpaceDE w:val="0"/>
        <w:autoSpaceDN w:val="0"/>
        <w:spacing w:line="560" w:lineRule="exact"/>
        <w:ind w:firstLine="640" w:firstLineChars="200"/>
        <w:rPr>
          <w:rFonts w:hint="eastAsia" w:ascii="Times New Roman" w:hAnsi="Times New Roman" w:eastAsia="仿宋_GB2312"/>
          <w:color w:val="000000"/>
          <w:sz w:val="32"/>
          <w:szCs w:val="32"/>
        </w:rPr>
      </w:pPr>
      <w:r>
        <w:rPr>
          <w:rFonts w:hint="eastAsia" w:ascii="黑体" w:hAnsi="黑体" w:eastAsia="黑体"/>
          <w:color w:val="000000"/>
          <w:sz w:val="32"/>
          <w:szCs w:val="32"/>
        </w:rPr>
        <w:t>（二）安</w:t>
      </w:r>
      <w:r>
        <w:rPr>
          <w:rFonts w:ascii="黑体" w:hAnsi="黑体" w:eastAsia="黑体"/>
          <w:color w:val="000000"/>
          <w:sz w:val="32"/>
          <w:szCs w:val="32"/>
        </w:rPr>
        <w:t>全</w:t>
      </w:r>
      <w:r>
        <w:rPr>
          <w:rFonts w:hint="eastAsia" w:ascii="黑体" w:hAnsi="黑体" w:eastAsia="黑体"/>
          <w:color w:val="000000"/>
          <w:sz w:val="32"/>
          <w:szCs w:val="32"/>
        </w:rPr>
        <w:t>生</w:t>
      </w:r>
      <w:r>
        <w:rPr>
          <w:rFonts w:ascii="黑体" w:hAnsi="黑体" w:eastAsia="黑体"/>
          <w:color w:val="000000"/>
          <w:sz w:val="32"/>
          <w:szCs w:val="32"/>
        </w:rPr>
        <w:t>产监管工作情况</w:t>
      </w:r>
    </w:p>
    <w:p w14:paraId="072360FC">
      <w:pPr>
        <w:pBdr>
          <w:bottom w:val="single" w:color="FFFFFF" w:sz="4" w:space="31"/>
        </w:pBdr>
        <w:overflowPunct w:val="0"/>
        <w:autoSpaceDE w:val="0"/>
        <w:autoSpaceDN w:val="0"/>
        <w:spacing w:line="560" w:lineRule="exact"/>
        <w:ind w:firstLine="640" w:firstLineChars="200"/>
        <w:rPr>
          <w:rFonts w:hint="eastAsia" w:ascii="Times New Roman" w:hAnsi="Times New Roman" w:eastAsia="仿宋_GB2312"/>
          <w:color w:val="000000"/>
          <w:sz w:val="32"/>
          <w:szCs w:val="32"/>
        </w:rPr>
      </w:pPr>
      <w:r>
        <w:rPr>
          <w:rFonts w:hint="eastAsia" w:ascii="楷体_GB2312" w:eastAsia="楷体_GB2312"/>
          <w:color w:val="000000"/>
          <w:sz w:val="32"/>
          <w:szCs w:val="32"/>
        </w:rPr>
        <w:t>1.</w:t>
      </w:r>
      <w:r>
        <w:rPr>
          <w:rFonts w:hint="eastAsia" w:ascii="仿宋_GB2312" w:hAnsi="Times New Roman" w:eastAsia="仿宋_GB2312"/>
          <w:color w:val="000000"/>
          <w:sz w:val="32"/>
          <w:szCs w:val="32"/>
        </w:rPr>
        <w:t>精准站位，推动安全生产责任落实</w:t>
      </w:r>
    </w:p>
    <w:p w14:paraId="2E4C4782">
      <w:pPr>
        <w:pBdr>
          <w:bottom w:val="single" w:color="FFFFFF" w:sz="4" w:space="31"/>
        </w:pBdr>
        <w:overflowPunct w:val="0"/>
        <w:autoSpaceDE w:val="0"/>
        <w:autoSpaceDN w:val="0"/>
        <w:spacing w:line="560" w:lineRule="exact"/>
        <w:ind w:firstLine="616" w:firstLineChars="200"/>
        <w:rPr>
          <w:rFonts w:hint="eastAsia" w:ascii="Times New Roman" w:hAnsi="Times New Roman" w:eastAsia="仿宋_GB2312"/>
          <w:bCs/>
          <w:color w:val="000000"/>
          <w:spacing w:val="-6"/>
          <w:sz w:val="32"/>
          <w:szCs w:val="32"/>
        </w:rPr>
      </w:pPr>
      <w:r>
        <w:rPr>
          <w:rFonts w:hint="eastAsia" w:ascii="Times New Roman" w:hAnsi="Times New Roman" w:eastAsia="仿宋_GB2312"/>
          <w:bCs/>
          <w:color w:val="000000"/>
          <w:spacing w:val="-6"/>
          <w:sz w:val="32"/>
          <w:szCs w:val="32"/>
        </w:rPr>
        <w:t>2020年，</w:t>
      </w:r>
      <w:r>
        <w:rPr>
          <w:rFonts w:ascii="Times New Roman" w:hAnsi="Times New Roman" w:eastAsia="仿宋_GB2312"/>
          <w:bCs/>
          <w:color w:val="000000"/>
          <w:spacing w:val="-6"/>
          <w:sz w:val="32"/>
          <w:szCs w:val="32"/>
        </w:rPr>
        <w:t>区委常委会听取安全生产和应急管理工作情况汇报1次，区政府常务会听取安全生产和应急管理工作情况汇报2次，研究部署安全生产重点难点工作3次。</w:t>
      </w:r>
      <w:r>
        <w:rPr>
          <w:rFonts w:hint="eastAsia" w:ascii="Times New Roman" w:hAnsi="Times New Roman" w:eastAsia="仿宋_GB2312"/>
          <w:bCs/>
          <w:color w:val="000000"/>
          <w:spacing w:val="-6"/>
          <w:sz w:val="32"/>
          <w:szCs w:val="32"/>
        </w:rPr>
        <w:t>根据</w:t>
      </w:r>
      <w:r>
        <w:rPr>
          <w:rFonts w:ascii="Times New Roman" w:hAnsi="Times New Roman" w:eastAsia="仿宋_GB2312"/>
          <w:bCs/>
          <w:color w:val="000000"/>
          <w:spacing w:val="-6"/>
          <w:sz w:val="32"/>
          <w:szCs w:val="32"/>
        </w:rPr>
        <w:t>《五华区年度安全生产和事故灾害应对目标管理责任书》</w:t>
      </w:r>
      <w:r>
        <w:rPr>
          <w:rFonts w:hint="eastAsia" w:ascii="Times New Roman" w:hAnsi="Times New Roman" w:eastAsia="仿宋_GB2312"/>
          <w:bCs/>
          <w:color w:val="000000"/>
          <w:spacing w:val="-6"/>
          <w:sz w:val="32"/>
          <w:szCs w:val="32"/>
        </w:rPr>
        <w:t>，</w:t>
      </w:r>
      <w:r>
        <w:rPr>
          <w:rFonts w:ascii="Times New Roman" w:hAnsi="Times New Roman" w:eastAsia="仿宋_GB2312"/>
          <w:bCs/>
          <w:color w:val="000000"/>
          <w:spacing w:val="-6"/>
          <w:sz w:val="32"/>
          <w:szCs w:val="32"/>
        </w:rPr>
        <w:t>与各街道办事处和安全生产各责任制单位签订了责任书，层层压实安全生产和应急管理责任。</w:t>
      </w:r>
      <w:r>
        <w:rPr>
          <w:rFonts w:ascii="Times New Roman" w:hAnsi="Times New Roman" w:eastAsia="仿宋_GB2312"/>
          <w:color w:val="000000"/>
          <w:spacing w:val="-6"/>
          <w:sz w:val="32"/>
          <w:szCs w:val="32"/>
        </w:rPr>
        <w:t>印发</w:t>
      </w:r>
      <w:r>
        <w:rPr>
          <w:rFonts w:hint="eastAsia" w:ascii="Times New Roman" w:hAnsi="Times New Roman" w:eastAsia="仿宋_GB2312"/>
          <w:color w:val="000000"/>
          <w:spacing w:val="-6"/>
          <w:sz w:val="32"/>
          <w:szCs w:val="32"/>
        </w:rPr>
        <w:t>了</w:t>
      </w:r>
      <w:r>
        <w:rPr>
          <w:rFonts w:ascii="Times New Roman" w:hAnsi="Times New Roman" w:eastAsia="仿宋_GB2312"/>
          <w:color w:val="000000"/>
          <w:spacing w:val="-6"/>
          <w:sz w:val="32"/>
          <w:szCs w:val="32"/>
        </w:rPr>
        <w:t>《五华区党政领导干部安全生产工作表扬惩处办法》《五华区安全生产尽职免责办法（试行）》《五华区关于贯彻落实昆明市党政领导干部安全生产责任制实施细则的实施方案》《区委常委会及其成员安全生产职责清单》等文件，进一步明确了我区党政领导干部安全生产责任。</w:t>
      </w:r>
      <w:r>
        <w:rPr>
          <w:rFonts w:hint="eastAsia" w:ascii="Times New Roman" w:hAnsi="Times New Roman" w:eastAsia="仿宋_GB2312"/>
          <w:color w:val="000000"/>
          <w:spacing w:val="-6"/>
          <w:sz w:val="32"/>
          <w:szCs w:val="32"/>
        </w:rPr>
        <w:t>充分发挥区安全</w:t>
      </w:r>
      <w:r>
        <w:rPr>
          <w:rFonts w:ascii="Times New Roman" w:hAnsi="Times New Roman" w:eastAsia="仿宋_GB2312"/>
          <w:color w:val="000000"/>
          <w:spacing w:val="-6"/>
          <w:sz w:val="32"/>
          <w:szCs w:val="32"/>
        </w:rPr>
        <w:t>生产委员会</w:t>
      </w:r>
      <w:r>
        <w:rPr>
          <w:rFonts w:hint="eastAsia" w:ascii="Times New Roman" w:hAnsi="Times New Roman" w:eastAsia="仿宋_GB2312"/>
          <w:color w:val="000000"/>
          <w:spacing w:val="-6"/>
          <w:sz w:val="32"/>
          <w:szCs w:val="32"/>
        </w:rPr>
        <w:t>的职能职责，拟定了</w:t>
      </w:r>
      <w:r>
        <w:rPr>
          <w:rFonts w:ascii="Times New Roman" w:hAnsi="Times New Roman" w:eastAsia="仿宋_GB2312"/>
          <w:bCs/>
          <w:color w:val="000000"/>
          <w:spacing w:val="-6"/>
          <w:sz w:val="32"/>
          <w:szCs w:val="32"/>
        </w:rPr>
        <w:t>《五华区安全生产委员会及行业监管指挥部工作规则》</w:t>
      </w:r>
      <w:r>
        <w:rPr>
          <w:rFonts w:hint="eastAsia" w:ascii="Times New Roman" w:hAnsi="Times New Roman" w:eastAsia="仿宋_GB2312"/>
          <w:bCs/>
          <w:color w:val="000000"/>
          <w:spacing w:val="-6"/>
          <w:sz w:val="32"/>
          <w:szCs w:val="32"/>
        </w:rPr>
        <w:t>，</w:t>
      </w:r>
      <w:r>
        <w:rPr>
          <w:rFonts w:ascii="Times New Roman" w:hAnsi="Times New Roman" w:eastAsia="仿宋_GB2312"/>
          <w:bCs/>
          <w:color w:val="000000"/>
          <w:spacing w:val="-6"/>
          <w:sz w:val="32"/>
          <w:szCs w:val="32"/>
        </w:rPr>
        <w:t>推动各行业监管指挥部落实安全生产监管责任。</w:t>
      </w:r>
    </w:p>
    <w:p w14:paraId="152FBC9C">
      <w:pPr>
        <w:pBdr>
          <w:bottom w:val="single" w:color="FFFFFF" w:sz="4" w:space="31"/>
        </w:pBdr>
        <w:overflowPunct w:val="0"/>
        <w:autoSpaceDE w:val="0"/>
        <w:autoSpaceDN w:val="0"/>
        <w:spacing w:line="560" w:lineRule="exact"/>
        <w:ind w:firstLine="640" w:firstLineChars="200"/>
        <w:rPr>
          <w:rFonts w:hint="eastAsia" w:ascii="Times New Roman" w:hAnsi="Times New Roman" w:eastAsia="楷体_GB2312"/>
          <w:kern w:val="0"/>
          <w:sz w:val="32"/>
          <w:szCs w:val="32"/>
          <w:shd w:val="clear" w:color="auto" w:fill="FFFFFF"/>
        </w:rPr>
      </w:pPr>
      <w:r>
        <w:rPr>
          <w:rFonts w:hint="eastAsia" w:ascii="Times New Roman" w:hAnsi="Times New Roman" w:eastAsia="楷体_GB2312"/>
          <w:kern w:val="0"/>
          <w:sz w:val="32"/>
          <w:szCs w:val="32"/>
          <w:shd w:val="clear" w:color="auto" w:fill="FFFFFF"/>
        </w:rPr>
        <w:t>2.</w:t>
      </w:r>
      <w:r>
        <w:rPr>
          <w:rFonts w:ascii="Times New Roman" w:hAnsi="Times New Roman" w:eastAsia="楷体_GB2312"/>
          <w:kern w:val="0"/>
          <w:sz w:val="32"/>
          <w:szCs w:val="32"/>
          <w:shd w:val="clear" w:color="auto" w:fill="FFFFFF"/>
        </w:rPr>
        <w:t>落实安全生产综合监管责任</w:t>
      </w:r>
    </w:p>
    <w:p w14:paraId="4216EABD">
      <w:pPr>
        <w:pBdr>
          <w:bottom w:val="single" w:color="FFFFFF" w:sz="4" w:space="31"/>
        </w:pBdr>
        <w:overflowPunct w:val="0"/>
        <w:autoSpaceDE w:val="0"/>
        <w:autoSpaceDN w:val="0"/>
        <w:spacing w:line="560" w:lineRule="exact"/>
        <w:ind w:firstLine="643" w:firstLineChars="200"/>
        <w:rPr>
          <w:rFonts w:hint="eastAsia" w:ascii="仿宋_GB2312" w:hAnsi="Times New Roman" w:eastAsia="仿宋_GB2312"/>
          <w:color w:val="000000"/>
          <w:sz w:val="32"/>
          <w:szCs w:val="32"/>
        </w:rPr>
      </w:pPr>
      <w:r>
        <w:rPr>
          <w:rFonts w:hint="eastAsia" w:ascii="仿宋_GB2312" w:hAnsi="Times New Roman" w:eastAsia="仿宋_GB2312"/>
          <w:b/>
          <w:bCs/>
          <w:kern w:val="0"/>
          <w:sz w:val="32"/>
          <w:szCs w:val="32"/>
          <w:shd w:val="clear" w:color="auto" w:fill="FFFFFF"/>
        </w:rPr>
        <w:t>一是</w:t>
      </w:r>
      <w:r>
        <w:rPr>
          <w:rFonts w:hint="eastAsia" w:ascii="仿宋_GB2312" w:hAnsi="Times New Roman" w:eastAsia="仿宋_GB2312"/>
          <w:kern w:val="0"/>
          <w:sz w:val="32"/>
          <w:szCs w:val="32"/>
          <w:shd w:val="clear" w:color="auto" w:fill="FFFFFF"/>
        </w:rPr>
        <w:t>定期组织召开安全生产工作会。</w:t>
      </w:r>
      <w:r>
        <w:rPr>
          <w:rFonts w:hint="eastAsia" w:ascii="仿宋_GB2312" w:hAnsi="Times New Roman" w:eastAsia="仿宋_GB2312"/>
          <w:spacing w:val="-6"/>
          <w:sz w:val="32"/>
          <w:szCs w:val="32"/>
        </w:rPr>
        <w:t>1月14日，组织召开年全区安全生产、道路交通和消防安全工作会议。7月22日，</w:t>
      </w:r>
      <w:r>
        <w:rPr>
          <w:rFonts w:hint="eastAsia" w:ascii="仿宋_GB2312" w:hAnsi="Times New Roman" w:eastAsia="仿宋_GB2312"/>
          <w:sz w:val="32"/>
          <w:szCs w:val="32"/>
        </w:rPr>
        <w:t>召开五华区年上半年安全生产、应急管理工作会。10月28日，召开五华区安全生产专项整治三年行动工作推进会。对全区安全生产、应急管理工作进行安排部署。</w:t>
      </w:r>
    </w:p>
    <w:p w14:paraId="000AD767">
      <w:pPr>
        <w:pStyle w:val="31"/>
        <w:spacing w:line="560" w:lineRule="exact"/>
        <w:ind w:firstLine="643"/>
        <w:rPr>
          <w:rFonts w:ascii="Times New Roman" w:hAnsi="Times New Roman" w:eastAsia="楷体_GB2312"/>
          <w:kern w:val="0"/>
          <w:sz w:val="32"/>
          <w:szCs w:val="32"/>
          <w:shd w:val="clear" w:color="auto" w:fill="FFFFFF"/>
        </w:rPr>
      </w:pPr>
      <w:r>
        <w:rPr>
          <w:rFonts w:ascii="Times New Roman" w:hAnsi="Times New Roman"/>
          <w:b/>
          <w:bCs/>
          <w:kern w:val="0"/>
          <w:sz w:val="32"/>
          <w:szCs w:val="32"/>
          <w:shd w:val="clear" w:color="auto" w:fill="FFFFFF"/>
        </w:rPr>
        <w:t>二是</w:t>
      </w:r>
      <w:r>
        <w:rPr>
          <w:rFonts w:ascii="Times New Roman" w:hAnsi="Times New Roman"/>
          <w:kern w:val="0"/>
          <w:sz w:val="32"/>
          <w:szCs w:val="32"/>
          <w:shd w:val="clear" w:color="auto" w:fill="FFFFFF"/>
        </w:rPr>
        <w:t>定期检查安全生产工作台账。</w:t>
      </w:r>
      <w:r>
        <w:rPr>
          <w:rFonts w:ascii="Times New Roman" w:hAnsi="Times New Roman"/>
          <w:spacing w:val="-6"/>
          <w:sz w:val="32"/>
          <w:szCs w:val="32"/>
        </w:rPr>
        <w:t>每季度对区属各街道办事处、区安全生产各责任制单位和市道路运输管理局五华分局等单位安全生产工作台账进行检查，督促责任制单位贯彻落实全区安全生产工作部署。</w:t>
      </w:r>
    </w:p>
    <w:p w14:paraId="2D9D5C5D">
      <w:pPr>
        <w:pStyle w:val="31"/>
        <w:spacing w:line="560" w:lineRule="exact"/>
        <w:ind w:firstLine="643"/>
        <w:rPr>
          <w:rFonts w:hint="eastAsia" w:ascii="Times New Roman" w:hAnsi="Times New Roman"/>
          <w:sz w:val="32"/>
          <w:szCs w:val="32"/>
        </w:rPr>
      </w:pPr>
      <w:r>
        <w:rPr>
          <w:rFonts w:ascii="Times New Roman" w:hAnsi="Times New Roman"/>
          <w:b/>
          <w:bCs/>
          <w:sz w:val="32"/>
          <w:szCs w:val="32"/>
        </w:rPr>
        <w:t>三是</w:t>
      </w:r>
      <w:r>
        <w:rPr>
          <w:rFonts w:ascii="Times New Roman" w:hAnsi="Times New Roman"/>
          <w:sz w:val="32"/>
          <w:szCs w:val="32"/>
        </w:rPr>
        <w:t>推进安全网格化监管体系规范化建设。形成以区政府为一级网格，10家街道办事处为二级网格，91个社区为三级网格和307家重点生产经营单为四级网格的“五华区安全生产网格化监管体系”。1至3季度安全专干巡查生产经营单位共9286家次，发现各类一般安全隐患和问题1285项并督促企业及时整改。</w:t>
      </w:r>
    </w:p>
    <w:p w14:paraId="3D97D125">
      <w:pPr>
        <w:autoSpaceDE w:val="0"/>
        <w:autoSpaceDN w:val="0"/>
        <w:adjustRightInd w:val="0"/>
        <w:spacing w:line="560" w:lineRule="exact"/>
        <w:ind w:firstLine="643" w:firstLineChars="200"/>
        <w:rPr>
          <w:rFonts w:ascii="Times New Roman" w:hAnsi="Times New Roman"/>
          <w:color w:val="000000"/>
          <w:sz w:val="32"/>
          <w:szCs w:val="32"/>
        </w:rPr>
      </w:pPr>
      <w:r>
        <w:rPr>
          <w:rFonts w:ascii="Times New Roman" w:hAnsi="Times New Roman" w:eastAsia="仿宋_GB2312"/>
          <w:b/>
          <w:bCs/>
          <w:color w:val="000000"/>
          <w:kern w:val="0"/>
          <w:sz w:val="32"/>
          <w:szCs w:val="32"/>
          <w:shd w:val="clear" w:color="auto" w:fill="FFFFFF"/>
        </w:rPr>
        <w:t>四是</w:t>
      </w:r>
      <w:r>
        <w:rPr>
          <w:rFonts w:ascii="Times New Roman" w:hAnsi="Times New Roman" w:eastAsia="仿宋_GB2312"/>
          <w:color w:val="000000"/>
          <w:kern w:val="0"/>
          <w:sz w:val="32"/>
          <w:szCs w:val="32"/>
          <w:shd w:val="clear" w:color="auto" w:fill="FFFFFF"/>
        </w:rPr>
        <w:t>推进城市安全发展的决策部署。</w:t>
      </w:r>
      <w:r>
        <w:rPr>
          <w:rFonts w:ascii="Times New Roman" w:hAnsi="Times New Roman" w:eastAsia="仿宋_GB2312"/>
          <w:color w:val="000000"/>
          <w:sz w:val="32"/>
          <w:szCs w:val="32"/>
        </w:rPr>
        <w:t>拟写印发了《五华区建设国家安全发展示范城市实施方案》，积极配合上级部门逐步做好安全发展示范城市创建的相关工作。截至目前已对“昆明市城市风险信息管理平台”上五华区辖区内的149个风险源点位进行了校正。</w:t>
      </w:r>
    </w:p>
    <w:p w14:paraId="15600BCD">
      <w:pPr>
        <w:spacing w:line="560" w:lineRule="exact"/>
        <w:ind w:firstLine="616" w:firstLineChars="200"/>
        <w:rPr>
          <w:rFonts w:ascii="Times New Roman" w:hAnsi="Times New Roman" w:eastAsia="楷体_GB2312"/>
          <w:color w:val="000000"/>
          <w:sz w:val="32"/>
          <w:szCs w:val="32"/>
        </w:rPr>
      </w:pPr>
      <w:r>
        <w:rPr>
          <w:rFonts w:hint="eastAsia" w:ascii="Times New Roman" w:hAnsi="Times New Roman" w:eastAsia="仿宋_GB2312"/>
          <w:bCs/>
          <w:color w:val="000000"/>
          <w:spacing w:val="-6"/>
          <w:sz w:val="32"/>
          <w:szCs w:val="32"/>
        </w:rPr>
        <w:t>3.</w:t>
      </w:r>
      <w:r>
        <w:rPr>
          <w:rFonts w:ascii="Times New Roman" w:hAnsi="Times New Roman" w:eastAsia="楷体_GB2312"/>
          <w:color w:val="000000"/>
          <w:sz w:val="32"/>
          <w:szCs w:val="32"/>
        </w:rPr>
        <w:t xml:space="preserve"> 深入开展安全生产专项整治工作</w:t>
      </w:r>
    </w:p>
    <w:p w14:paraId="2B6FEC3C">
      <w:pPr>
        <w:pStyle w:val="31"/>
        <w:spacing w:line="560" w:lineRule="exact"/>
        <w:ind w:firstLine="643"/>
        <w:rPr>
          <w:rFonts w:ascii="Times New Roman" w:hAnsi="Times New Roman"/>
          <w:spacing w:val="-6"/>
          <w:sz w:val="32"/>
          <w:szCs w:val="32"/>
        </w:rPr>
      </w:pPr>
      <w:r>
        <w:rPr>
          <w:rFonts w:ascii="Times New Roman" w:hAnsi="Times New Roman"/>
          <w:b/>
          <w:bCs/>
          <w:kern w:val="0"/>
          <w:sz w:val="32"/>
          <w:szCs w:val="32"/>
          <w:shd w:val="clear" w:color="auto" w:fill="FFFFFF"/>
        </w:rPr>
        <w:t>一是</w:t>
      </w:r>
      <w:r>
        <w:rPr>
          <w:rFonts w:ascii="Times New Roman" w:hAnsi="Times New Roman"/>
          <w:kern w:val="0"/>
          <w:sz w:val="32"/>
          <w:szCs w:val="32"/>
          <w:shd w:val="clear" w:color="auto" w:fill="FFFFFF"/>
        </w:rPr>
        <w:t>深入开展安全生产集中整治。</w:t>
      </w:r>
      <w:r>
        <w:rPr>
          <w:rFonts w:hint="eastAsia" w:ascii="Times New Roman" w:hAnsi="Times New Roman"/>
          <w:kern w:val="0"/>
          <w:sz w:val="32"/>
          <w:szCs w:val="32"/>
          <w:shd w:val="clear" w:color="auto" w:fill="FFFFFF"/>
        </w:rPr>
        <w:t>2020</w:t>
      </w:r>
      <w:r>
        <w:rPr>
          <w:rFonts w:ascii="Times New Roman" w:hAnsi="Times New Roman"/>
          <w:spacing w:val="-6"/>
          <w:sz w:val="32"/>
          <w:szCs w:val="32"/>
        </w:rPr>
        <w:t>年，结合我区实际印发了《五华区安全生产委员会关于印发安全生产集中整治工作实施方案的通知》，重点行业领域安全生产集中整治。截止今年5月底共检查企业1349家，排查整改一般隐患1267项，排查整改重大隐患9项，打击违法违规行为5起，关闭取缔企业2家，停产整顿企业9家，暂扣吊销证照9个，罚款53.03万元。</w:t>
      </w:r>
    </w:p>
    <w:p w14:paraId="3527336E">
      <w:pPr>
        <w:pStyle w:val="31"/>
        <w:spacing w:line="560" w:lineRule="exact"/>
        <w:ind w:firstLine="618"/>
        <w:rPr>
          <w:rFonts w:ascii="Times New Roman" w:hAnsi="Times New Roman"/>
          <w:sz w:val="32"/>
          <w:szCs w:val="32"/>
        </w:rPr>
      </w:pPr>
      <w:r>
        <w:rPr>
          <w:rFonts w:ascii="Times New Roman" w:hAnsi="Times New Roman"/>
          <w:b/>
          <w:bCs/>
          <w:spacing w:val="-6"/>
          <w:sz w:val="32"/>
          <w:szCs w:val="32"/>
        </w:rPr>
        <w:t>二是</w:t>
      </w:r>
      <w:r>
        <w:rPr>
          <w:rFonts w:ascii="Times New Roman" w:hAnsi="Times New Roman"/>
          <w:spacing w:val="-6"/>
          <w:sz w:val="32"/>
          <w:szCs w:val="32"/>
        </w:rPr>
        <w:t>重点推进安全工程三年行动计划。按照省、市、区委、区政府工作要求，以及《中共五华区委办公室 五华区人民政府办公室关于印发＜五华区实施安全工程行动计划（2018-年）总体方案＞的通知》（五办通〔2019〕64号）总体部署，</w:t>
      </w:r>
      <w:r>
        <w:rPr>
          <w:rFonts w:ascii="Times New Roman" w:hAnsi="Times New Roman"/>
          <w:sz w:val="32"/>
          <w:szCs w:val="32"/>
        </w:rPr>
        <w:t>突出抓好道路交通、交通运输、消防、建筑施工、非煤矿山、危险化学品、旅游行业等7个重点行业领域安全监管，不断健全安全生产责任制度建设，逐步完善和夯实行业领域安全生产基础，基本实现安全基础状况明显改善，本职安全水平明显提升，安全生产形势保持持续稳定，事故总量明显减少，事故起数、死亡人数下降，有效防范和遏制较大及以上生产安全事故发生。目前五华区该专项工作已进入自评阶段。</w:t>
      </w:r>
    </w:p>
    <w:p w14:paraId="58C5478B">
      <w:pPr>
        <w:pStyle w:val="31"/>
        <w:spacing w:line="560" w:lineRule="exact"/>
        <w:ind w:firstLine="643"/>
        <w:rPr>
          <w:rFonts w:ascii="Times New Roman" w:hAnsi="Times New Roman"/>
          <w:sz w:val="32"/>
          <w:szCs w:val="32"/>
        </w:rPr>
      </w:pPr>
      <w:r>
        <w:rPr>
          <w:rFonts w:ascii="Times New Roman" w:hAnsi="Times New Roman"/>
          <w:b/>
          <w:bCs/>
          <w:kern w:val="0"/>
          <w:sz w:val="32"/>
          <w:szCs w:val="32"/>
          <w:shd w:val="clear" w:color="auto" w:fill="FFFFFF"/>
        </w:rPr>
        <w:t>三是</w:t>
      </w:r>
      <w:r>
        <w:rPr>
          <w:rFonts w:ascii="Times New Roman" w:hAnsi="Times New Roman"/>
          <w:kern w:val="0"/>
          <w:sz w:val="32"/>
          <w:szCs w:val="32"/>
          <w:shd w:val="clear" w:color="auto" w:fill="FFFFFF"/>
        </w:rPr>
        <w:t>深入推进安全生产专项整治三年行动。</w:t>
      </w:r>
      <w:r>
        <w:rPr>
          <w:rFonts w:ascii="Times New Roman" w:hAnsi="Times New Roman" w:eastAsia="仿宋"/>
          <w:kern w:val="0"/>
          <w:sz w:val="32"/>
          <w:szCs w:val="32"/>
          <w:shd w:val="clear" w:color="auto" w:fill="FFFFFF"/>
        </w:rPr>
        <w:t>根据</w:t>
      </w:r>
      <w:r>
        <w:rPr>
          <w:rFonts w:ascii="Times New Roman" w:hAnsi="Times New Roman"/>
          <w:sz w:val="32"/>
          <w:szCs w:val="32"/>
        </w:rPr>
        <w:t>区政府关于开展五华区安全生产专项整治三年行动的安排部署。在全区范围开展危险化学品、非煤矿山、工贸、消防、道路运输、城市建设、危险废物等重点行业领域安全生产专项整治。截至9月底全区共排查生产经营单位16532家次，共排查一般隐患2023项，已整改隐患1868项，排查重大隐患11项，已整改5项，打击非法1起，行政处罚22次，处罚罚款18.83万元，联合惩戒2家，警示约谈企业96家。</w:t>
      </w:r>
    </w:p>
    <w:p w14:paraId="0228733A">
      <w:pPr>
        <w:spacing w:line="560" w:lineRule="exact"/>
        <w:ind w:firstLine="643" w:firstLineChars="200"/>
        <w:rPr>
          <w:rFonts w:hint="eastAsia" w:ascii="Times New Roman" w:hAnsi="Times New Roman" w:eastAsia="仿宋_GB2312"/>
          <w:color w:val="000000"/>
          <w:spacing w:val="-6"/>
          <w:sz w:val="32"/>
          <w:szCs w:val="32"/>
        </w:rPr>
      </w:pPr>
      <w:r>
        <w:rPr>
          <w:rFonts w:ascii="Times New Roman" w:hAnsi="Times New Roman" w:eastAsia="仿宋_GB2312"/>
          <w:b/>
          <w:bCs/>
          <w:color w:val="000000"/>
          <w:sz w:val="32"/>
          <w:szCs w:val="32"/>
        </w:rPr>
        <w:t>四是</w:t>
      </w:r>
      <w:r>
        <w:rPr>
          <w:rFonts w:ascii="Times New Roman" w:hAnsi="Times New Roman" w:eastAsia="仿宋_GB2312"/>
          <w:color w:val="000000"/>
          <w:spacing w:val="-6"/>
          <w:sz w:val="32"/>
          <w:szCs w:val="32"/>
        </w:rPr>
        <w:t>时刻紧绷安全生产之弦，加强“两会”、汛期等重要时段和春节、五一、国庆等重要节假日期间安全生产和应急值守工作，进一步完善部门间协调联动工作机制，加强对自然灾害的预测预报。春节、国庆前夕，市级督查组和区级四套班子主要领导带队分别对辖区重点行业部分企业和场所进行实地安全检查。通过检查，督促各企业、场所及时整改安全工作方面存在的问题和隐患，认识到落实安全主体责任的重要性。</w:t>
      </w:r>
    </w:p>
    <w:p w14:paraId="579D8517">
      <w:pPr>
        <w:tabs>
          <w:tab w:val="left" w:pos="1219"/>
        </w:tabs>
        <w:spacing w:line="56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olor w:val="000000"/>
          <w:sz w:val="32"/>
          <w:szCs w:val="32"/>
        </w:rPr>
        <w:t>4.</w:t>
      </w:r>
      <w:r>
        <w:rPr>
          <w:rFonts w:ascii="Times New Roman" w:hAnsi="Times New Roman" w:eastAsia="楷体_GB2312"/>
          <w:color w:val="000000"/>
          <w:sz w:val="32"/>
          <w:szCs w:val="32"/>
        </w:rPr>
        <w:t>强化行业安全监管</w:t>
      </w:r>
    </w:p>
    <w:p w14:paraId="47B8A010">
      <w:pPr>
        <w:tabs>
          <w:tab w:val="left" w:pos="1219"/>
        </w:tabs>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结合工作职责，分时段、分领域，突出</w:t>
      </w:r>
      <w:r>
        <w:rPr>
          <w:rFonts w:ascii="Times New Roman" w:hAnsi="Times New Roman" w:eastAsia="仿宋_GB2312"/>
          <w:color w:val="000000"/>
          <w:sz w:val="32"/>
          <w:szCs w:val="32"/>
          <w:shd w:val="clear" w:color="auto" w:fill="FFFFFF"/>
        </w:rPr>
        <w:t>重点企业，通过督促企业自查、联合部门抽查、借助专家力量重点查等方式，牢牢抓好抓实监管行业领域的安全隐患排查整治工作。</w:t>
      </w:r>
    </w:p>
    <w:p w14:paraId="366574C9">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一是</w:t>
      </w:r>
      <w:r>
        <w:rPr>
          <w:rFonts w:ascii="Times New Roman" w:hAnsi="Times New Roman" w:eastAsia="仿宋_GB2312"/>
          <w:color w:val="000000"/>
          <w:sz w:val="32"/>
          <w:szCs w:val="32"/>
        </w:rPr>
        <w:t>结合日常安全监管，开展了</w:t>
      </w:r>
      <w:r>
        <w:rPr>
          <w:rFonts w:ascii="Times New Roman" w:hAnsi="Times New Roman" w:eastAsia="仿宋_GB2312"/>
          <w:color w:val="000000"/>
          <w:sz w:val="32"/>
          <w:szCs w:val="32"/>
          <w:shd w:val="clear" w:color="auto" w:fill="FFFFFF"/>
        </w:rPr>
        <w:t>“迎新春、保两会”安全生产隐患大排查大整治、</w:t>
      </w:r>
      <w:r>
        <w:rPr>
          <w:rFonts w:ascii="Times New Roman" w:hAnsi="Times New Roman" w:eastAsia="仿宋_GB2312"/>
          <w:color w:val="000000"/>
          <w:sz w:val="32"/>
          <w:szCs w:val="32"/>
        </w:rPr>
        <w:t>重大危险源专项检查、“中秋、国庆”节前拉网式大检查、危化品储存安全专项检查治理。</w:t>
      </w:r>
      <w:r>
        <w:rPr>
          <w:rFonts w:ascii="Times New Roman" w:hAnsi="Times New Roman" w:eastAsia="仿宋_GB2312"/>
          <w:color w:val="000000"/>
          <w:sz w:val="32"/>
          <w:szCs w:val="32"/>
          <w:shd w:val="clear" w:color="auto" w:fill="FFFFFF"/>
        </w:rPr>
        <w:t>完成了对全区危险化学品生产储存企业、加油站的全覆盖检查和重点经营企业的抽查。督促企业100%完成自检自查，开展</w:t>
      </w:r>
      <w:r>
        <w:rPr>
          <w:rFonts w:ascii="Times New Roman" w:hAnsi="Times New Roman" w:eastAsia="仿宋_GB2312"/>
          <w:color w:val="000000"/>
          <w:sz w:val="32"/>
          <w:szCs w:val="32"/>
        </w:rPr>
        <w:t>部门检查116次、联合专家检查7次，查出隐患346条，整改隐患343条。</w:t>
      </w:r>
    </w:p>
    <w:p w14:paraId="1CAF8C50">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二是</w:t>
      </w:r>
      <w:r>
        <w:rPr>
          <w:rFonts w:ascii="Times New Roman" w:hAnsi="Times New Roman" w:eastAsia="仿宋_GB2312"/>
          <w:color w:val="000000"/>
          <w:sz w:val="32"/>
          <w:szCs w:val="32"/>
        </w:rPr>
        <w:t>多措并举，强化烟花爆竹安全监管。春节期间，组织区级相关部门对全区范围内烟花爆竹零售经营点开展了安全检查。共抽查烟花爆竹零售点36个，排查整改安全隐患70余项。汛期，对云南熊猫烟花销售有限公司仓库开展烟花爆竹专项检查，对排查出的5项安全隐患，督促企业严格整改。9月29日，组织申请2021年度烟花爆竹经营资格的经营点从业人员开展烟花爆竹安全知识培训和上岗资格考核。</w:t>
      </w:r>
    </w:p>
    <w:p w14:paraId="51FE5B2B">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三是</w:t>
      </w:r>
      <w:r>
        <w:rPr>
          <w:rFonts w:ascii="Times New Roman" w:hAnsi="Times New Roman" w:eastAsia="仿宋_GB2312"/>
          <w:color w:val="000000"/>
          <w:sz w:val="32"/>
          <w:szCs w:val="32"/>
        </w:rPr>
        <w:t>结合冶金工贸粉尘涉爆、有限空间、汛期等专项检查以及疫情防控工作，对辖区工贸企业进行全覆盖检查，检查企业77家次。</w:t>
      </w:r>
    </w:p>
    <w:p w14:paraId="5188EA6A">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四是</w:t>
      </w:r>
      <w:r>
        <w:rPr>
          <w:rFonts w:ascii="Times New Roman" w:hAnsi="Times New Roman" w:eastAsia="仿宋_GB2312"/>
          <w:color w:val="000000"/>
          <w:sz w:val="32"/>
          <w:szCs w:val="32"/>
        </w:rPr>
        <w:t>对辖区停产的2家非煤矿山企业坚持监管不放松，每个月至少对2家企业检查1次。监督企业停产期间场内安全工作是否落实到位，特别是汛期有无做好防汛各项保障工作。</w:t>
      </w:r>
    </w:p>
    <w:p w14:paraId="5F12C8A0">
      <w:pPr>
        <w:spacing w:line="560" w:lineRule="exact"/>
        <w:ind w:firstLine="640" w:firstLineChars="200"/>
        <w:rPr>
          <w:rFonts w:ascii="Times New Roman" w:hAnsi="Times New Roman" w:eastAsia="仿宋_GB2312"/>
          <w:color w:val="000000"/>
          <w:kern w:val="0"/>
          <w:sz w:val="32"/>
          <w:szCs w:val="32"/>
          <w:shd w:val="clear" w:color="auto" w:fill="FFFFFF"/>
        </w:rPr>
      </w:pPr>
    </w:p>
    <w:p w14:paraId="1316FECC">
      <w:pPr>
        <w:spacing w:line="560" w:lineRule="exact"/>
        <w:ind w:firstLine="616" w:firstLineChars="200"/>
        <w:rPr>
          <w:rFonts w:ascii="Times New Roman" w:hAnsi="Times New Roman" w:eastAsia="仿宋_GB2312"/>
          <w:bCs/>
          <w:color w:val="000000"/>
          <w:spacing w:val="-6"/>
          <w:sz w:val="32"/>
          <w:szCs w:val="32"/>
        </w:rPr>
      </w:pPr>
    </w:p>
    <w:p w14:paraId="3E85D07E">
      <w:pPr>
        <w:spacing w:line="560" w:lineRule="exact"/>
        <w:ind w:firstLine="616" w:firstLineChars="200"/>
        <w:rPr>
          <w:rFonts w:ascii="Times New Roman" w:hAnsi="Times New Roman" w:eastAsia="楷体_GB2312"/>
          <w:color w:val="000000"/>
          <w:spacing w:val="-6"/>
          <w:sz w:val="32"/>
          <w:szCs w:val="32"/>
        </w:rPr>
      </w:pPr>
    </w:p>
    <w:p w14:paraId="0331B5BA">
      <w:pPr>
        <w:ind w:firstLine="616" w:firstLineChars="200"/>
        <w:rPr>
          <w:rFonts w:hint="eastAsia" w:ascii="Times New Roman" w:hAnsi="Times New Roman" w:eastAsia="仿宋_GB2312"/>
          <w:bCs/>
          <w:color w:val="000000"/>
          <w:spacing w:val="-6"/>
          <w:sz w:val="32"/>
          <w:szCs w:val="32"/>
        </w:rPr>
      </w:pPr>
    </w:p>
    <w:p w14:paraId="76820357">
      <w:pPr>
        <w:ind w:firstLine="616" w:firstLineChars="200"/>
        <w:rPr>
          <w:rFonts w:hint="eastAsia" w:ascii="Times New Roman" w:hAnsi="Times New Roman" w:eastAsia="仿宋_GB2312"/>
          <w:bCs/>
          <w:color w:val="000000"/>
          <w:spacing w:val="-6"/>
          <w:sz w:val="32"/>
          <w:szCs w:val="32"/>
        </w:rPr>
      </w:pPr>
    </w:p>
    <w:p w14:paraId="4EED89B1">
      <w:pPr>
        <w:ind w:firstLine="640" w:firstLineChars="200"/>
        <w:rPr>
          <w:rFonts w:hint="eastAsia" w:ascii="仿宋_GB2312" w:hAnsi="Times New Roman" w:eastAsia="仿宋_GB2312"/>
          <w:color w:val="000000"/>
          <w:sz w:val="32"/>
          <w:szCs w:val="32"/>
        </w:rPr>
      </w:pPr>
    </w:p>
    <w:p w14:paraId="1DAEF539">
      <w:pPr>
        <w:spacing w:line="560" w:lineRule="exact"/>
        <w:ind w:firstLine="640" w:firstLineChars="200"/>
        <w:rPr>
          <w:rFonts w:hint="eastAsia" w:ascii="仿宋_GB2312" w:hAnsi="仿宋_GB2312" w:eastAsia="仿宋_GB2312" w:cs="仿宋_GB2312"/>
          <w:color w:val="000000"/>
          <w:sz w:val="32"/>
          <w:szCs w:val="32"/>
          <w:shd w:val="clear" w:color="auto" w:fill="FFFFFF"/>
        </w:rPr>
      </w:pPr>
    </w:p>
    <w:p w14:paraId="3DF43078">
      <w:pPr>
        <w:spacing w:line="560" w:lineRule="exact"/>
        <w:ind w:firstLine="640" w:firstLineChars="200"/>
        <w:rPr>
          <w:rFonts w:hint="eastAsia" w:ascii="仿宋_GB2312" w:hAnsi="仿宋_GB2312" w:eastAsia="仿宋_GB2312" w:cs="仿宋_GB2312"/>
          <w:color w:val="000000"/>
          <w:sz w:val="32"/>
          <w:szCs w:val="32"/>
          <w:shd w:val="clear" w:color="auto" w:fill="FFFFFF"/>
        </w:rPr>
      </w:pPr>
    </w:p>
    <w:p w14:paraId="60F5D6C0">
      <w:pPr>
        <w:spacing w:line="560" w:lineRule="exact"/>
        <w:ind w:firstLine="640" w:firstLineChars="200"/>
        <w:rPr>
          <w:rFonts w:hint="eastAsia" w:ascii="仿宋_GB2312" w:hAnsi="仿宋_GB2312" w:eastAsia="仿宋_GB2312" w:cs="仿宋_GB2312"/>
          <w:color w:val="000000"/>
          <w:sz w:val="32"/>
          <w:szCs w:val="32"/>
          <w:shd w:val="clear" w:color="auto" w:fill="FFFFFF"/>
        </w:rPr>
      </w:pPr>
    </w:p>
    <w:p w14:paraId="27316610">
      <w:pPr>
        <w:spacing w:line="560" w:lineRule="exact"/>
        <w:ind w:firstLine="640" w:firstLineChars="200"/>
        <w:rPr>
          <w:rFonts w:hint="eastAsia" w:ascii="仿宋_GB2312" w:hAnsi="仿宋_GB2312" w:eastAsia="仿宋_GB2312" w:cs="仿宋_GB2312"/>
          <w:color w:val="000000"/>
          <w:sz w:val="32"/>
          <w:szCs w:val="32"/>
          <w:shd w:val="clear" w:color="auto" w:fill="FFFFFF"/>
        </w:rPr>
      </w:pPr>
    </w:p>
    <w:p w14:paraId="3484DC09">
      <w:pPr>
        <w:spacing w:line="560" w:lineRule="exact"/>
        <w:ind w:firstLine="640" w:firstLineChars="200"/>
        <w:rPr>
          <w:rFonts w:hint="eastAsia" w:ascii="仿宋_GB2312" w:hAnsi="仿宋_GB2312" w:eastAsia="仿宋_GB2312" w:cs="仿宋_GB2312"/>
          <w:color w:val="000000"/>
          <w:sz w:val="32"/>
          <w:szCs w:val="32"/>
          <w:shd w:val="clear" w:color="auto" w:fill="FFFFFF"/>
        </w:rPr>
      </w:pPr>
    </w:p>
    <w:p w14:paraId="58E7297F">
      <w:pPr>
        <w:spacing w:line="560" w:lineRule="exact"/>
        <w:ind w:firstLine="640" w:firstLineChars="200"/>
        <w:rPr>
          <w:rFonts w:hint="eastAsia" w:ascii="仿宋_GB2312" w:hAnsi="仿宋_GB2312" w:eastAsia="仿宋_GB2312" w:cs="仿宋_GB2312"/>
          <w:sz w:val="32"/>
          <w:szCs w:val="32"/>
          <w:shd w:val="clear" w:color="auto" w:fill="FFFFFF"/>
        </w:rPr>
      </w:pPr>
    </w:p>
    <w:p w14:paraId="1D86F86E">
      <w:pPr>
        <w:spacing w:line="560" w:lineRule="exact"/>
        <w:ind w:firstLine="640" w:firstLineChars="200"/>
        <w:rPr>
          <w:rFonts w:hint="eastAsia" w:ascii="仿宋_GB2312" w:hAnsi="仿宋_GB2312" w:eastAsia="仿宋_GB2312" w:cs="仿宋_GB2312"/>
          <w:sz w:val="32"/>
          <w:szCs w:val="32"/>
          <w:shd w:val="clear" w:color="auto" w:fill="FFFFFF"/>
        </w:rPr>
      </w:pPr>
    </w:p>
    <w:p w14:paraId="06DAC10A">
      <w:pPr>
        <w:spacing w:line="560" w:lineRule="exact"/>
        <w:ind w:firstLine="640" w:firstLineChars="200"/>
        <w:rPr>
          <w:rFonts w:hint="eastAsia" w:ascii="仿宋_GB2312" w:hAnsi="仿宋_GB2312" w:eastAsia="仿宋_GB2312" w:cs="仿宋_GB2312"/>
          <w:sz w:val="32"/>
          <w:szCs w:val="32"/>
          <w:shd w:val="clear" w:color="auto" w:fill="FFFFFF"/>
        </w:rPr>
      </w:pPr>
    </w:p>
    <w:p w14:paraId="5C240015">
      <w:pPr>
        <w:spacing w:line="560" w:lineRule="exact"/>
        <w:rPr>
          <w:rFonts w:ascii="仿宋_GB2312" w:hAnsi="仿宋_GB2312" w:eastAsia="仿宋_GB2312" w:cs="仿宋_GB2312"/>
          <w:sz w:val="32"/>
          <w:szCs w:val="32"/>
          <w:shd w:val="clear" w:color="auto" w:fill="FFFFFF"/>
        </w:rPr>
      </w:pPr>
    </w:p>
    <w:p w14:paraId="67189A0B">
      <w:pPr>
        <w:pStyle w:val="33"/>
        <w:widowControl/>
        <w:ind w:left="960" w:firstLine="0" w:firstLineChars="0"/>
        <w:jc w:val="center"/>
        <w:rPr>
          <w:rFonts w:hint="eastAsia" w:ascii="黑体" w:hAnsi="黑体" w:eastAsia="黑体" w:cs="黑体"/>
          <w:bCs/>
          <w:color w:val="000000"/>
          <w:sz w:val="44"/>
          <w:szCs w:val="44"/>
        </w:rPr>
      </w:pPr>
      <w:r>
        <w:rPr>
          <w:rFonts w:hint="eastAsia" w:ascii="黑体" w:hAnsi="黑体" w:eastAsia="黑体" w:cs="黑体"/>
          <w:bCs/>
          <w:color w:val="000000"/>
          <w:sz w:val="44"/>
          <w:szCs w:val="44"/>
        </w:rPr>
        <w:t>第五章  环境质量状况</w:t>
      </w:r>
    </w:p>
    <w:p w14:paraId="29FA3146">
      <w:pPr>
        <w:pStyle w:val="33"/>
        <w:widowControl/>
        <w:ind w:left="420" w:firstLine="0" w:firstLineChars="0"/>
        <w:jc w:val="center"/>
        <w:rPr>
          <w:rFonts w:hint="eastAsia" w:ascii="黑体" w:hAnsi="黑体" w:eastAsia="黑体" w:cs="黑体"/>
          <w:bCs/>
          <w:color w:val="000000"/>
          <w:sz w:val="44"/>
          <w:szCs w:val="44"/>
        </w:rPr>
      </w:pPr>
      <w:r>
        <w:rPr>
          <w:rFonts w:hint="eastAsia" w:ascii="黑体" w:hAnsi="黑体" w:eastAsia="黑体" w:cs="黑体"/>
          <w:bCs/>
          <w:color w:val="000000"/>
          <w:sz w:val="44"/>
          <w:szCs w:val="44"/>
        </w:rPr>
        <w:t>（待生态环境局报送）</w:t>
      </w:r>
    </w:p>
    <w:p w14:paraId="73A5C056">
      <w:pPr>
        <w:pStyle w:val="33"/>
        <w:widowControl/>
        <w:ind w:left="420" w:firstLine="0" w:firstLineChars="0"/>
        <w:jc w:val="center"/>
        <w:rPr>
          <w:rFonts w:hint="eastAsia" w:ascii="黑体" w:hAnsi="黑体" w:eastAsia="黑体" w:cs="黑体"/>
          <w:bCs/>
          <w:color w:val="000000"/>
          <w:sz w:val="44"/>
          <w:szCs w:val="44"/>
        </w:rPr>
      </w:pPr>
    </w:p>
    <w:p w14:paraId="44653914">
      <w:pPr>
        <w:pStyle w:val="33"/>
        <w:widowControl/>
        <w:ind w:left="420" w:firstLine="0" w:firstLineChars="0"/>
        <w:jc w:val="center"/>
        <w:rPr>
          <w:rFonts w:hint="eastAsia" w:ascii="黑体" w:hAnsi="黑体" w:eastAsia="黑体" w:cs="黑体"/>
          <w:bCs/>
          <w:color w:val="000000"/>
          <w:sz w:val="44"/>
          <w:szCs w:val="44"/>
        </w:rPr>
      </w:pPr>
    </w:p>
    <w:p w14:paraId="7E4ECC73">
      <w:pPr>
        <w:pStyle w:val="33"/>
        <w:widowControl/>
        <w:ind w:left="420" w:firstLine="0" w:firstLineChars="0"/>
        <w:jc w:val="center"/>
        <w:rPr>
          <w:rFonts w:hint="eastAsia" w:ascii="黑体" w:hAnsi="黑体" w:eastAsia="黑体" w:cs="黑体"/>
          <w:bCs/>
          <w:color w:val="000000"/>
          <w:sz w:val="44"/>
          <w:szCs w:val="44"/>
        </w:rPr>
      </w:pPr>
    </w:p>
    <w:p w14:paraId="78CED627">
      <w:pPr>
        <w:pStyle w:val="33"/>
        <w:widowControl/>
        <w:ind w:left="420" w:firstLine="0" w:firstLineChars="0"/>
        <w:jc w:val="center"/>
        <w:rPr>
          <w:rFonts w:hint="eastAsia" w:ascii="黑体" w:hAnsi="黑体" w:eastAsia="黑体" w:cs="黑体"/>
          <w:bCs/>
          <w:color w:val="000000"/>
          <w:sz w:val="44"/>
          <w:szCs w:val="44"/>
        </w:rPr>
      </w:pPr>
    </w:p>
    <w:p w14:paraId="044776A7">
      <w:pPr>
        <w:pStyle w:val="33"/>
        <w:widowControl/>
        <w:ind w:left="420" w:firstLine="0" w:firstLineChars="0"/>
        <w:jc w:val="center"/>
        <w:rPr>
          <w:rFonts w:hint="eastAsia" w:ascii="黑体" w:hAnsi="黑体" w:eastAsia="黑体" w:cs="黑体"/>
          <w:bCs/>
          <w:color w:val="000000"/>
          <w:sz w:val="44"/>
          <w:szCs w:val="44"/>
        </w:rPr>
      </w:pPr>
    </w:p>
    <w:p w14:paraId="3E7E56F8">
      <w:pPr>
        <w:pStyle w:val="33"/>
        <w:widowControl/>
        <w:ind w:left="420" w:firstLine="0" w:firstLineChars="0"/>
        <w:jc w:val="center"/>
        <w:rPr>
          <w:rFonts w:hint="eastAsia" w:ascii="黑体" w:hAnsi="黑体" w:eastAsia="黑体" w:cs="黑体"/>
          <w:bCs/>
          <w:color w:val="000000"/>
          <w:sz w:val="44"/>
          <w:szCs w:val="44"/>
        </w:rPr>
      </w:pPr>
    </w:p>
    <w:p w14:paraId="03ED3BEC">
      <w:pPr>
        <w:pStyle w:val="33"/>
        <w:widowControl/>
        <w:ind w:left="420" w:firstLine="0" w:firstLineChars="0"/>
        <w:jc w:val="center"/>
        <w:rPr>
          <w:rFonts w:hint="eastAsia" w:ascii="黑体" w:hAnsi="黑体" w:eastAsia="黑体" w:cs="黑体"/>
          <w:bCs/>
          <w:color w:val="000000"/>
          <w:sz w:val="44"/>
          <w:szCs w:val="44"/>
        </w:rPr>
      </w:pPr>
    </w:p>
    <w:p w14:paraId="064B0ED1">
      <w:pPr>
        <w:pStyle w:val="33"/>
        <w:widowControl/>
        <w:ind w:left="420" w:firstLine="0" w:firstLineChars="0"/>
        <w:jc w:val="center"/>
        <w:rPr>
          <w:rFonts w:hint="eastAsia" w:ascii="黑体" w:hAnsi="黑体" w:eastAsia="黑体" w:cs="黑体"/>
          <w:bCs/>
          <w:color w:val="000000"/>
          <w:sz w:val="44"/>
          <w:szCs w:val="44"/>
        </w:rPr>
      </w:pPr>
    </w:p>
    <w:p w14:paraId="3F9E27D6">
      <w:pPr>
        <w:pStyle w:val="33"/>
        <w:widowControl/>
        <w:ind w:left="420" w:firstLine="0" w:firstLineChars="0"/>
        <w:jc w:val="center"/>
        <w:rPr>
          <w:rFonts w:hint="eastAsia" w:ascii="黑体" w:hAnsi="黑体" w:eastAsia="黑体" w:cs="黑体"/>
          <w:bCs/>
          <w:color w:val="000000"/>
          <w:sz w:val="44"/>
          <w:szCs w:val="44"/>
        </w:rPr>
      </w:pPr>
    </w:p>
    <w:p w14:paraId="2870565A">
      <w:pPr>
        <w:pStyle w:val="33"/>
        <w:widowControl/>
        <w:ind w:left="420" w:firstLine="0" w:firstLineChars="0"/>
        <w:jc w:val="center"/>
        <w:rPr>
          <w:rFonts w:hint="eastAsia" w:ascii="黑体" w:hAnsi="黑体" w:eastAsia="黑体" w:cs="黑体"/>
          <w:bCs/>
          <w:color w:val="000000"/>
          <w:sz w:val="44"/>
          <w:szCs w:val="44"/>
        </w:rPr>
      </w:pPr>
    </w:p>
    <w:p w14:paraId="231763D3">
      <w:pPr>
        <w:pStyle w:val="33"/>
        <w:widowControl/>
        <w:ind w:left="420" w:firstLine="0" w:firstLineChars="0"/>
        <w:jc w:val="center"/>
        <w:rPr>
          <w:rFonts w:hint="eastAsia" w:ascii="黑体" w:hAnsi="黑体" w:eastAsia="黑体" w:cs="黑体"/>
          <w:bCs/>
          <w:color w:val="000000"/>
          <w:sz w:val="44"/>
          <w:szCs w:val="44"/>
        </w:rPr>
      </w:pPr>
    </w:p>
    <w:p w14:paraId="5E3B209E">
      <w:pPr>
        <w:pStyle w:val="33"/>
        <w:widowControl/>
        <w:ind w:left="420" w:firstLine="0" w:firstLineChars="0"/>
        <w:jc w:val="center"/>
        <w:rPr>
          <w:rFonts w:hint="eastAsia" w:ascii="黑体" w:hAnsi="黑体" w:eastAsia="黑体" w:cs="黑体"/>
          <w:bCs/>
          <w:color w:val="000000"/>
          <w:sz w:val="44"/>
          <w:szCs w:val="44"/>
        </w:rPr>
      </w:pPr>
    </w:p>
    <w:p w14:paraId="34F7B3FF">
      <w:pPr>
        <w:pStyle w:val="33"/>
        <w:widowControl/>
        <w:ind w:left="420" w:firstLine="0" w:firstLineChars="0"/>
        <w:jc w:val="center"/>
        <w:rPr>
          <w:rFonts w:hint="eastAsia" w:ascii="黑体" w:hAnsi="黑体" w:eastAsia="黑体" w:cs="黑体"/>
          <w:bCs/>
          <w:color w:val="000000"/>
          <w:sz w:val="44"/>
          <w:szCs w:val="44"/>
        </w:rPr>
      </w:pPr>
    </w:p>
    <w:p w14:paraId="64D33F78">
      <w:pPr>
        <w:pStyle w:val="33"/>
        <w:widowControl/>
        <w:ind w:left="420" w:firstLine="0" w:firstLineChars="0"/>
        <w:jc w:val="center"/>
        <w:rPr>
          <w:rFonts w:hint="eastAsia" w:ascii="黑体" w:hAnsi="黑体" w:eastAsia="黑体" w:cs="黑体"/>
          <w:bCs/>
          <w:color w:val="000000"/>
          <w:sz w:val="44"/>
          <w:szCs w:val="44"/>
        </w:rPr>
      </w:pPr>
    </w:p>
    <w:p w14:paraId="2A7208BF">
      <w:pPr>
        <w:pStyle w:val="33"/>
        <w:widowControl/>
        <w:ind w:left="420" w:firstLine="0" w:firstLineChars="0"/>
        <w:jc w:val="center"/>
        <w:rPr>
          <w:rFonts w:hint="eastAsia" w:ascii="黑体" w:hAnsi="黑体" w:eastAsia="黑体" w:cs="黑体"/>
          <w:bCs/>
          <w:color w:val="000000"/>
          <w:sz w:val="44"/>
          <w:szCs w:val="44"/>
        </w:rPr>
      </w:pPr>
    </w:p>
    <w:p w14:paraId="59F68ECF">
      <w:pPr>
        <w:pStyle w:val="33"/>
        <w:widowControl/>
        <w:ind w:left="420" w:firstLine="0" w:firstLineChars="0"/>
        <w:jc w:val="center"/>
        <w:rPr>
          <w:rFonts w:hint="eastAsia" w:ascii="黑体" w:hAnsi="黑体" w:eastAsia="黑体" w:cs="黑体"/>
          <w:bCs/>
          <w:color w:val="000000"/>
          <w:sz w:val="44"/>
          <w:szCs w:val="44"/>
        </w:rPr>
      </w:pPr>
    </w:p>
    <w:p w14:paraId="55CE18BA">
      <w:pPr>
        <w:pStyle w:val="33"/>
        <w:widowControl/>
        <w:ind w:firstLine="0" w:firstLineChars="0"/>
        <w:rPr>
          <w:rFonts w:hint="eastAsia" w:ascii="黑体" w:hAnsi="黑体" w:eastAsia="黑体" w:cs="黑体"/>
          <w:bCs/>
          <w:color w:val="000000"/>
          <w:sz w:val="44"/>
          <w:szCs w:val="44"/>
        </w:rPr>
      </w:pPr>
    </w:p>
    <w:p w14:paraId="05C43981">
      <w:pPr>
        <w:pStyle w:val="33"/>
        <w:widowControl/>
        <w:ind w:left="420" w:firstLine="0" w:firstLineChars="0"/>
        <w:jc w:val="center"/>
        <w:rPr>
          <w:rFonts w:hint="eastAsia" w:ascii="黑体" w:hAnsi="黑体" w:eastAsia="黑体" w:cs="黑体"/>
          <w:bCs/>
          <w:color w:val="000000"/>
          <w:sz w:val="44"/>
          <w:szCs w:val="44"/>
        </w:rPr>
      </w:pPr>
    </w:p>
    <w:p w14:paraId="78C02422">
      <w:pPr>
        <w:pStyle w:val="33"/>
        <w:widowControl/>
        <w:ind w:left="420" w:firstLine="0" w:firstLineChars="0"/>
        <w:jc w:val="center"/>
        <w:rPr>
          <w:rFonts w:hint="eastAsia" w:ascii="黑体" w:hAnsi="黑体" w:eastAsia="黑体" w:cs="黑体"/>
          <w:bCs/>
          <w:color w:val="000000"/>
          <w:sz w:val="44"/>
          <w:szCs w:val="44"/>
        </w:rPr>
      </w:pPr>
    </w:p>
    <w:p w14:paraId="3A11DF99">
      <w:pPr>
        <w:pStyle w:val="33"/>
        <w:widowControl/>
        <w:ind w:left="420" w:firstLine="0" w:firstLineChars="0"/>
        <w:jc w:val="center"/>
        <w:rPr>
          <w:rFonts w:hint="eastAsia" w:ascii="黑体" w:hAnsi="黑体" w:eastAsia="黑体" w:cs="黑体"/>
          <w:bCs/>
          <w:color w:val="000000"/>
          <w:sz w:val="44"/>
          <w:szCs w:val="44"/>
        </w:rPr>
      </w:pPr>
    </w:p>
    <w:p w14:paraId="782F113D">
      <w:pPr>
        <w:pStyle w:val="33"/>
        <w:widowControl/>
        <w:ind w:left="420" w:firstLine="0" w:firstLineChars="0"/>
        <w:jc w:val="center"/>
        <w:rPr>
          <w:rFonts w:hint="eastAsia" w:ascii="黑体" w:hAnsi="黑体" w:eastAsia="黑体" w:cs="黑体"/>
          <w:bCs/>
          <w:color w:val="000000"/>
          <w:sz w:val="44"/>
          <w:szCs w:val="44"/>
        </w:rPr>
      </w:pPr>
      <w:r>
        <w:rPr>
          <w:rFonts w:hint="eastAsia" w:ascii="黑体" w:hAnsi="黑体" w:eastAsia="黑体" w:cs="黑体"/>
          <w:bCs/>
          <w:color w:val="000000"/>
          <w:sz w:val="44"/>
          <w:szCs w:val="44"/>
        </w:rPr>
        <w:t>第六章  教育质量状况</w:t>
      </w:r>
    </w:p>
    <w:p w14:paraId="4CCCCF1F">
      <w:pPr>
        <w:ind w:firstLine="640"/>
        <w:jc w:val="left"/>
        <w:rPr>
          <w:rFonts w:ascii="黑体" w:hAnsi="黑体" w:eastAsia="黑体" w:cs="黑体"/>
          <w:sz w:val="32"/>
          <w:szCs w:val="32"/>
        </w:rPr>
      </w:pPr>
      <w:r>
        <w:rPr>
          <w:rFonts w:hint="eastAsia" w:ascii="黑体" w:hAnsi="黑体" w:eastAsia="黑体" w:cs="黑体"/>
          <w:sz w:val="32"/>
          <w:szCs w:val="32"/>
        </w:rPr>
        <w:t>一、基本情况</w:t>
      </w:r>
    </w:p>
    <w:p w14:paraId="4A867224">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2020年教育教学质量稳中有升（以下数据为约数）。</w:t>
      </w:r>
    </w:p>
    <w:p w14:paraId="1185340F">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2020学年，学前三年毛入园率保持99%以上，区属小学教学质量监测及格率达95.21%、优秀率29.85％。区属初中学业水平考试连续16年位列全市第一，优秀率64.28%。区属中学高考一本上线率53.75%、本科上线率79.18%，贡献率分别为34.35%、21.85%。</w:t>
      </w:r>
    </w:p>
    <w:p w14:paraId="00E1E7A8">
      <w:pPr>
        <w:spacing w:line="560" w:lineRule="exact"/>
        <w:ind w:firstLine="640" w:firstLineChars="200"/>
        <w:jc w:val="left"/>
        <w:rPr>
          <w:rFonts w:ascii="仿宋_GB2312" w:hAnsi="仿宋_GB2312" w:eastAsia="仿宋_GB2312" w:cs="仿宋_GB2312"/>
          <w:bCs/>
          <w:sz w:val="32"/>
          <w:szCs w:val="32"/>
        </w:rPr>
      </w:pPr>
    </w:p>
    <w:p w14:paraId="0FE3F7BE">
      <w:pPr>
        <w:ind w:firstLine="640" w:firstLineChars="200"/>
        <w:jc w:val="left"/>
        <w:rPr>
          <w:rFonts w:ascii="黑体" w:hAnsi="黑体" w:eastAsia="黑体" w:cs="黑体"/>
          <w:sz w:val="32"/>
          <w:szCs w:val="32"/>
        </w:rPr>
      </w:pPr>
      <w:r>
        <w:rPr>
          <w:rFonts w:hint="eastAsia" w:ascii="黑体" w:hAnsi="黑体" w:eastAsia="黑体" w:cs="黑体"/>
          <w:sz w:val="32"/>
          <w:szCs w:val="32"/>
        </w:rPr>
        <w:t>二、主要做法</w:t>
      </w:r>
    </w:p>
    <w:p w14:paraId="1AB456E4">
      <w:pPr>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（一）加强组织领导。</w:t>
      </w:r>
      <w:r>
        <w:rPr>
          <w:rFonts w:hint="eastAsia" w:ascii="仿宋_GB2312" w:hAnsi="仿宋_GB2312" w:eastAsia="仿宋_GB2312" w:cs="仿宋_GB2312"/>
          <w:sz w:val="32"/>
          <w:szCs w:val="32"/>
        </w:rPr>
        <w:t>组织召开2次高三年级备考工作推进会，对备考工作提出具体明确要求。要求各学校找准自身存在的薄弱问题，及时优化复习方案，控制好复习节奏，统筹抓好、抓实复习备考和学生思想工作，合理分配训练时间，确保学生以最佳状态迎接考试。</w:t>
      </w:r>
    </w:p>
    <w:p w14:paraId="422ECCA8">
      <w:pPr>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（二）坚持防控疫情与备战高考两手抓两不误。</w:t>
      </w:r>
      <w:r>
        <w:rPr>
          <w:rFonts w:hint="eastAsia" w:ascii="仿宋_GB2312" w:hAnsi="仿宋_GB2312" w:eastAsia="仿宋_GB2312" w:cs="仿宋_GB2312"/>
          <w:sz w:val="32"/>
          <w:szCs w:val="32"/>
        </w:rPr>
        <w:t>认真落实疫情防控工作要求，履行好工作责任， 确保师生健康，为决胜高考奠定坚实基础。</w:t>
      </w:r>
    </w:p>
    <w:p w14:paraId="6A45DB80">
      <w:pPr>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（三）加强资源整合。</w:t>
      </w:r>
      <w:r>
        <w:rPr>
          <w:rFonts w:hint="eastAsia" w:ascii="仿宋_GB2312" w:hAnsi="仿宋_GB2312" w:eastAsia="仿宋_GB2312" w:cs="仿宋_GB2312"/>
          <w:sz w:val="32"/>
          <w:szCs w:val="32"/>
        </w:rPr>
        <w:t>组建了9个高考学科教师联络群，各校间资源共享、沟通交流，共同备考。整合区内各级名师工作室资源，在“停课不停学”的工作中，制作了大量的高考备考的教学视频资源，支持高三线上复习教学工作。组织各工作室、学科带头人、骨干教师团队编制五华区高三模拟考试的试卷，提供给各个学校复课后测试，既检测了学校线上教学质量，也让高三学生在复课后能够尽快的进入到高考备考状态。</w:t>
      </w:r>
    </w:p>
    <w:p w14:paraId="2C07A802">
      <w:pPr>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（四）找准定位、形成合力。</w:t>
      </w:r>
      <w:r>
        <w:rPr>
          <w:rFonts w:hint="eastAsia" w:ascii="仿宋_GB2312" w:hAnsi="仿宋_GB2312" w:eastAsia="仿宋_GB2312" w:cs="仿宋_GB2312"/>
          <w:sz w:val="32"/>
          <w:szCs w:val="32"/>
        </w:rPr>
        <w:t>按照《昆明市教育教学质量考核办法（试行）》《关于印发五华区属中小学校教学质量管理对标提升指导意见（试行）的通知》要求，聚焦市级考核指标体系，分解落实目标任务，精准对标对表目标要求，要求各学校明确目标、对标对表、精准备考，坚持全区“一盘棋”思想，坚持立足五华，贡献全市理念，努力营造全员备考的强大合力。</w:t>
      </w:r>
    </w:p>
    <w:p w14:paraId="28FE3E09">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（五）提高复习备考的针对性。</w:t>
      </w:r>
      <w:r>
        <w:rPr>
          <w:rFonts w:hint="eastAsia" w:ascii="仿宋_GB2312" w:hAnsi="仿宋_GB2312" w:eastAsia="仿宋_GB2312" w:cs="仿宋_GB2312"/>
          <w:sz w:val="32"/>
          <w:szCs w:val="32"/>
        </w:rPr>
        <w:t>组织高三教师认真研究学科课程标准，教育部考试中心颁发的《中国高考评价体系》《中国高考评价体系说明》，教育部“10问答”中提出的对今年高考的命题工作考虑涉及问题的理解，近两年高考试题的命题方向、知识点考查的难度和呈现方式、历年高考试题、自主招生试题。进一步从整体研究</w:t>
      </w:r>
      <w:r>
        <w:rPr>
          <w:rFonts w:hint="eastAsia" w:ascii="楷体_GB2312" w:hAnsi="楷体_GB2312" w:eastAsia="楷体_GB2312" w:cs="楷体_GB2312"/>
          <w:sz w:val="32"/>
          <w:szCs w:val="32"/>
        </w:rPr>
        <w:t>中</w:t>
      </w:r>
      <w:r>
        <w:rPr>
          <w:rFonts w:hint="eastAsia" w:ascii="仿宋_GB2312" w:hAnsi="仿宋_GB2312" w:eastAsia="仿宋_GB2312" w:cs="仿宋_GB2312"/>
          <w:sz w:val="32"/>
          <w:szCs w:val="32"/>
        </w:rPr>
        <w:t>找共性，加强对考试大纲、复习教学、学生心理等方面的研究，按照“一校一策”的原则制定高三复习备考目标和计划，做到有的放矢，避免复习计划的盲目性。</w:t>
      </w:r>
    </w:p>
    <w:p w14:paraId="4F7E691E">
      <w:pPr>
        <w:ind w:firstLine="640" w:firstLineChars="200"/>
        <w:jc w:val="left"/>
        <w:rPr>
          <w:rFonts w:ascii="黑体" w:hAnsi="黑体" w:eastAsia="黑体" w:cs="黑体"/>
          <w:sz w:val="32"/>
          <w:szCs w:val="32"/>
        </w:rPr>
      </w:pPr>
      <w:r>
        <w:rPr>
          <w:rFonts w:hint="eastAsia" w:ascii="黑体" w:hAnsi="黑体" w:eastAsia="黑体" w:cs="黑体"/>
          <w:sz w:val="32"/>
          <w:szCs w:val="32"/>
        </w:rPr>
        <w:t>三、存在的问题</w:t>
      </w:r>
    </w:p>
    <w:p w14:paraId="38DAEF33">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按照《昆明市教育教学质量考核办法（试行）》，目前市局考核各县区主要以各项指标贡献率计算，五华区作为传统的教育大区，各项指标率已达到极限，很难再有更大的突破。建议市局考虑把贡献率改为提升率。</w:t>
      </w:r>
    </w:p>
    <w:p w14:paraId="0178C868">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（二）因受疫情影响，学生居家学习时间长，部分学生监管不到位，导致学生学习积极性下降，还未进入备考冲刺的临战状态。</w:t>
      </w:r>
    </w:p>
    <w:p w14:paraId="0EBA474E">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（三）五华区省市属学校较多，在全区统筹备考工作中，还需要进一步加强沟通交流力度，相互借鉴好的经验和做法。</w:t>
      </w:r>
    </w:p>
    <w:p w14:paraId="0CA6BC96">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（四）高职单招的宣传力度不够。各学校对高职单招的</w:t>
      </w:r>
    </w:p>
    <w:p w14:paraId="7EDA295B">
      <w:pPr>
        <w:rPr>
          <w:rFonts w:ascii="仿宋_GB2312" w:hAnsi="仿宋_GB2312" w:eastAsia="仿宋_GB2312" w:cs="仿宋_GB2312"/>
          <w:sz w:val="32"/>
          <w:szCs w:val="32"/>
        </w:rPr>
      </w:pPr>
      <w:r>
        <w:rPr>
          <w:rFonts w:hint="eastAsia" w:ascii="仿宋_GB2312" w:hAnsi="仿宋_GB2312" w:eastAsia="仿宋_GB2312" w:cs="仿宋_GB2312"/>
          <w:sz w:val="32"/>
          <w:szCs w:val="32"/>
        </w:rPr>
        <w:t>政策解读、宣传不到位，部分家长、学生对高职单招存在误解和偏见。</w:t>
      </w:r>
    </w:p>
    <w:p w14:paraId="2E4CB592">
      <w:pPr>
        <w:ind w:firstLine="640" w:firstLineChars="200"/>
        <w:jc w:val="left"/>
        <w:rPr>
          <w:rFonts w:ascii="黑体" w:hAnsi="黑体" w:eastAsia="黑体" w:cs="黑体"/>
          <w:sz w:val="32"/>
          <w:szCs w:val="32"/>
        </w:rPr>
      </w:pPr>
      <w:r>
        <w:rPr>
          <w:rFonts w:hint="eastAsia" w:ascii="黑体" w:hAnsi="黑体" w:eastAsia="黑体" w:cs="黑体"/>
          <w:sz w:val="32"/>
          <w:szCs w:val="32"/>
        </w:rPr>
        <w:t>四、下一步工作打算</w:t>
      </w:r>
    </w:p>
    <w:p w14:paraId="255E7A48">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（一）着力提高教育教学质量。</w:t>
      </w:r>
      <w:r>
        <w:rPr>
          <w:rFonts w:hint="eastAsia" w:ascii="仿宋_GB2312" w:hAnsi="仿宋_GB2312" w:eastAsia="仿宋_GB2312" w:cs="仿宋_GB2312"/>
          <w:sz w:val="32"/>
          <w:szCs w:val="32"/>
        </w:rPr>
        <w:t>切实加强教学服务保障，指导各学校科学有效安排教学时间，强化对各学校研究高考命题的能力的教研指导，优化教学和复习训练的方式，合理把握进度，保障课堂教学质量、作业设计质量、复习备考质量。</w:t>
      </w:r>
    </w:p>
    <w:p w14:paraId="6735DACE">
      <w:pPr>
        <w:spacing w:line="360" w:lineRule="auto"/>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（二）切实增强复习备考的针对性、实效性。</w:t>
      </w:r>
      <w:r>
        <w:rPr>
          <w:rFonts w:hint="eastAsia" w:ascii="仿宋_GB2312" w:hAnsi="仿宋_GB2312" w:eastAsia="仿宋_GB2312" w:cs="仿宋_GB2312"/>
          <w:sz w:val="32"/>
          <w:szCs w:val="32"/>
        </w:rPr>
        <w:t>根据高考延期情况，及时优化各学科复习备考计划，以专题形式开展复习和训练，引导学生建构知识网络，进一步夯实学科基础，提升学科能力。以学生为中心，有序安排好各项教育教学活动，提高学生分析问题和解决问题的能力，培养良好的答题思路和习惯。努力保证复习时间，提高复习效率。</w:t>
      </w:r>
    </w:p>
    <w:p w14:paraId="48322DF2">
      <w:pPr>
        <w:spacing w:line="360" w:lineRule="auto"/>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（三）加强分层分类辅导。</w:t>
      </w:r>
      <w:r>
        <w:rPr>
          <w:rFonts w:hint="eastAsia" w:ascii="仿宋_GB2312" w:hAnsi="仿宋_GB2312" w:eastAsia="仿宋_GB2312" w:cs="仿宋_GB2312"/>
          <w:sz w:val="32"/>
          <w:szCs w:val="32"/>
        </w:rPr>
        <w:t>开展个性化诊断，分层分类制定“一生一案”，做好目标生、尖子生和临界生的培养提升，明确每一位考生每一个科目的备考策略，进行有效的监督管理，精准指导学生复习备考。</w:t>
      </w:r>
    </w:p>
    <w:p w14:paraId="15EF4FFB">
      <w:pPr>
        <w:spacing w:line="360" w:lineRule="auto"/>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（四）加强高考研究和精细化管理。</w:t>
      </w:r>
      <w:r>
        <w:rPr>
          <w:rFonts w:hint="eastAsia" w:ascii="仿宋_GB2312" w:hAnsi="仿宋_GB2312" w:eastAsia="仿宋_GB2312" w:cs="仿宋_GB2312"/>
          <w:sz w:val="32"/>
          <w:szCs w:val="32"/>
        </w:rPr>
        <w:t>进一步加强对高考评价体系的研究，把握高考命题方向、规律，提高课堂教学的有效性。进一步细化管理措施和流程，提高年级和班级管理的精细化程度，力求管理出效益，管理提质量。</w:t>
      </w:r>
    </w:p>
    <w:p w14:paraId="328E6C75">
      <w:pPr>
        <w:spacing w:line="360" w:lineRule="auto"/>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（五）引导学生缓解考试压力。</w:t>
      </w:r>
      <w:r>
        <w:rPr>
          <w:rFonts w:hint="eastAsia" w:ascii="仿宋_GB2312" w:hAnsi="仿宋_GB2312" w:eastAsia="仿宋_GB2312" w:cs="仿宋_GB2312"/>
          <w:sz w:val="32"/>
          <w:szCs w:val="32"/>
        </w:rPr>
        <w:t>合理安排作息时间，引导学生加强体育锻炼。切实加强考试升学有关政策和工作安排的宣传解读工作，有效缓解毕业年级学生和家长焦虑情绪。</w:t>
      </w:r>
    </w:p>
    <w:p w14:paraId="29EDA1BC">
      <w:pPr>
        <w:spacing w:line="360" w:lineRule="auto"/>
        <w:ind w:firstLine="640" w:firstLineChars="200"/>
        <w:rPr>
          <w:rFonts w:ascii="仿宋_GB2312" w:hAnsi="仿宋_GB2312" w:eastAsia="仿宋_GB2312" w:cs="仿宋_GB2312"/>
          <w:sz w:val="32"/>
          <w:szCs w:val="32"/>
        </w:rPr>
      </w:pPr>
    </w:p>
    <w:p w14:paraId="757BF96B">
      <w:pPr>
        <w:jc w:val="left"/>
        <w:rPr>
          <w:rFonts w:hint="eastAsia" w:ascii="仿宋_GB2312" w:eastAsia="仿宋_GB2312"/>
          <w:sz w:val="32"/>
          <w:szCs w:val="32"/>
        </w:rPr>
      </w:pPr>
    </w:p>
    <w:p w14:paraId="239E1172">
      <w:pPr>
        <w:jc w:val="left"/>
        <w:rPr>
          <w:rFonts w:hint="eastAsia" w:ascii="仿宋_GB2312" w:eastAsia="仿宋_GB2312"/>
          <w:sz w:val="32"/>
          <w:szCs w:val="32"/>
        </w:rPr>
      </w:pPr>
    </w:p>
    <w:p w14:paraId="143BEEBF">
      <w:pPr>
        <w:jc w:val="left"/>
        <w:rPr>
          <w:rFonts w:hint="eastAsia" w:ascii="仿宋_GB2312" w:eastAsia="仿宋_GB2312"/>
          <w:sz w:val="32"/>
          <w:szCs w:val="32"/>
        </w:rPr>
      </w:pPr>
    </w:p>
    <w:p w14:paraId="458B746C">
      <w:pPr>
        <w:jc w:val="left"/>
        <w:rPr>
          <w:rFonts w:hint="eastAsia" w:ascii="仿宋_GB2312" w:eastAsia="仿宋_GB2312"/>
          <w:sz w:val="32"/>
          <w:szCs w:val="32"/>
        </w:rPr>
      </w:pPr>
    </w:p>
    <w:p w14:paraId="378FD72E">
      <w:pPr>
        <w:jc w:val="left"/>
        <w:rPr>
          <w:rFonts w:hint="eastAsia" w:ascii="仿宋_GB2312" w:eastAsia="仿宋_GB2312"/>
          <w:sz w:val="32"/>
          <w:szCs w:val="32"/>
        </w:rPr>
      </w:pPr>
    </w:p>
    <w:p w14:paraId="505B3855">
      <w:pPr>
        <w:jc w:val="left"/>
        <w:rPr>
          <w:rFonts w:hint="eastAsia" w:ascii="仿宋_GB2312" w:eastAsia="仿宋_GB2312"/>
          <w:sz w:val="32"/>
          <w:szCs w:val="32"/>
        </w:rPr>
      </w:pPr>
    </w:p>
    <w:p w14:paraId="1C9E0E76">
      <w:pPr>
        <w:jc w:val="left"/>
        <w:rPr>
          <w:rFonts w:hint="eastAsia" w:ascii="仿宋_GB2312" w:eastAsia="仿宋_GB2312"/>
          <w:sz w:val="32"/>
          <w:szCs w:val="32"/>
        </w:rPr>
      </w:pPr>
    </w:p>
    <w:p w14:paraId="611D0D48">
      <w:pPr>
        <w:pStyle w:val="33"/>
        <w:widowControl/>
        <w:ind w:firstLine="0" w:firstLineChars="0"/>
        <w:jc w:val="left"/>
        <w:rPr>
          <w:rFonts w:hint="eastAsia" w:ascii="仿宋_GB2312" w:eastAsia="仿宋_GB2312"/>
          <w:sz w:val="32"/>
          <w:szCs w:val="32"/>
        </w:rPr>
      </w:pPr>
    </w:p>
    <w:p w14:paraId="40A031E3">
      <w:pPr>
        <w:pStyle w:val="33"/>
        <w:widowControl/>
        <w:ind w:firstLine="0" w:firstLineChars="0"/>
        <w:jc w:val="center"/>
        <w:rPr>
          <w:rFonts w:hint="eastAsia" w:ascii="黑体" w:hAnsi="黑体" w:eastAsia="黑体" w:cs="黑体"/>
          <w:bCs/>
          <w:color w:val="000000"/>
          <w:sz w:val="44"/>
          <w:szCs w:val="44"/>
        </w:rPr>
      </w:pPr>
      <w:r>
        <w:rPr>
          <w:rFonts w:hint="eastAsia" w:ascii="黑体" w:hAnsi="黑体" w:eastAsia="黑体" w:cs="黑体"/>
          <w:bCs/>
          <w:color w:val="000000"/>
          <w:sz w:val="44"/>
          <w:szCs w:val="44"/>
        </w:rPr>
        <w:t>第七章  服务质量状况</w:t>
      </w:r>
    </w:p>
    <w:p w14:paraId="7F2217CE">
      <w:pPr>
        <w:spacing w:line="560" w:lineRule="exact"/>
        <w:ind w:firstLine="643" w:firstLineChars="200"/>
        <w:jc w:val="left"/>
        <w:rPr>
          <w:rFonts w:hint="eastAsia" w:ascii="宋体" w:hAnsi="宋体"/>
          <w:b/>
          <w:sz w:val="32"/>
          <w:szCs w:val="32"/>
        </w:rPr>
      </w:pPr>
      <w:r>
        <w:rPr>
          <w:rFonts w:hint="eastAsia" w:ascii="宋体" w:hAnsi="宋体"/>
          <w:b/>
          <w:sz w:val="32"/>
          <w:szCs w:val="32"/>
        </w:rPr>
        <w:t>一、生活性服务业</w:t>
      </w:r>
    </w:p>
    <w:p w14:paraId="2DF9902C">
      <w:pPr>
        <w:spacing w:line="560" w:lineRule="exact"/>
        <w:ind w:firstLine="643" w:firstLineChars="200"/>
        <w:jc w:val="left"/>
        <w:rPr>
          <w:rFonts w:ascii="宋体" w:hAnsi="宋体"/>
          <w:b/>
          <w:sz w:val="32"/>
          <w:szCs w:val="32"/>
        </w:rPr>
      </w:pPr>
      <w:r>
        <w:rPr>
          <w:rFonts w:hint="eastAsia" w:ascii="宋体" w:hAnsi="宋体"/>
          <w:b/>
          <w:sz w:val="32"/>
          <w:szCs w:val="32"/>
        </w:rPr>
        <w:t>五华区生活性服务业现状</w:t>
      </w:r>
    </w:p>
    <w:p w14:paraId="35E1E22D">
      <w:pPr>
        <w:numPr>
          <w:ilvl w:val="0"/>
          <w:numId w:val="6"/>
        </w:numPr>
        <w:snapToGrid w:val="0"/>
        <w:spacing w:line="560" w:lineRule="exact"/>
        <w:rPr>
          <w:rFonts w:hint="eastAsia" w:ascii="楷体_GB2312" w:hAnsi="宋体" w:eastAsia="楷体_GB2312"/>
          <w:sz w:val="32"/>
          <w:szCs w:val="32"/>
        </w:rPr>
      </w:pPr>
      <w:r>
        <w:rPr>
          <w:rFonts w:hint="eastAsia" w:ascii="楷体_GB2312" w:hAnsi="宋体" w:eastAsia="楷体_GB2312"/>
          <w:sz w:val="32"/>
          <w:szCs w:val="32"/>
        </w:rPr>
        <w:t>服务业提质增量，发展布局不断优化。</w:t>
      </w:r>
    </w:p>
    <w:p w14:paraId="5B54C2E8">
      <w:pPr>
        <w:spacing w:line="560" w:lineRule="exact"/>
        <w:ind w:firstLine="643" w:firstLineChars="200"/>
        <w:rPr>
          <w:rFonts w:hint="eastAsia" w:ascii="仿宋_GB2312" w:hAnsi="宋体" w:eastAsia="仿宋_GB2312"/>
          <w:snapToGrid w:val="0"/>
          <w:kern w:val="0"/>
          <w:sz w:val="32"/>
          <w:szCs w:val="32"/>
        </w:rPr>
      </w:pPr>
      <w:r>
        <w:rPr>
          <w:rFonts w:hint="eastAsia" w:ascii="仿宋_GB2312" w:eastAsia="仿宋_GB2312" w:cs="宋体"/>
          <w:b/>
          <w:snapToGrid w:val="0"/>
          <w:sz w:val="32"/>
          <w:szCs w:val="32"/>
        </w:rPr>
        <w:t>一是</w:t>
      </w:r>
      <w:bookmarkStart w:id="16" w:name="_Toc245896855"/>
      <w:r>
        <w:rPr>
          <w:rFonts w:hint="eastAsia" w:ascii="仿宋_GB2312" w:eastAsia="仿宋_GB2312"/>
          <w:b/>
          <w:sz w:val="32"/>
        </w:rPr>
        <w:t>第三产业稳步快速增长。</w:t>
      </w:r>
      <w:r>
        <w:rPr>
          <w:rFonts w:hint="eastAsia" w:ascii="仿宋_GB2312" w:eastAsia="仿宋_GB2312"/>
          <w:sz w:val="32"/>
        </w:rPr>
        <w:t>第三产业增加值</w:t>
      </w:r>
      <w:r>
        <w:rPr>
          <w:rFonts w:hint="eastAsia" w:ascii="仿宋_GB2312" w:hAnsi="方正仿宋_GBK" w:eastAsia="仿宋_GB2312"/>
          <w:sz w:val="32"/>
        </w:rPr>
        <w:t>从</w:t>
      </w:r>
      <w:r>
        <w:rPr>
          <w:rFonts w:hint="eastAsia" w:ascii="仿宋_GB2312" w:eastAsia="仿宋_GB2312"/>
          <w:bCs/>
          <w:sz w:val="32"/>
          <w:szCs w:val="32"/>
        </w:rPr>
        <w:t>2016年的473.46亿元增加到2020年的747.9亿元，同比增长2.8%，占GDP的比重从47.8%增加到60.2%</w:t>
      </w:r>
      <w:r>
        <w:rPr>
          <w:rFonts w:hint="eastAsia" w:ascii="仿宋_GB2312" w:hAnsi="方正仿宋_GBK" w:eastAsia="仿宋_GB2312"/>
          <w:sz w:val="32"/>
        </w:rPr>
        <w:t>。</w:t>
      </w:r>
      <w:r>
        <w:rPr>
          <w:rFonts w:hint="eastAsia" w:ascii="仿宋_GB2312" w:eastAsia="仿宋_GB2312" w:cs="仿宋_GB2312"/>
          <w:sz w:val="32"/>
          <w:szCs w:val="32"/>
          <w:lang w:val="zh-CN"/>
        </w:rPr>
        <w:t>社会消费品零售总额从2016年的 496.68亿元增加到2020年578.61亿元，年均增长约7.5%。</w:t>
      </w:r>
      <w:r>
        <w:rPr>
          <w:rFonts w:hint="eastAsia" w:ascii="仿宋_GB2312" w:eastAsia="仿宋_GB2312" w:cs="仿宋_GB2312"/>
          <w:b/>
          <w:sz w:val="32"/>
          <w:szCs w:val="32"/>
          <w:lang w:val="zh-CN"/>
        </w:rPr>
        <w:t>二是</w:t>
      </w:r>
      <w:r>
        <w:rPr>
          <w:rFonts w:hint="eastAsia" w:ascii="仿宋_GB2312" w:eastAsia="仿宋_GB2312"/>
          <w:b/>
          <w:sz w:val="32"/>
          <w:szCs w:val="32"/>
        </w:rPr>
        <w:t>服务业发展布局</w:t>
      </w:r>
      <w:bookmarkEnd w:id="16"/>
      <w:r>
        <w:rPr>
          <w:rFonts w:hint="eastAsia" w:ascii="仿宋_GB2312" w:eastAsia="仿宋_GB2312"/>
          <w:b/>
          <w:sz w:val="32"/>
          <w:szCs w:val="32"/>
        </w:rPr>
        <w:t>不断优化。</w:t>
      </w:r>
      <w:r>
        <w:rPr>
          <w:rFonts w:hint="eastAsia" w:ascii="仿宋_GB2312" w:hAnsi="微软雅黑" w:eastAsia="仿宋_GB2312"/>
          <w:color w:val="000000"/>
          <w:sz w:val="32"/>
          <w:szCs w:val="32"/>
        </w:rPr>
        <w:t>制定出台《五华区加快发展生产性服务业三年行动计划（</w:t>
      </w:r>
      <w:r>
        <w:rPr>
          <w:rFonts w:ascii="Times New Roman" w:hAnsi="Times New Roman" w:eastAsia="微软雅黑"/>
          <w:color w:val="000000"/>
          <w:sz w:val="32"/>
          <w:szCs w:val="32"/>
        </w:rPr>
        <w:t>2019-2021</w:t>
      </w:r>
      <w:r>
        <w:rPr>
          <w:rFonts w:hint="eastAsia" w:ascii="仿宋_GB2312" w:hAnsi="微软雅黑" w:eastAsia="仿宋_GB2312"/>
          <w:color w:val="000000"/>
          <w:sz w:val="32"/>
          <w:szCs w:val="32"/>
        </w:rPr>
        <w:t>年）》，推动生产性服务业和楼宇经济提质增效，保有税收亿元楼宇</w:t>
      </w:r>
      <w:r>
        <w:rPr>
          <w:rFonts w:ascii="Times New Roman" w:hAnsi="Times New Roman" w:eastAsia="微软雅黑"/>
          <w:color w:val="000000"/>
          <w:sz w:val="32"/>
          <w:szCs w:val="32"/>
        </w:rPr>
        <w:t>16</w:t>
      </w:r>
      <w:r>
        <w:rPr>
          <w:rFonts w:hint="eastAsia" w:ascii="仿宋_GB2312" w:hAnsi="微软雅黑" w:eastAsia="仿宋_GB2312"/>
          <w:color w:val="000000"/>
          <w:sz w:val="32"/>
          <w:szCs w:val="32"/>
        </w:rPr>
        <w:t>幢，邦克大厦成为全市首家税收超</w:t>
      </w:r>
      <w:r>
        <w:rPr>
          <w:rFonts w:ascii="Times New Roman" w:hAnsi="Times New Roman" w:eastAsia="微软雅黑"/>
          <w:color w:val="000000"/>
          <w:sz w:val="32"/>
          <w:szCs w:val="32"/>
        </w:rPr>
        <w:t>20</w:t>
      </w:r>
      <w:r>
        <w:rPr>
          <w:rFonts w:hint="eastAsia" w:ascii="仿宋_GB2312" w:hAnsi="微软雅黑" w:eastAsia="仿宋_GB2312"/>
          <w:color w:val="000000"/>
          <w:sz w:val="32"/>
          <w:szCs w:val="32"/>
        </w:rPr>
        <w:t>亿元楼宇。东方首座商务中心</w:t>
      </w:r>
      <w:r>
        <w:rPr>
          <w:rFonts w:ascii="Times New Roman" w:hAnsi="Times New Roman" w:eastAsia="微软雅黑"/>
          <w:color w:val="000000"/>
          <w:sz w:val="32"/>
          <w:szCs w:val="32"/>
        </w:rPr>
        <w:t>“</w:t>
      </w:r>
      <w:r>
        <w:rPr>
          <w:rFonts w:hint="eastAsia" w:ascii="仿宋_GB2312" w:hAnsi="微软雅黑" w:eastAsia="仿宋_GB2312"/>
          <w:color w:val="000000"/>
          <w:sz w:val="32"/>
          <w:szCs w:val="32"/>
        </w:rPr>
        <w:t>金融特色楼宇</w:t>
      </w:r>
      <w:r>
        <w:rPr>
          <w:rFonts w:ascii="Times New Roman" w:hAnsi="Times New Roman" w:eastAsia="微软雅黑"/>
          <w:color w:val="000000"/>
          <w:sz w:val="32"/>
          <w:szCs w:val="32"/>
        </w:rPr>
        <w:t>”</w:t>
      </w:r>
      <w:r>
        <w:rPr>
          <w:rFonts w:hint="eastAsia" w:ascii="仿宋_GB2312" w:hAnsi="微软雅黑" w:eastAsia="仿宋_GB2312"/>
          <w:color w:val="000000"/>
          <w:sz w:val="32"/>
          <w:szCs w:val="32"/>
        </w:rPr>
        <w:t>初具规模，金融业增加值完成</w:t>
      </w:r>
      <w:r>
        <w:rPr>
          <w:rFonts w:ascii="Times New Roman" w:hAnsi="Times New Roman" w:eastAsia="微软雅黑"/>
          <w:color w:val="000000"/>
          <w:sz w:val="32"/>
          <w:szCs w:val="32"/>
        </w:rPr>
        <w:t>145.5</w:t>
      </w:r>
      <w:r>
        <w:rPr>
          <w:rFonts w:hint="eastAsia" w:ascii="仿宋_GB2312" w:hAnsi="微软雅黑" w:eastAsia="仿宋_GB2312"/>
          <w:color w:val="000000"/>
          <w:sz w:val="32"/>
          <w:szCs w:val="32"/>
        </w:rPr>
        <w:t>亿元。能投缘达集团等</w:t>
      </w:r>
      <w:r>
        <w:rPr>
          <w:rFonts w:ascii="Times New Roman" w:hAnsi="Times New Roman" w:eastAsia="微软雅黑"/>
          <w:color w:val="000000"/>
          <w:sz w:val="32"/>
          <w:szCs w:val="32"/>
        </w:rPr>
        <w:t>5</w:t>
      </w:r>
      <w:r>
        <w:rPr>
          <w:rFonts w:hint="eastAsia" w:ascii="仿宋_GB2312" w:hAnsi="微软雅黑" w:eastAsia="仿宋_GB2312"/>
          <w:color w:val="000000"/>
          <w:sz w:val="32"/>
          <w:szCs w:val="32"/>
        </w:rPr>
        <w:t>户总部企业落户，保有总部企业</w:t>
      </w:r>
      <w:r>
        <w:rPr>
          <w:rFonts w:ascii="Times New Roman" w:hAnsi="Times New Roman" w:eastAsia="微软雅黑"/>
          <w:color w:val="000000"/>
          <w:sz w:val="32"/>
          <w:szCs w:val="32"/>
        </w:rPr>
        <w:t>58</w:t>
      </w:r>
      <w:r>
        <w:rPr>
          <w:rFonts w:hint="eastAsia" w:ascii="仿宋_GB2312" w:hAnsi="微软雅黑" w:eastAsia="仿宋_GB2312"/>
          <w:color w:val="000000"/>
          <w:sz w:val="32"/>
          <w:szCs w:val="32"/>
        </w:rPr>
        <w:t>户。昆明老街、南强街点亮都市夜经济。</w:t>
      </w:r>
      <w:r>
        <w:rPr>
          <w:rFonts w:hint="eastAsia" w:ascii="仿宋_GB2312" w:eastAsia="仿宋_GB2312"/>
          <w:sz w:val="32"/>
          <w:szCs w:val="32"/>
        </w:rPr>
        <w:t>完成《五华区“十三五”工业发展规划》、《五华区“十三五”服务业发展规划》中期评估和《</w:t>
      </w:r>
      <w:r>
        <w:rPr>
          <w:rFonts w:hint="eastAsia" w:eastAsia="仿宋_GB2312"/>
          <w:sz w:val="32"/>
        </w:rPr>
        <w:t>五华区核心区更新升级策略项目研究</w:t>
      </w:r>
      <w:r>
        <w:rPr>
          <w:rFonts w:hint="eastAsia" w:ascii="仿宋_GB2312" w:eastAsia="仿宋_GB2312"/>
          <w:sz w:val="32"/>
          <w:szCs w:val="32"/>
        </w:rPr>
        <w:t>》、《</w:t>
      </w:r>
      <w:r>
        <w:rPr>
          <w:rFonts w:hint="eastAsia" w:eastAsia="仿宋_GB2312"/>
          <w:sz w:val="32"/>
        </w:rPr>
        <w:t>翠湖片区业态定位与提升</w:t>
      </w:r>
      <w:r>
        <w:rPr>
          <w:rFonts w:hint="eastAsia" w:ascii="仿宋_GB2312" w:eastAsia="仿宋_GB2312"/>
          <w:sz w:val="32"/>
          <w:szCs w:val="32"/>
        </w:rPr>
        <w:t>》研究编制工作，启动了高品质步行街的策划方案，进一步明确服务业产业空间布局。充分发挥五华区在历史文化、都市文化、市井文化等方面的特色和优势，打造昆明老街·美食天街、翠湖休闲餐饮特色区、昆明老街·钱王街等特色商业文化旅游街区。</w:t>
      </w:r>
      <w:r>
        <w:rPr>
          <w:rFonts w:hint="eastAsia" w:ascii="仿宋_GB2312" w:eastAsia="仿宋_GB2312" w:cs="宋体"/>
          <w:b/>
          <w:snapToGrid w:val="0"/>
          <w:sz w:val="32"/>
          <w:szCs w:val="32"/>
        </w:rPr>
        <w:t>三是</w:t>
      </w:r>
      <w:r>
        <w:rPr>
          <w:rFonts w:hint="eastAsia" w:ascii="仿宋_GB2312" w:hAnsi="仿宋" w:eastAsia="仿宋_GB2312"/>
          <w:b/>
          <w:sz w:val="32"/>
          <w:szCs w:val="32"/>
        </w:rPr>
        <w:t>传统</w:t>
      </w:r>
      <w:r>
        <w:rPr>
          <w:rFonts w:hint="eastAsia" w:ascii="仿宋_GB2312" w:hAnsi="仿宋" w:eastAsia="仿宋_GB2312" w:cs="仿宋_GB2312"/>
          <w:b/>
          <w:sz w:val="32"/>
          <w:szCs w:val="32"/>
          <w:lang w:val="zh-CN"/>
        </w:rPr>
        <w:t>服务业品质不断提升。</w:t>
      </w:r>
      <w:r>
        <w:rPr>
          <w:rFonts w:hint="eastAsia" w:ascii="仿宋_GB2312" w:hAnsi="仿宋" w:eastAsia="仿宋_GB2312" w:cs="仿宋_GB2312"/>
          <w:sz w:val="32"/>
          <w:szCs w:val="32"/>
          <w:lang w:val="zh-CN"/>
        </w:rPr>
        <w:t>“</w:t>
      </w:r>
      <w:r>
        <w:rPr>
          <w:rFonts w:hint="eastAsia" w:ascii="仿宋_GB2312" w:eastAsia="仿宋_GB2312" w:cs="仿宋_GB2312"/>
          <w:sz w:val="32"/>
          <w:szCs w:val="32"/>
          <w:lang w:val="zh-CN"/>
        </w:rPr>
        <w:t>十三五”上半期，</w:t>
      </w:r>
      <w:r>
        <w:rPr>
          <w:rFonts w:hint="eastAsia" w:ascii="仿宋_GB2312" w:hAnsi="华文仿宋" w:eastAsia="仿宋_GB2312"/>
          <w:sz w:val="32"/>
          <w:szCs w:val="32"/>
        </w:rPr>
        <w:t>昆明五华吾悦广场广场等一批重点商业项目顺利建成投运，东方柏丰首座商务中心项目顺利投入运营，</w:t>
      </w:r>
      <w:r>
        <w:rPr>
          <w:rFonts w:hint="eastAsia" w:ascii="仿宋_GB2312" w:hAnsi="宋体" w:eastAsia="仿宋_GB2312"/>
          <w:sz w:val="32"/>
          <w:szCs w:val="32"/>
        </w:rPr>
        <w:t>文明街历史街区保护修建项目二期、首创奥莱、宜家</w:t>
      </w:r>
      <w:r>
        <w:rPr>
          <w:rFonts w:hint="eastAsia" w:ascii="仿宋_GB2312" w:eastAsia="仿宋_GB2312"/>
          <w:sz w:val="32"/>
          <w:szCs w:val="32"/>
        </w:rPr>
        <w:t>等在建待建项目有序推进，</w:t>
      </w:r>
      <w:r>
        <w:rPr>
          <w:rFonts w:hint="eastAsia" w:ascii="仿宋_GB2312" w:hAnsi="华文仿宋" w:eastAsia="仿宋_GB2312"/>
          <w:sz w:val="32"/>
          <w:szCs w:val="32"/>
        </w:rPr>
        <w:t>苏宁小店、九机网、广飞</w:t>
      </w:r>
      <w:r>
        <w:rPr>
          <w:rFonts w:hint="eastAsia" w:ascii="仿宋_GB2312" w:eastAsia="仿宋_GB2312"/>
          <w:sz w:val="32"/>
          <w:szCs w:val="32"/>
        </w:rPr>
        <w:t>等品牌企业入驻发展，辖区商业氛围进一步成熟，商贸业</w:t>
      </w:r>
      <w:r>
        <w:rPr>
          <w:rFonts w:hint="eastAsia" w:ascii="仿宋_GB2312" w:eastAsia="仿宋_GB2312" w:cs="仿宋_GB2312"/>
          <w:sz w:val="32"/>
          <w:szCs w:val="32"/>
          <w:lang w:val="zh-CN"/>
        </w:rPr>
        <w:t>连片繁荣的局面进一步形成。</w:t>
      </w:r>
      <w:r>
        <w:rPr>
          <w:rFonts w:hint="eastAsia" w:ascii="仿宋_GB2312" w:hAnsi="宋体" w:eastAsia="仿宋_GB2312"/>
          <w:sz w:val="32"/>
          <w:szCs w:val="32"/>
        </w:rPr>
        <w:t>组织举办四季欢乐购物节、美食节等会展活动，</w:t>
      </w:r>
      <w:r>
        <w:rPr>
          <w:rFonts w:hint="eastAsia" w:ascii="仿宋_GB2312" w:eastAsia="仿宋_GB2312"/>
          <w:sz w:val="32"/>
          <w:szCs w:val="32"/>
        </w:rPr>
        <w:t>有效挖掘市场潜力、拉动消费。</w:t>
      </w:r>
      <w:r>
        <w:rPr>
          <w:rFonts w:hint="eastAsia" w:ascii="仿宋_GB2312" w:eastAsia="仿宋_GB2312"/>
          <w:b/>
          <w:sz w:val="32"/>
          <w:szCs w:val="32"/>
        </w:rPr>
        <w:t>四是大力发展现代服务业。</w:t>
      </w:r>
      <w:r>
        <w:rPr>
          <w:rFonts w:hint="eastAsia" w:ascii="仿宋_GB2312" w:eastAsia="仿宋_GB2312"/>
          <w:sz w:val="32"/>
          <w:szCs w:val="32"/>
        </w:rPr>
        <w:t>积极培育电子商务发展。申报五华区电子商务示范县区、金鼎山、联想科技城2个电子商务示范园区和苏宁云商等多家电子商务示范企业。通过一系列积极有效的工作措施，一批有特色、有代表性的电子商务企业逐步培育壮大，电子商务产业载体建设逐步成熟，电子商务正不断融入传统产业发展，对传统产业转型升级发挥着积极作用。大力培育金融服务业。积极培育引进金融服务企业，促进五华区区域金融服务中心建设。</w:t>
      </w:r>
    </w:p>
    <w:p w14:paraId="1B88175A">
      <w:pPr>
        <w:numPr>
          <w:ilvl w:val="0"/>
          <w:numId w:val="6"/>
        </w:numPr>
        <w:snapToGrid w:val="0"/>
        <w:spacing w:line="560" w:lineRule="exact"/>
        <w:rPr>
          <w:rFonts w:hint="eastAsia" w:ascii="楷体_GB2312" w:eastAsia="楷体_GB2312"/>
          <w:sz w:val="32"/>
          <w:szCs w:val="32"/>
        </w:rPr>
      </w:pPr>
      <w:r>
        <w:rPr>
          <w:rFonts w:hint="eastAsia" w:ascii="楷体_GB2312" w:hAnsi="宋体" w:eastAsia="楷体_GB2312"/>
          <w:sz w:val="32"/>
          <w:szCs w:val="32"/>
        </w:rPr>
        <w:t>强化民生保障，服务社区居民。</w:t>
      </w:r>
    </w:p>
    <w:p w14:paraId="136C5623">
      <w:pPr>
        <w:snapToGrid w:val="0"/>
        <w:spacing w:line="560" w:lineRule="exact"/>
        <w:ind w:firstLine="643" w:firstLineChars="200"/>
        <w:rPr>
          <w:rFonts w:hint="eastAsia" w:ascii="楷体_GB2312" w:eastAsia="楷体_GB2312"/>
          <w:sz w:val="32"/>
          <w:szCs w:val="32"/>
        </w:rPr>
      </w:pPr>
      <w:r>
        <w:rPr>
          <w:rFonts w:hint="eastAsia" w:ascii="仿宋_GB2312" w:eastAsia="仿宋_GB2312" w:cs="宋体"/>
          <w:b/>
          <w:snapToGrid w:val="0"/>
          <w:sz w:val="32"/>
          <w:szCs w:val="32"/>
        </w:rPr>
        <w:t>一是抓好菜市场规划布局。</w:t>
      </w:r>
      <w:r>
        <w:rPr>
          <w:rFonts w:hint="eastAsia" w:ascii="仿宋_GB2312" w:hAnsi="宋体" w:eastAsia="仿宋_GB2312" w:cs="宋体"/>
          <w:kern w:val="0"/>
          <w:sz w:val="32"/>
          <w:szCs w:val="32"/>
        </w:rPr>
        <w:t>充分衔接相关规划</w:t>
      </w:r>
      <w:r>
        <w:rPr>
          <w:rFonts w:hint="eastAsia" w:ascii="仿宋_GB2312" w:hAnsi="Malgun Gothic Semilight" w:eastAsia="仿宋_GB2312" w:cs="Malgun Gothic Semilight"/>
          <w:kern w:val="0"/>
          <w:sz w:val="32"/>
          <w:szCs w:val="32"/>
        </w:rPr>
        <w:t>，</w:t>
      </w:r>
      <w:r>
        <w:rPr>
          <w:rFonts w:hint="eastAsia" w:ascii="仿宋_GB2312" w:eastAsia="仿宋_GB2312" w:cs="绛夌嚎"/>
          <w:kern w:val="0"/>
          <w:sz w:val="32"/>
          <w:szCs w:val="32"/>
        </w:rPr>
        <w:t>以标准化菜市场公益性基础公共服务设施为主，以生鲜超市和社区菜店为辅的原则，协调发展，共同建设满足多人群多层次的农产品供应体系，圆满完成上级关于菜市场建设的目标任务。</w:t>
      </w:r>
      <w:r>
        <w:rPr>
          <w:rFonts w:hint="eastAsia" w:ascii="仿宋_GB2312" w:hAnsi="宋体" w:eastAsia="仿宋_GB2312" w:cs="宋体"/>
          <w:kern w:val="0"/>
          <w:sz w:val="32"/>
          <w:szCs w:val="32"/>
        </w:rPr>
        <w:t>结合昆明市创建国家卫生城市</w:t>
      </w:r>
      <w:r>
        <w:rPr>
          <w:rFonts w:hint="eastAsia" w:ascii="仿宋_GB2312" w:hAnsi="Malgun Gothic Semilight" w:eastAsia="仿宋_GB2312" w:cs="Malgun Gothic Semilight"/>
          <w:kern w:val="0"/>
          <w:sz w:val="32"/>
          <w:szCs w:val="32"/>
        </w:rPr>
        <w:t>、</w:t>
      </w:r>
      <w:r>
        <w:rPr>
          <w:rFonts w:hint="eastAsia" w:ascii="仿宋_GB2312" w:hAnsi="宋体" w:eastAsia="仿宋_GB2312" w:cs="宋体"/>
          <w:kern w:val="0"/>
          <w:sz w:val="32"/>
          <w:szCs w:val="32"/>
        </w:rPr>
        <w:t>全国文明城市的要求</w:t>
      </w:r>
      <w:r>
        <w:rPr>
          <w:rFonts w:hint="eastAsia" w:ascii="仿宋_GB2312" w:hAnsi="Malgun Gothic Semilight" w:eastAsia="仿宋_GB2312" w:cs="Malgun Gothic Semilight"/>
          <w:kern w:val="0"/>
          <w:sz w:val="32"/>
          <w:szCs w:val="32"/>
        </w:rPr>
        <w:t>，</w:t>
      </w:r>
      <w:r>
        <w:rPr>
          <w:rFonts w:hint="eastAsia" w:eastAsia="仿宋_GB2312"/>
          <w:sz w:val="32"/>
        </w:rPr>
        <w:t>进一步加快主城区集贸市场建设改造步伐，紧紧围绕《昆明市主城区集贸市场</w:t>
      </w:r>
      <w:r>
        <w:rPr>
          <w:rFonts w:eastAsia="仿宋_GB2312"/>
          <w:sz w:val="32"/>
        </w:rPr>
        <w:t>2018-2020</w:t>
      </w:r>
      <w:r>
        <w:rPr>
          <w:rFonts w:hint="eastAsia" w:eastAsia="仿宋_GB2312"/>
          <w:sz w:val="32"/>
        </w:rPr>
        <w:t>年提升整治三年行动计划》，在全市率先启动完成了《昆明市五华区集贸市场布局布点专项规划（</w:t>
      </w:r>
      <w:r>
        <w:rPr>
          <w:rFonts w:eastAsia="仿宋_GB2312"/>
          <w:sz w:val="32"/>
        </w:rPr>
        <w:t>2018-2020</w:t>
      </w:r>
      <w:r>
        <w:rPr>
          <w:rFonts w:hint="eastAsia" w:eastAsia="仿宋_GB2312"/>
          <w:sz w:val="32"/>
        </w:rPr>
        <w:t>年）》的编制工作，以全面提升我区集贸市场设施水平、环境面貌和服务功能为目标，切实将我区集贸市场打造成服务民生的放心工程。</w:t>
      </w:r>
    </w:p>
    <w:p w14:paraId="7ABBADEC">
      <w:pPr>
        <w:spacing w:line="560" w:lineRule="exact"/>
        <w:ind w:firstLine="643" w:firstLineChars="200"/>
        <w:rPr>
          <w:rFonts w:hint="eastAsia" w:ascii="宋体" w:hAnsi="宋体"/>
          <w:b/>
          <w:bCs/>
          <w:sz w:val="32"/>
          <w:szCs w:val="32"/>
        </w:rPr>
      </w:pPr>
      <w:r>
        <w:rPr>
          <w:rFonts w:hint="eastAsia" w:ascii="宋体" w:hAnsi="宋体"/>
          <w:b/>
          <w:bCs/>
          <w:sz w:val="32"/>
          <w:szCs w:val="32"/>
        </w:rPr>
        <w:t>全面提高楼宇（总部）经济发展质量和效益</w:t>
      </w:r>
    </w:p>
    <w:p w14:paraId="550C53CE">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（一）楼宇经济发展基本情况</w:t>
      </w:r>
    </w:p>
    <w:p w14:paraId="5F7325C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2020年4月，全区商务楼宇总数达192幢，入驻企业20050户。楼宇总面积约614.4万平方米，空置面积约120万平方米，平均空置率19.52%。其中，税收千万元楼宇共60幢，亿元楼宇16幢。2019年区级税收总额14.59亿，全口径税收总额57.91亿。楼宇内产业分布集中于商务服务业、批发业、软件和信息技术服务业、约占入驻企业总数的63.36%，其次较多分布于建筑业、科技推广和应用服务业、零售业、房地产业、金融业等。</w:t>
      </w:r>
    </w:p>
    <w:p w14:paraId="2F38391D">
      <w:pPr>
        <w:spacing w:line="560" w:lineRule="exact"/>
        <w:ind w:firstLine="512" w:firstLineChars="160"/>
        <w:rPr>
          <w:rFonts w:hint="eastAsia" w:ascii="楷体" w:hAnsi="楷体" w:eastAsia="楷体"/>
          <w:sz w:val="32"/>
          <w:szCs w:val="32"/>
        </w:rPr>
      </w:pPr>
      <w:r>
        <w:rPr>
          <w:rFonts w:hint="eastAsia" w:ascii="楷体" w:hAnsi="楷体" w:eastAsia="楷体"/>
          <w:sz w:val="32"/>
          <w:szCs w:val="32"/>
        </w:rPr>
        <w:t>（二）总部企业有效聚集</w:t>
      </w:r>
    </w:p>
    <w:p w14:paraId="212F41E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rPr>
        <w:t>截止2020年底，五华区辖区共有58户总部企业，引进了</w:t>
      </w:r>
      <w:r>
        <w:rPr>
          <w:rFonts w:hint="eastAsia" w:ascii="仿宋_GB2312" w:hAnsi="仿宋_GB2312" w:eastAsia="仿宋_GB2312" w:cs="仿宋_GB2312"/>
          <w:sz w:val="32"/>
          <w:szCs w:val="32"/>
        </w:rPr>
        <w:t>沃尔玛、家乐福、屈臣氏、苏宁、国美、普华永道、宜家家居</w:t>
      </w:r>
      <w:r>
        <w:rPr>
          <w:rFonts w:hint="eastAsia" w:ascii="仿宋_GB2312" w:hAnsi="仿宋_GB2312" w:eastAsia="仿宋_GB2312" w:cs="仿宋_GB2312"/>
          <w:snapToGrid w:val="0"/>
          <w:sz w:val="32"/>
          <w:szCs w:val="32"/>
        </w:rPr>
        <w:t>一批国内外知名企业的区域性总部。</w:t>
      </w:r>
      <w:r>
        <w:rPr>
          <w:rFonts w:hint="eastAsia" w:ascii="仿宋_GB2312" w:hAnsi="仿宋_GB2312" w:eastAsia="仿宋_GB2312" w:cs="仿宋_GB2312"/>
          <w:sz w:val="32"/>
          <w:szCs w:val="32"/>
        </w:rPr>
        <w:t>40家世界500强企业、46家全国500强企业设立了区域性总部或分支机构，行业覆盖商贸、金融、能源、信息技术、化工、烟草等多个领域。</w:t>
      </w:r>
    </w:p>
    <w:p w14:paraId="09C8C5B8">
      <w:pPr>
        <w:spacing w:line="560" w:lineRule="exact"/>
        <w:ind w:firstLine="512" w:firstLineChars="160"/>
        <w:rPr>
          <w:rFonts w:hint="eastAsia" w:ascii="楷体_GB2312" w:eastAsia="楷体_GB2312"/>
          <w:sz w:val="32"/>
          <w:szCs w:val="32"/>
        </w:rPr>
      </w:pPr>
      <w:r>
        <w:rPr>
          <w:rFonts w:hint="eastAsia" w:ascii="楷体_GB2312" w:eastAsia="楷体_GB2312" w:cs="仿宋_GB2312"/>
          <w:color w:val="000000"/>
          <w:sz w:val="32"/>
          <w:szCs w:val="32"/>
          <w:lang w:val="zh-CN"/>
        </w:rPr>
        <w:t>（三）</w:t>
      </w:r>
      <w:r>
        <w:rPr>
          <w:rFonts w:hint="eastAsia" w:ascii="楷体_GB2312" w:eastAsia="楷体_GB2312"/>
          <w:sz w:val="32"/>
          <w:szCs w:val="32"/>
        </w:rPr>
        <w:t>抓实项目、做优服务，夯实发展载体</w:t>
      </w:r>
    </w:p>
    <w:p w14:paraId="48B6EB7E">
      <w:pPr>
        <w:spacing w:line="560" w:lineRule="exact"/>
        <w:ind w:firstLine="707" w:firstLineChars="221"/>
        <w:rPr>
          <w:rFonts w:hint="eastAsia" w:eastAsia="仿宋_GB2312"/>
          <w:color w:val="36363D"/>
          <w:sz w:val="32"/>
          <w:szCs w:val="32"/>
        </w:rPr>
      </w:pPr>
      <w:r>
        <w:rPr>
          <w:rFonts w:hint="eastAsia" w:ascii="仿宋_GB2312" w:eastAsia="仿宋_GB2312" w:cs="仿宋_GB2312"/>
          <w:sz w:val="32"/>
          <w:szCs w:val="32"/>
        </w:rPr>
        <w:t>项目</w:t>
      </w:r>
      <w:r>
        <w:rPr>
          <w:rFonts w:hint="eastAsia" w:ascii="仿宋_GB2312" w:eastAsia="仿宋_GB2312" w:cs="仿宋_GB2312"/>
          <w:sz w:val="32"/>
          <w:szCs w:val="32"/>
          <w:lang w:val="zh-CN"/>
        </w:rPr>
        <w:t>是支撑产业发展的基础，近年来，我区始终扎实抓好楼宇项目建设，做好项目跟踪服务，保证新建楼宇项目对高品质企业的吸引力和现代服务业的承载力。</w:t>
      </w:r>
      <w:r>
        <w:rPr>
          <w:rFonts w:hint="eastAsia" w:ascii="仿宋_GB2312" w:eastAsia="仿宋_GB2312" w:cs="仿宋_GB2312"/>
          <w:b/>
          <w:sz w:val="32"/>
          <w:szCs w:val="32"/>
          <w:lang w:val="zh-CN"/>
        </w:rPr>
        <w:t>一是强化措施，大力促进项目建设。</w:t>
      </w:r>
      <w:r>
        <w:rPr>
          <w:rFonts w:hint="eastAsia" w:ascii="仿宋_GB2312" w:eastAsia="仿宋_GB2312" w:cs="仿宋_GB2312"/>
          <w:sz w:val="32"/>
          <w:szCs w:val="32"/>
          <w:lang w:val="zh-CN"/>
        </w:rPr>
        <w:t>通过楼宇（总部）经济政策奖励扶持，强化服务和楼宇二次招商等工作的开展，积极促进</w:t>
      </w:r>
      <w:r>
        <w:rPr>
          <w:rFonts w:hint="eastAsia" w:ascii="仿宋_GB2312" w:hAnsi="华文仿宋" w:eastAsia="仿宋_GB2312"/>
          <w:sz w:val="32"/>
          <w:szCs w:val="32"/>
        </w:rPr>
        <w:t>项目建设和品牌培育。近年来，</w:t>
      </w:r>
      <w:r>
        <w:rPr>
          <w:rFonts w:hint="eastAsia" w:ascii="仿宋_GB2312" w:eastAsia="仿宋_GB2312" w:cs="仿宋_GB2312"/>
          <w:sz w:val="32"/>
          <w:szCs w:val="32"/>
          <w:lang w:val="zh-CN"/>
        </w:rPr>
        <w:t>顺城双塔、</w:t>
      </w:r>
      <w:r>
        <w:rPr>
          <w:rFonts w:hint="eastAsia" w:ascii="仿宋_GB2312" w:eastAsia="仿宋_GB2312"/>
          <w:sz w:val="32"/>
          <w:szCs w:val="32"/>
        </w:rPr>
        <w:t>昆明老街、</w:t>
      </w:r>
      <w:r>
        <w:rPr>
          <w:rFonts w:hint="eastAsia" w:ascii="仿宋_GB2312" w:hAnsi="华文仿宋" w:eastAsia="仿宋_GB2312"/>
          <w:sz w:val="32"/>
          <w:szCs w:val="32"/>
        </w:rPr>
        <w:t>昆明金鹰天地购物广场、东方首座商务中心等一批商业商务楼宇项目相继建成投运，商业商务氛围日益成熟，已成为全市具有一定知名度和影响力的商业商务中心</w:t>
      </w:r>
      <w:r>
        <w:rPr>
          <w:rFonts w:hint="eastAsia" w:ascii="仿宋_GB2312" w:eastAsia="仿宋_GB2312"/>
          <w:sz w:val="32"/>
          <w:szCs w:val="32"/>
        </w:rPr>
        <w:t>。</w:t>
      </w:r>
      <w:r>
        <w:rPr>
          <w:rFonts w:hint="eastAsia" w:ascii="仿宋_GB2312" w:hAnsi="宋体" w:eastAsia="仿宋_GB2312"/>
          <w:b/>
          <w:snapToGrid w:val="0"/>
          <w:sz w:val="32"/>
          <w:szCs w:val="32"/>
        </w:rPr>
        <w:t>二是政企联动，切实抓好项目招商。</w:t>
      </w:r>
      <w:r>
        <w:rPr>
          <w:rFonts w:hint="eastAsia" w:ascii="仿宋_GB2312" w:hAnsi="宋体" w:eastAsia="仿宋_GB2312"/>
          <w:snapToGrid w:val="0"/>
          <w:sz w:val="32"/>
          <w:szCs w:val="32"/>
        </w:rPr>
        <w:t>加强区级各部门联动，主动与项目企业加强沟通交流，及时了解掌握项目招商情况，通过以商招商、政企联合招商</w:t>
      </w:r>
      <w:r>
        <w:rPr>
          <w:rFonts w:hint="eastAsia" w:ascii="仿宋_GB2312" w:hAnsi="仿宋_GB2312" w:eastAsia="仿宋_GB2312" w:cs="仿宋_GB2312"/>
          <w:snapToGrid w:val="0"/>
          <w:sz w:val="32"/>
          <w:szCs w:val="32"/>
        </w:rPr>
        <w:t>等多种形式，协助企业做好商业商务楼宇二次招商工作。</w:t>
      </w:r>
      <w:r>
        <w:rPr>
          <w:rFonts w:hint="eastAsia" w:ascii="仿宋_GB2312" w:hAnsi="仿宋_GB2312" w:eastAsia="仿宋_GB2312" w:cs="仿宋_GB2312"/>
          <w:b/>
          <w:bCs/>
          <w:snapToGrid w:val="0"/>
          <w:sz w:val="32"/>
          <w:szCs w:val="32"/>
        </w:rPr>
        <w:t>三是政企合力，鼓励自持经营。</w:t>
      </w:r>
      <w:r>
        <w:rPr>
          <w:rFonts w:hint="eastAsia" w:ascii="仿宋_GB2312" w:hAnsi="仿宋_GB2312" w:eastAsia="仿宋_GB2312" w:cs="仿宋_GB2312"/>
          <w:sz w:val="32"/>
          <w:szCs w:val="32"/>
        </w:rPr>
        <w:t>鼓励有实力的开发商部分或全部自持经营，自持经营利于提升楼宇服务，提升产业生态圈，形成良好的产业聚集，并有利于把控入驻企业品质。辖区内部分或全部自持经营的楼宇如国茶港、朗悦湾、东方首座、银佳大厦、电子大厦、中铁云时代金地等，入驻率都已达到或预期将达到80%以上，产生了明显的税收效应。</w:t>
      </w:r>
      <w:r>
        <w:rPr>
          <w:rFonts w:hint="eastAsia" w:ascii="仿宋_GB2312" w:hAnsi="仿宋_GB2312" w:eastAsia="仿宋_GB2312" w:cs="仿宋_GB2312"/>
          <w:b/>
          <w:bCs/>
          <w:sz w:val="32"/>
          <w:szCs w:val="32"/>
        </w:rPr>
        <w:t>四是创新载体，大力发展联合办公。</w:t>
      </w:r>
      <w:r>
        <w:rPr>
          <w:rFonts w:hint="eastAsia" w:ascii="仿宋_GB2312" w:hAnsi="仿宋_GB2312" w:eastAsia="仿宋_GB2312" w:cs="仿宋_GB2312"/>
          <w:sz w:val="32"/>
          <w:szCs w:val="32"/>
        </w:rPr>
        <w:t>联合办公作为一种为降低办公室租赁成本而进行共享</w:t>
      </w:r>
      <w:r>
        <w:fldChar w:fldCharType="begin"/>
      </w:r>
      <w:r>
        <w:instrText xml:space="preserve"> HYPERLINK "https://baike.so.com/doc/6895710-7113348.html" \t "_blank" </w:instrText>
      </w:r>
      <w:r>
        <w:fldChar w:fldCharType="separate"/>
      </w:r>
      <w:r>
        <w:rPr>
          <w:rStyle w:val="17"/>
          <w:rFonts w:hint="eastAsia" w:ascii="仿宋_GB2312" w:hAnsi="仿宋_GB2312" w:eastAsia="仿宋_GB2312" w:cs="仿宋_GB2312"/>
          <w:sz w:val="32"/>
          <w:szCs w:val="32"/>
        </w:rPr>
        <w:t>办公空间</w:t>
      </w:r>
      <w:r>
        <w:fldChar w:fldCharType="end"/>
      </w:r>
      <w:r>
        <w:rPr>
          <w:rFonts w:hint="eastAsia" w:ascii="仿宋_GB2312" w:hAnsi="仿宋_GB2312" w:eastAsia="仿宋_GB2312" w:cs="仿宋_GB2312"/>
          <w:sz w:val="32"/>
          <w:szCs w:val="32"/>
        </w:rPr>
        <w:t>的新兴办公模式，自2016年以来，在我区起步并进入发展时期，辖区内的沃力空间、优创空间企业把握产业发展新趋势，采取市场化方式通过环境改造、服务模式创新来实现品质提升，在充分发挥主城核心区区位优势的同时有效解决了老旧楼宇用户体验不佳的短板，对我区更新城市环境，实现楼宇经济转型升级具有积极的推动作用。通过近5年的运营，该项工作取得了阶段性成效。</w:t>
      </w:r>
    </w:p>
    <w:p w14:paraId="7558F789">
      <w:pPr>
        <w:overflowPunct w:val="0"/>
        <w:autoSpaceDE w:val="0"/>
        <w:spacing w:line="580" w:lineRule="exact"/>
        <w:ind w:firstLine="640" w:firstLineChars="200"/>
        <w:rPr>
          <w:rFonts w:ascii="仿宋_GB2312" w:eastAsia="仿宋_GB2312"/>
          <w:sz w:val="32"/>
          <w:szCs w:val="32"/>
        </w:rPr>
      </w:pPr>
      <w:r>
        <w:rPr>
          <w:rFonts w:hint="eastAsia" w:ascii="黑体" w:hAnsi="黑体" w:eastAsia="黑体"/>
          <w:kern w:val="0"/>
          <w:sz w:val="32"/>
          <w:szCs w:val="32"/>
        </w:rPr>
        <w:t>打造夜间经济示范街区</w:t>
      </w:r>
    </w:p>
    <w:p w14:paraId="4E8B002C">
      <w:pPr>
        <w:overflowPunct w:val="0"/>
        <w:autoSpaceDE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为探索夜游项目、旅游演艺、夜市街区等模式，丰富夜间经济业态，逐步培育新消费热点，2019年11月我区出台了《五华区建设夜间经济示范街区工作方案》，明确了将南强街及昆明老街打造成夜间经济示范点，成立“五华区发展夜间经济工作领导小组”，发展夜间经济坚持政府引导、市场机制，发挥企业的经营主体作用，同时突出特色、注重创新，形成统筹推进、业态多元、错位发展格局，已品牌优先、示范引导，形成良好夜间消费服务氛围，南强街夜间市场已顺利开街，昆明老街夜间市场已在试营业阶段，夜间经济取得了初步成效。</w:t>
      </w:r>
    </w:p>
    <w:p w14:paraId="76BCE583">
      <w:pPr>
        <w:overflowPunct w:val="0"/>
        <w:autoSpaceDE w:val="0"/>
        <w:spacing w:line="580" w:lineRule="exact"/>
        <w:ind w:firstLine="640" w:firstLineChars="200"/>
        <w:rPr>
          <w:rFonts w:hint="eastAsia" w:ascii="仿宋_GB2312" w:eastAsia="仿宋_GB2312"/>
          <w:sz w:val="32"/>
          <w:szCs w:val="32"/>
        </w:rPr>
      </w:pPr>
      <w:r>
        <w:rPr>
          <w:rFonts w:hint="eastAsia" w:ascii="楷体_GB2312" w:eastAsia="楷体_GB2312"/>
          <w:sz w:val="32"/>
          <w:szCs w:val="32"/>
        </w:rPr>
        <w:t>一是夜间经济地标初具形态</w:t>
      </w:r>
      <w:r>
        <w:rPr>
          <w:rFonts w:hint="eastAsia" w:ascii="仿宋_GB2312" w:eastAsia="仿宋_GB2312"/>
          <w:sz w:val="32"/>
          <w:szCs w:val="32"/>
        </w:rPr>
        <w:t>。2020年5月《云南省人民政府办公厅关于促进夜间经济发展的指导意见》将昆明南屏街列为全省首批5个夜间经济地标，新城吾悦广场列为首批15个夜间经济商圈，昆明环翠湖、南强街、大观街列为全省首批50个夜间经济生活圈。</w:t>
      </w:r>
    </w:p>
    <w:p w14:paraId="31AE4D9F">
      <w:pPr>
        <w:overflowPunct w:val="0"/>
        <w:autoSpaceDE w:val="0"/>
        <w:spacing w:line="580" w:lineRule="exact"/>
        <w:ind w:firstLine="640" w:firstLineChars="200"/>
        <w:rPr>
          <w:rFonts w:hint="eastAsia" w:ascii="仿宋_GB2312" w:eastAsia="仿宋_GB2312"/>
          <w:sz w:val="32"/>
          <w:szCs w:val="32"/>
        </w:rPr>
      </w:pPr>
      <w:r>
        <w:rPr>
          <w:rFonts w:hint="eastAsia" w:ascii="楷体_GB2312" w:eastAsia="楷体_GB2312"/>
          <w:sz w:val="32"/>
          <w:szCs w:val="32"/>
        </w:rPr>
        <w:t>二是夜间经济商圈培育初见成效。</w:t>
      </w:r>
      <w:r>
        <w:rPr>
          <w:rFonts w:hint="eastAsia" w:ascii="仿宋_GB2312" w:eastAsia="仿宋_GB2312"/>
          <w:sz w:val="32"/>
          <w:szCs w:val="32"/>
        </w:rPr>
        <w:t>五华区紧扣省市定位，以南强街区、昆明老街两个夜间经济示范街区为示范，辐射带动顺城、大观商业城、金鹰等周边片区人流聚集，依托昆明主城西北片区吾悦广场、云时代耍街、国茶港、融创春风十里等商业圈，积极谋划推动云时代耍街夜间经济，通过延长游客停留时间，聚集形成集购物、餐饮、娱乐、休闲、旅游、商务为一体的开放式消费场所，建设富有地方特色的夜间经济集聚区与特色商圈。</w:t>
      </w:r>
    </w:p>
    <w:p w14:paraId="6BDF03F1">
      <w:pPr>
        <w:overflowPunct w:val="0"/>
        <w:autoSpaceDE w:val="0"/>
        <w:spacing w:line="580" w:lineRule="exact"/>
        <w:ind w:firstLine="640" w:firstLineChars="200"/>
        <w:rPr>
          <w:rFonts w:hint="eastAsia" w:ascii="仿宋_GB2312" w:eastAsia="仿宋_GB2312"/>
          <w:sz w:val="32"/>
          <w:szCs w:val="32"/>
        </w:rPr>
      </w:pPr>
      <w:r>
        <w:rPr>
          <w:rFonts w:hint="eastAsia" w:ascii="楷体_GB2312" w:eastAsia="楷体_GB2312"/>
          <w:sz w:val="32"/>
          <w:szCs w:val="32"/>
        </w:rPr>
        <w:t>三是探索夜间经济生活圈的打造</w:t>
      </w:r>
      <w:r>
        <w:rPr>
          <w:rFonts w:hint="eastAsia" w:ascii="仿宋_GB2312" w:eastAsia="仿宋_GB2312"/>
          <w:sz w:val="32"/>
          <w:szCs w:val="32"/>
        </w:rPr>
        <w:t>。在探索政府提供服务、营造环境，市场监管、利益平衡等方面有效路径的基础上，依托翠湖、莲花池自然山水和人文底蕴，细致梳理挖掘“三山一水”、“九巷十三坡”等传统格局内历史渊源、史实、民间传说、文化特色，通过配套夜间服务设施，形成的多点历史空间及环境要素，为夜间经济注入历史文化资源。</w:t>
      </w:r>
    </w:p>
    <w:p w14:paraId="0F9A33D5">
      <w:pPr>
        <w:overflowPunct w:val="0"/>
        <w:autoSpaceDE w:val="0"/>
        <w:spacing w:line="580" w:lineRule="exact"/>
        <w:ind w:firstLine="640" w:firstLineChars="200"/>
        <w:rPr>
          <w:rFonts w:hint="eastAsia" w:ascii="仿宋_GB2312" w:eastAsia="仿宋_GB2312"/>
          <w:sz w:val="32"/>
          <w:szCs w:val="32"/>
        </w:rPr>
      </w:pPr>
      <w:r>
        <w:rPr>
          <w:rFonts w:hint="eastAsia" w:ascii="楷体_GB2312" w:eastAsia="楷体_GB2312"/>
          <w:sz w:val="32"/>
          <w:szCs w:val="32"/>
        </w:rPr>
        <w:t>四是积极促进夜间经济多元化发展。</w:t>
      </w:r>
      <w:r>
        <w:rPr>
          <w:rFonts w:hint="eastAsia" w:ascii="仿宋_GB2312" w:eastAsia="仿宋_GB2312"/>
          <w:sz w:val="32"/>
          <w:szCs w:val="32"/>
        </w:rPr>
        <w:t>在城市老城区、历史街区或者居民较少的独立区域，完善夜间设施，鼓励引入歌剧院、剧院、博物馆、美术馆、商业性画廊、电影院、酒吧、餐馆等业态，形成较为独立的商业生态。丰富文化、体育、竞技、表演、康养之类的产品，形成夜间经济集群。</w:t>
      </w:r>
    </w:p>
    <w:p w14:paraId="75FC7E94">
      <w:pPr>
        <w:spacing w:line="560" w:lineRule="exact"/>
        <w:ind w:firstLine="640" w:firstLineChars="200"/>
        <w:rPr>
          <w:rFonts w:hint="eastAsia" w:ascii="仿宋_GB2312" w:eastAsia="仿宋_GB2312"/>
          <w:sz w:val="32"/>
          <w:szCs w:val="32"/>
        </w:rPr>
      </w:pPr>
    </w:p>
    <w:p w14:paraId="2AF9247F">
      <w:pPr>
        <w:ind w:left="640"/>
        <w:rPr>
          <w:rFonts w:hint="eastAsia" w:ascii="黑体" w:hAnsi="黑体" w:eastAsia="黑体"/>
          <w:sz w:val="32"/>
          <w:szCs w:val="32"/>
        </w:rPr>
      </w:pPr>
      <w:r>
        <w:rPr>
          <w:rFonts w:hint="eastAsia" w:ascii="黑体" w:hAnsi="黑体" w:eastAsia="黑体"/>
          <w:sz w:val="32"/>
          <w:szCs w:val="32"/>
        </w:rPr>
        <w:t>未来发展规划</w:t>
      </w:r>
    </w:p>
    <w:p w14:paraId="0CA56A6B">
      <w:pPr>
        <w:spacing w:line="560" w:lineRule="exact"/>
        <w:ind w:firstLine="707" w:firstLineChars="221"/>
        <w:rPr>
          <w:rFonts w:hint="eastAsia" w:ascii="楷体" w:hAnsi="楷体" w:eastAsia="楷体"/>
          <w:sz w:val="32"/>
          <w:szCs w:val="32"/>
        </w:rPr>
      </w:pPr>
      <w:r>
        <w:rPr>
          <w:rFonts w:hint="eastAsia" w:ascii="楷体" w:hAnsi="楷体" w:eastAsia="楷体"/>
          <w:sz w:val="32"/>
          <w:szCs w:val="32"/>
        </w:rPr>
        <w:t>（一）</w:t>
      </w:r>
      <w:r>
        <w:rPr>
          <w:rFonts w:hint="eastAsia" w:eastAsia="仿宋_GB2312"/>
          <w:sz w:val="32"/>
          <w:szCs w:val="32"/>
        </w:rPr>
        <w:t>建设区域性国际中心城市高品质核心区</w:t>
      </w:r>
    </w:p>
    <w:p w14:paraId="4354BDA8">
      <w:pPr>
        <w:spacing w:line="560" w:lineRule="exact"/>
        <w:ind w:firstLine="707" w:firstLineChars="221"/>
        <w:rPr>
          <w:rFonts w:hint="eastAsia" w:ascii="仿宋_GB2312" w:hAnsi="仿宋_GB2312" w:eastAsia="仿宋_GB2312" w:cs="仿宋_GB2312"/>
          <w:sz w:val="32"/>
          <w:szCs w:val="32"/>
        </w:rPr>
      </w:pPr>
      <w:r>
        <w:rPr>
          <w:rFonts w:hint="eastAsia" w:eastAsia="仿宋_GB2312"/>
          <w:sz w:val="32"/>
          <w:szCs w:val="32"/>
        </w:rPr>
        <w:t>逐步形成布局合理、功能完善、特色突出、品质高端的总部经济和楼宇经济发展新格局，努力把五华区打造成为全省、全市最具影响力的高品质总部经济和楼宇经济聚集发展的示范引领区。</w:t>
      </w:r>
      <w:r>
        <w:rPr>
          <w:rFonts w:eastAsia="仿宋_GB2312"/>
          <w:sz w:val="32"/>
          <w:szCs w:val="32"/>
        </w:rPr>
        <w:t>1</w:t>
      </w:r>
      <w:r>
        <w:rPr>
          <w:rFonts w:hint="eastAsia" w:eastAsia="仿宋_GB2312"/>
          <w:sz w:val="32"/>
          <w:szCs w:val="32"/>
        </w:rPr>
        <w:t>、</w:t>
      </w:r>
      <w:r>
        <w:rPr>
          <w:rFonts w:hint="eastAsia" w:ascii="楷体" w:hAnsi="楷体" w:eastAsia="楷体"/>
          <w:bCs/>
          <w:color w:val="000000"/>
          <w:sz w:val="32"/>
          <w:szCs w:val="32"/>
        </w:rPr>
        <w:t>创新招商方式，进一步强化楼宇经济招商力度。</w:t>
      </w:r>
      <w:r>
        <w:rPr>
          <w:rFonts w:hint="eastAsia" w:eastAsia="仿宋_GB2312"/>
          <w:bCs/>
          <w:sz w:val="32"/>
          <w:szCs w:val="32"/>
        </w:rPr>
        <w:t>加强项目包装和政企联动，积极策划新建、在建楼宇的二次招商。深化合作招商，着重引进世界</w:t>
      </w:r>
      <w:r>
        <w:rPr>
          <w:rFonts w:hint="eastAsia" w:ascii="仿宋_GB2312" w:hAnsi="仿宋_GB2312" w:eastAsia="仿宋_GB2312" w:cs="仿宋_GB2312"/>
          <w:bCs/>
          <w:sz w:val="32"/>
          <w:szCs w:val="32"/>
        </w:rPr>
        <w:t>500强、国内500强区域性总部企业和规模大、效益好</w:t>
      </w:r>
      <w:r>
        <w:rPr>
          <w:rFonts w:hint="eastAsia" w:eastAsia="仿宋_GB2312"/>
          <w:bCs/>
          <w:sz w:val="32"/>
          <w:szCs w:val="32"/>
        </w:rPr>
        <w:t>、成长性强的优质企业。突出特色招商，着力引入一批现代服务业企业，大力鼓励银行、保险、证券、投资、担保等金融业加快发展，引导行业集聚发展。</w:t>
      </w:r>
      <w:r>
        <w:rPr>
          <w:rFonts w:eastAsia="仿宋_GB2312"/>
          <w:bCs/>
          <w:sz w:val="32"/>
          <w:szCs w:val="32"/>
        </w:rPr>
        <w:t>2</w:t>
      </w:r>
      <w:r>
        <w:rPr>
          <w:rFonts w:hint="eastAsia" w:eastAsia="仿宋_GB2312"/>
          <w:bCs/>
          <w:sz w:val="32"/>
          <w:szCs w:val="32"/>
        </w:rPr>
        <w:t>、</w:t>
      </w:r>
      <w:r>
        <w:rPr>
          <w:rFonts w:hint="eastAsia" w:ascii="楷体" w:hAnsi="楷体" w:eastAsia="楷体"/>
          <w:bCs/>
          <w:color w:val="000000"/>
          <w:sz w:val="32"/>
          <w:szCs w:val="32"/>
        </w:rPr>
        <w:t>加大政策支持，进一步优化楼宇经济发展环境。</w:t>
      </w:r>
      <w:r>
        <w:rPr>
          <w:rFonts w:hint="eastAsia" w:eastAsia="仿宋_GB2312"/>
          <w:bCs/>
          <w:color w:val="000000"/>
          <w:sz w:val="32"/>
          <w:szCs w:val="32"/>
        </w:rPr>
        <w:t>结合经济发展的新形势，不断调整优化政策体系，加大政策的宣传和落实，充分发挥政策的引导作用。同时，建立完善服务楼宇经济发展的长效机制，强化“区楼宇办—街道办事处—社区—物管”楼宇经济管理服务的四级工作机制，加强对楼宇企业、总部企业的联系服务。</w:t>
      </w:r>
      <w:r>
        <w:rPr>
          <w:rFonts w:eastAsia="仿宋_GB2312"/>
          <w:bCs/>
          <w:color w:val="000000"/>
          <w:sz w:val="32"/>
          <w:szCs w:val="32"/>
        </w:rPr>
        <w:t>3</w:t>
      </w:r>
      <w:r>
        <w:rPr>
          <w:rFonts w:hint="eastAsia" w:eastAsia="仿宋_GB2312"/>
          <w:bCs/>
          <w:color w:val="000000"/>
          <w:sz w:val="32"/>
          <w:szCs w:val="32"/>
        </w:rPr>
        <w:t>、</w:t>
      </w:r>
      <w:r>
        <w:rPr>
          <w:rFonts w:hint="eastAsia" w:ascii="楷体_GB2312" w:hAnsi="楷体_GB2312" w:eastAsia="楷体_GB2312" w:cs="楷体_GB2312"/>
          <w:bCs/>
          <w:color w:val="000000"/>
          <w:sz w:val="32"/>
          <w:szCs w:val="32"/>
        </w:rPr>
        <w:t>持续推进“四个一批”，抓好三年行动计划的落实。</w:t>
      </w:r>
      <w:r>
        <w:rPr>
          <w:rFonts w:hint="eastAsia" w:ascii="仿宋_GB2312" w:hAnsi="Times New Roman" w:eastAsia="仿宋_GB2312"/>
          <w:sz w:val="32"/>
          <w:szCs w:val="32"/>
        </w:rPr>
        <w:t>继续按照“新增建设一批优质楼宇、提升改造一批老旧楼宇、培育打造一批特色楼宇、盘活整合一批闲置楼宇”的“四个一批”发展思路，做优做精楼宇载体，推动楼宇总部经济升级集聚。力争</w:t>
      </w:r>
      <w:r>
        <w:rPr>
          <w:rFonts w:hint="eastAsia" w:ascii="Times New Roman" w:hAnsi="Times New Roman" w:eastAsia="仿宋_GB2312"/>
          <w:sz w:val="32"/>
          <w:szCs w:val="32"/>
        </w:rPr>
        <w:t>到</w:t>
      </w:r>
      <w:r>
        <w:rPr>
          <w:rFonts w:ascii="Times New Roman" w:hAnsi="Times New Roman" w:eastAsia="仿宋_GB2312"/>
          <w:sz w:val="32"/>
          <w:szCs w:val="32"/>
        </w:rPr>
        <w:t>2021</w:t>
      </w:r>
      <w:r>
        <w:rPr>
          <w:rFonts w:hint="eastAsia" w:ascii="Times New Roman" w:hAnsi="Times New Roman" w:eastAsia="仿宋_GB2312"/>
          <w:sz w:val="32"/>
          <w:szCs w:val="32"/>
        </w:rPr>
        <w:t>年新竣工楼宇</w:t>
      </w:r>
      <w:r>
        <w:rPr>
          <w:rFonts w:ascii="Times New Roman" w:hAnsi="Times New Roman" w:eastAsia="仿宋_GB2312"/>
          <w:sz w:val="32"/>
          <w:szCs w:val="32"/>
        </w:rPr>
        <w:t>30</w:t>
      </w:r>
      <w:r>
        <w:rPr>
          <w:rFonts w:hint="eastAsia" w:ascii="Times New Roman" w:hAnsi="Times New Roman" w:eastAsia="仿宋_GB2312"/>
          <w:sz w:val="32"/>
          <w:szCs w:val="32"/>
        </w:rPr>
        <w:t>万平方米，新增优质（或</w:t>
      </w:r>
      <w:r>
        <w:rPr>
          <w:rFonts w:ascii="Times New Roman" w:hAnsi="Times New Roman" w:eastAsia="仿宋_GB2312"/>
          <w:sz w:val="32"/>
          <w:szCs w:val="32"/>
        </w:rPr>
        <w:t>5A</w:t>
      </w:r>
      <w:r>
        <w:rPr>
          <w:rFonts w:hint="eastAsia" w:ascii="Times New Roman" w:hAnsi="Times New Roman" w:eastAsia="仿宋_GB2312"/>
          <w:sz w:val="32"/>
          <w:szCs w:val="32"/>
        </w:rPr>
        <w:t>）楼宇</w:t>
      </w:r>
      <w:r>
        <w:rPr>
          <w:rFonts w:ascii="Times New Roman" w:hAnsi="Times New Roman" w:eastAsia="仿宋_GB2312"/>
          <w:sz w:val="32"/>
          <w:szCs w:val="32"/>
        </w:rPr>
        <w:t>5</w:t>
      </w:r>
      <w:r>
        <w:rPr>
          <w:rFonts w:hint="eastAsia" w:ascii="Times New Roman" w:hAnsi="Times New Roman" w:eastAsia="仿宋_GB2312"/>
          <w:sz w:val="32"/>
          <w:szCs w:val="32"/>
        </w:rPr>
        <w:t>幢，改造楼宇达到</w:t>
      </w:r>
      <w:r>
        <w:rPr>
          <w:rFonts w:ascii="Times New Roman" w:hAnsi="Times New Roman" w:eastAsia="仿宋_GB2312"/>
          <w:sz w:val="32"/>
          <w:szCs w:val="32"/>
        </w:rPr>
        <w:t>20</w:t>
      </w:r>
      <w:r>
        <w:rPr>
          <w:rFonts w:hint="eastAsia" w:ascii="Times New Roman" w:hAnsi="Times New Roman" w:eastAsia="仿宋_GB2312"/>
          <w:sz w:val="32"/>
          <w:szCs w:val="32"/>
        </w:rPr>
        <w:t>万平方米，</w:t>
      </w:r>
      <w:r>
        <w:rPr>
          <w:rFonts w:hint="eastAsia" w:ascii="Times New Roman" w:hAnsi="仿宋_GB2312" w:eastAsia="仿宋_GB2312"/>
          <w:sz w:val="32"/>
          <w:szCs w:val="32"/>
        </w:rPr>
        <w:t>打造特色楼宇</w:t>
      </w:r>
      <w:r>
        <w:rPr>
          <w:rFonts w:ascii="Times New Roman" w:hAnsi="Times New Roman" w:eastAsia="仿宋_GB2312"/>
          <w:sz w:val="32"/>
          <w:szCs w:val="32"/>
        </w:rPr>
        <w:t>6</w:t>
      </w:r>
      <w:r>
        <w:rPr>
          <w:rFonts w:hint="eastAsia" w:ascii="Times New Roman" w:hAnsi="仿宋_GB2312" w:eastAsia="仿宋_GB2312"/>
          <w:sz w:val="32"/>
          <w:szCs w:val="32"/>
        </w:rPr>
        <w:t>幢，</w:t>
      </w:r>
      <w:r>
        <w:rPr>
          <w:rFonts w:hint="eastAsia" w:ascii="Times New Roman" w:hAnsi="Times New Roman" w:eastAsia="仿宋_GB2312"/>
          <w:sz w:val="32"/>
          <w:szCs w:val="32"/>
        </w:rPr>
        <w:t>盘活存量楼宇</w:t>
      </w:r>
      <w:r>
        <w:rPr>
          <w:rFonts w:ascii="Times New Roman" w:hAnsi="Times New Roman" w:eastAsia="仿宋_GB2312"/>
          <w:sz w:val="32"/>
          <w:szCs w:val="32"/>
        </w:rPr>
        <w:t>20</w:t>
      </w:r>
      <w:r>
        <w:rPr>
          <w:rFonts w:hint="eastAsia" w:ascii="Times New Roman" w:hAnsi="Times New Roman" w:eastAsia="仿宋_GB2312"/>
          <w:sz w:val="32"/>
          <w:szCs w:val="32"/>
        </w:rPr>
        <w:t>万平方米，</w:t>
      </w:r>
      <w:r>
        <w:rPr>
          <w:rFonts w:hint="eastAsia" w:ascii="Times New Roman" w:hAnsi="仿宋_GB2312" w:eastAsia="仿宋_GB2312"/>
          <w:sz w:val="32"/>
          <w:szCs w:val="32"/>
        </w:rPr>
        <w:t>楼宇空置率控制在</w:t>
      </w:r>
      <w:r>
        <w:rPr>
          <w:rFonts w:ascii="Times New Roman" w:hAnsi="Times New Roman" w:eastAsia="仿宋_GB2312"/>
          <w:sz w:val="32"/>
          <w:szCs w:val="32"/>
        </w:rPr>
        <w:t>10%</w:t>
      </w:r>
      <w:r>
        <w:rPr>
          <w:rFonts w:hint="eastAsia" w:ascii="Times New Roman" w:hAnsi="Times New Roman" w:eastAsia="仿宋_GB2312"/>
          <w:sz w:val="32"/>
          <w:szCs w:val="32"/>
        </w:rPr>
        <w:t>以内</w:t>
      </w:r>
      <w:r>
        <w:rPr>
          <w:rFonts w:hint="eastAsia" w:ascii="Times New Roman" w:hAnsi="仿宋_GB2312" w:eastAsia="仿宋_GB2312"/>
          <w:sz w:val="32"/>
          <w:szCs w:val="32"/>
        </w:rPr>
        <w:t>。</w:t>
      </w:r>
    </w:p>
    <w:p w14:paraId="1D02B57D">
      <w:pPr>
        <w:pStyle w:val="33"/>
        <w:spacing w:line="580" w:lineRule="exact"/>
        <w:ind w:firstLine="640"/>
        <w:rPr>
          <w:rFonts w:hint="eastAsia" w:ascii="Times New Roman" w:hAnsi="Times New Roman" w:eastAsia="楷体_GB2312"/>
          <w:sz w:val="32"/>
          <w:szCs w:val="32"/>
        </w:rPr>
      </w:pPr>
      <w:r>
        <w:rPr>
          <w:rFonts w:hint="eastAsia" w:ascii="楷体" w:hAnsi="楷体" w:eastAsia="楷体"/>
          <w:sz w:val="32"/>
          <w:szCs w:val="32"/>
        </w:rPr>
        <w:t>（二）</w:t>
      </w:r>
      <w:r>
        <w:rPr>
          <w:rFonts w:hint="eastAsia" w:ascii="楷体_GB2312" w:eastAsia="楷体_GB2312"/>
          <w:sz w:val="32"/>
          <w:szCs w:val="32"/>
        </w:rPr>
        <w:t>整合资源，提振夜游体验感。</w:t>
      </w:r>
      <w:r>
        <w:rPr>
          <w:rFonts w:hint="eastAsia" w:ascii="Times New Roman" w:hAnsi="Times New Roman" w:eastAsia="仿宋_GB2312"/>
          <w:sz w:val="32"/>
          <w:szCs w:val="32"/>
        </w:rPr>
        <w:t>通过科学规划布局、丰富消费业态、完善服务要件、强化宣传推广，拓展延伸夜间经济产业链，我区将以“</w:t>
      </w:r>
      <w:r>
        <w:rPr>
          <w:rFonts w:hint="eastAsia" w:ascii="仿宋_GB2312" w:eastAsia="仿宋_GB2312"/>
          <w:sz w:val="32"/>
          <w:szCs w:val="32"/>
        </w:rPr>
        <w:t>打造一个地标、培育八大品牌、多片区联动发展”为目标，利用3—5年时间，</w:t>
      </w:r>
      <w:r>
        <w:rPr>
          <w:rFonts w:hint="eastAsia" w:ascii="Times New Roman" w:hAnsi="Times New Roman" w:eastAsia="仿宋_GB2312"/>
          <w:sz w:val="32"/>
          <w:szCs w:val="32"/>
        </w:rPr>
        <w:t>逐步形成布局合理、业态多元、特色鲜明、功能完善、管理规范的夜间经济发展局面。“</w:t>
      </w:r>
      <w:r>
        <w:rPr>
          <w:rFonts w:hint="eastAsia" w:ascii="Times New Roman" w:hAnsi="Times New Roman" w:eastAsia="楷体_GB2312"/>
          <w:sz w:val="32"/>
          <w:szCs w:val="32"/>
        </w:rPr>
        <w:t>打造一个地标</w:t>
      </w:r>
      <w:r>
        <w:rPr>
          <w:rFonts w:hint="eastAsia" w:ascii="Times New Roman" w:hAnsi="Times New Roman" w:eastAsia="仿宋_GB2312"/>
          <w:sz w:val="32"/>
          <w:szCs w:val="32"/>
        </w:rPr>
        <w:t>”即将南屏街片区打造成高品质夜间经济集聚区，成为云南省和昆明市的夜间经济地标。“</w:t>
      </w:r>
      <w:r>
        <w:rPr>
          <w:rFonts w:hint="eastAsia" w:ascii="楷体_GB2312" w:eastAsia="楷体_GB2312"/>
          <w:sz w:val="32"/>
          <w:szCs w:val="32"/>
        </w:rPr>
        <w:t>培育八大品牌</w:t>
      </w:r>
      <w:r>
        <w:rPr>
          <w:rFonts w:hint="eastAsia" w:ascii="Times New Roman" w:hAnsi="Times New Roman" w:eastAsia="仿宋_GB2312"/>
          <w:sz w:val="32"/>
          <w:szCs w:val="32"/>
        </w:rPr>
        <w:t>”主要是</w:t>
      </w:r>
      <w:r>
        <w:rPr>
          <w:rFonts w:hint="eastAsia" w:ascii="仿宋_GB2312" w:eastAsia="仿宋_GB2312"/>
          <w:sz w:val="32"/>
          <w:szCs w:val="32"/>
        </w:rPr>
        <w:t>创新夜市经济发展理念和发展模式，结合五华区历史文化特点及商贸业发展情况，大力发展新型业态，引领新型消费，把“夜游特色街道”、“夜赏千年文化”、“夜品特色佳肴”、“夜购潮品百货”、“夜耍西北新城”、“夜读书香昆明”、“夜练强健体魄”、“夜住精品民宿”。作为打造五华区六大特色夜间经济活动的主要方向，实现商、旅、文、体全面融合、“</w:t>
      </w:r>
      <w:r>
        <w:rPr>
          <w:rFonts w:hint="eastAsia" w:ascii="Times New Roman" w:hAnsi="Times New Roman" w:eastAsia="楷体_GB2312"/>
          <w:sz w:val="32"/>
          <w:szCs w:val="32"/>
        </w:rPr>
        <w:t>多片联动发展</w:t>
      </w:r>
      <w:r>
        <w:rPr>
          <w:rFonts w:hint="eastAsia" w:ascii="仿宋_GB2312" w:eastAsia="仿宋_GB2312"/>
          <w:sz w:val="32"/>
          <w:szCs w:val="32"/>
        </w:rPr>
        <w:t>”主要是</w:t>
      </w:r>
      <w:r>
        <w:rPr>
          <w:rFonts w:hint="eastAsia" w:ascii="Times New Roman" w:hAnsi="Times New Roman" w:eastAsia="仿宋_GB2312"/>
          <w:sz w:val="32"/>
          <w:szCs w:val="32"/>
        </w:rPr>
        <w:t>依托商业中心区、历史文化街区、城市综合体、文体娱乐功能区、旅游景区和公园、有消费需求的背街小巷等对市民生活没有明显影响的区域合理布局居民夜间消费场所，按照</w:t>
      </w:r>
      <w:r>
        <w:rPr>
          <w:rFonts w:ascii="Times New Roman" w:hAnsi="Times New Roman" w:eastAsia="仿宋_GB2312"/>
          <w:sz w:val="32"/>
          <w:szCs w:val="32"/>
        </w:rPr>
        <w:t>“</w:t>
      </w:r>
      <w:r>
        <w:rPr>
          <w:rFonts w:hint="eastAsia" w:ascii="Times New Roman" w:hAnsi="Times New Roman" w:eastAsia="仿宋_GB2312"/>
          <w:sz w:val="32"/>
          <w:szCs w:val="32"/>
        </w:rPr>
        <w:t>一街一特色</w:t>
      </w:r>
      <w:r>
        <w:rPr>
          <w:rFonts w:ascii="Times New Roman" w:hAnsi="Times New Roman" w:eastAsia="仿宋_GB2312"/>
          <w:sz w:val="32"/>
          <w:szCs w:val="32"/>
        </w:rPr>
        <w:t>”</w:t>
      </w:r>
      <w:r>
        <w:rPr>
          <w:rFonts w:hint="eastAsia" w:ascii="Times New Roman" w:hAnsi="Times New Roman" w:eastAsia="仿宋_GB2312"/>
          <w:sz w:val="32"/>
          <w:szCs w:val="32"/>
        </w:rPr>
        <w:t>引导夜间经济示范街区差异化发展</w:t>
      </w:r>
    </w:p>
    <w:p w14:paraId="3672DE11">
      <w:pPr>
        <w:autoSpaceDE w:val="0"/>
        <w:spacing w:line="580" w:lineRule="exact"/>
        <w:ind w:firstLine="640" w:firstLineChars="200"/>
        <w:rPr>
          <w:rFonts w:ascii="仿宋_GB2312" w:eastAsia="仿宋_GB2312"/>
          <w:sz w:val="32"/>
          <w:szCs w:val="32"/>
        </w:rPr>
      </w:pPr>
      <w:r>
        <w:rPr>
          <w:rFonts w:hint="eastAsia" w:ascii="楷体" w:hAnsi="楷体" w:eastAsia="楷体"/>
          <w:sz w:val="32"/>
          <w:szCs w:val="32"/>
        </w:rPr>
        <w:t>（三）</w:t>
      </w:r>
      <w:r>
        <w:rPr>
          <w:rFonts w:hint="eastAsia" w:ascii="楷体_GB2312" w:eastAsia="楷体_GB2312"/>
          <w:sz w:val="32"/>
          <w:szCs w:val="32"/>
        </w:rPr>
        <w:t>完善消费硬件设施，加大宣传，打造夜间经济品牌。</w:t>
      </w:r>
      <w:r>
        <w:rPr>
          <w:rFonts w:hint="eastAsia" w:ascii="仿宋_GB2312" w:eastAsia="仿宋_GB2312"/>
          <w:sz w:val="32"/>
          <w:szCs w:val="32"/>
        </w:rPr>
        <w:t>严格按照街区的建设规划进行保护和开发建设，划定保护范围，坚决依法禁止在保护范围内的非法拆建活动。同时，充分考虑夜间经济特点，完善街区水电气供给、污水收集排放、生活垃圾清运及处理、公共厕所改造提升等配套设施。指导运营主体做好街景公共部分的打造、装饰照明、标识指引等工作，维持街区市容市貌规范有序，营造良好夜间消费氛围。加大街区宣传推广力度，通过报刊、广播、电视、网络、微信公众号等媒体和平台，广泛开展对两条特色街区夜间经济的系列宣传推广活动，按照线上与线下互动、传统与新兴结合的方式，开展各类特色鲜明的夜间经济主题活动。将夜间经济示范街区与南屏街申报第二批全国高品位步行街的工作有机结合起来，让夜间经济更加丰富多彩。</w:t>
      </w:r>
    </w:p>
    <w:p w14:paraId="1A35AB1E">
      <w:pPr>
        <w:pStyle w:val="32"/>
        <w:ind w:firstLine="803"/>
        <w:rPr>
          <w:rFonts w:hint="eastAsia" w:ascii="方正小标宋简体" w:hAnsi="黑体" w:eastAsia="方正小标宋简体"/>
          <w:b/>
          <w:color w:val="000000"/>
          <w:szCs w:val="32"/>
        </w:rPr>
      </w:pPr>
      <w:r>
        <w:rPr>
          <w:rFonts w:hint="eastAsia" w:ascii="方正小标宋简体" w:hAnsi="黑体" w:eastAsia="方正小标宋简体"/>
          <w:b/>
          <w:color w:val="000000"/>
        </w:rPr>
        <w:t>二、旅游</w:t>
      </w:r>
      <w:r>
        <w:rPr>
          <w:rFonts w:hint="eastAsia" w:ascii="方正小标宋简体" w:hAnsi="黑体" w:eastAsia="方正小标宋简体"/>
          <w:b/>
          <w:color w:val="000000"/>
          <w:szCs w:val="32"/>
        </w:rPr>
        <w:t>服务质量状况</w:t>
      </w:r>
    </w:p>
    <w:p w14:paraId="3D5B035D">
      <w:pPr>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（一）五华区旅游业发展概况和质量基本状况</w:t>
      </w:r>
    </w:p>
    <w:p w14:paraId="54C3E138">
      <w:pPr>
        <w:pStyle w:val="5"/>
        <w:ind w:firstLine="640" w:firstLineChars="200"/>
        <w:rPr>
          <w:rFonts w:ascii="仿宋_GB2312" w:hAnsi="仿宋_GB2312" w:cs="仿宋_GB2312"/>
          <w:szCs w:val="32"/>
        </w:rPr>
      </w:pPr>
      <w:r>
        <w:rPr>
          <w:rFonts w:hint="eastAsia" w:ascii="仿宋_GB2312" w:hAnsi="仿宋_GB2312" w:cs="仿宋_GB2312"/>
          <w:szCs w:val="32"/>
        </w:rPr>
        <w:t>新冠疫情</w:t>
      </w:r>
      <w:r>
        <w:rPr>
          <w:rFonts w:hint="eastAsia" w:ascii="仿宋_GB2312" w:hAnsi="仿宋_GB2312" w:cs="仿宋_GB2312"/>
          <w:szCs w:val="32"/>
          <w:lang w:val="en-US" w:eastAsia="zh-Hans"/>
        </w:rPr>
        <w:t>暴</w:t>
      </w:r>
      <w:r>
        <w:rPr>
          <w:rFonts w:hint="eastAsia" w:ascii="仿宋_GB2312" w:hAnsi="仿宋_GB2312" w:cs="仿宋_GB2312"/>
          <w:szCs w:val="32"/>
        </w:rPr>
        <w:t>发到目前常态化防疫阶段，我区旅游市场受损严重。一是由于疫情形势依然严峻，一季度我区景区景点基本处于关停状态，从二季度开始，景区景点也严格按照最大承载量的75%来接待游客，因此游客数量减少；二是应疫情防控要求及对公民健康考量，我区大型活动由于人员聚集、不利于防控而不得开展，因此旅游吸引力比去年下降。</w:t>
      </w:r>
      <w:r>
        <w:rPr>
          <w:rFonts w:hint="eastAsia" w:ascii="仿宋_GB2312" w:hAnsi="仿宋_GB2312" w:cs="仿宋_GB2312"/>
          <w:snapToGrid w:val="0"/>
          <w:kern w:val="32"/>
          <w:szCs w:val="32"/>
        </w:rPr>
        <w:t>截止2020年12月底，</w:t>
      </w:r>
      <w:r>
        <w:rPr>
          <w:rFonts w:hint="eastAsia" w:ascii="仿宋_GB2312" w:hAnsi="仿宋_GB2312" w:cs="仿宋_GB2312"/>
          <w:szCs w:val="32"/>
        </w:rPr>
        <w:t>五华区2020年度旅游经济指标完成情况为：</w:t>
      </w:r>
    </w:p>
    <w:p w14:paraId="4131AB03">
      <w:pPr>
        <w:pStyle w:val="5"/>
        <w:ind w:firstLine="640" w:firstLineChars="200"/>
        <w:rPr>
          <w:rFonts w:ascii="仿宋_GB2312" w:hAnsi="仿宋_GB2312" w:cs="仿宋_GB2312"/>
          <w:szCs w:val="32"/>
        </w:rPr>
      </w:pPr>
      <w:r>
        <w:rPr>
          <w:rFonts w:hint="eastAsia" w:ascii="仿宋_GB2312" w:hAnsi="仿宋_GB2312" w:cs="仿宋_GB2312"/>
          <w:szCs w:val="32"/>
        </w:rPr>
        <w:t>2020年全年，五华区累计接待游客1148.6万人次，恢复到同期水平的35%；实现旅游总收入185亿元，恢复到同期水平的36%。其中：宾馆住宿接待577.3万人次，恢复到同期水平的61%；接待乡村旅游游客的138.6万人次，恢复到同期水平的34%；实现旅游收入5.8亿元，恢复到同期水平的25%。</w:t>
      </w:r>
    </w:p>
    <w:p w14:paraId="797EDEB1">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随着疫情防控形势的不断好转，省、市、区采取一系列措施办法，旅游业发展正逐步恢复。较好的完成了清明、五一、端午、中秋，十一国庆等节假日旅游值班工作。区内旅游企业经营情况逐渐好转，市场秩序良好，未发生重大旅游投诉及旅游安全事故。</w:t>
      </w:r>
    </w:p>
    <w:p w14:paraId="796C3265">
      <w:pPr>
        <w:snapToGrid w:val="0"/>
        <w:spacing w:line="360" w:lineRule="auto"/>
        <w:ind w:firstLine="640" w:firstLineChars="200"/>
        <w:rPr>
          <w:rFonts w:ascii="仿宋_GB2312" w:hAnsi="仿宋_GB2312" w:eastAsia="仿宋_GB2312" w:cs="仿宋_GB2312"/>
          <w:b/>
          <w:sz w:val="32"/>
          <w:szCs w:val="32"/>
        </w:rPr>
      </w:pPr>
      <w:r>
        <w:rPr>
          <w:rFonts w:hint="eastAsia" w:ascii="黑体" w:hAnsi="黑体" w:eastAsia="黑体" w:cs="黑体"/>
          <w:sz w:val="32"/>
          <w:szCs w:val="32"/>
        </w:rPr>
        <w:t>（二）</w:t>
      </w:r>
      <w:r>
        <w:rPr>
          <w:rFonts w:hint="eastAsia" w:ascii="仿宋_GB2312" w:hAnsi="仿宋_GB2312" w:eastAsia="仿宋_GB2312" w:cs="仿宋_GB2312"/>
          <w:b/>
          <w:sz w:val="32"/>
          <w:szCs w:val="32"/>
        </w:rPr>
        <w:t>五华区旅游质量工作开展情况</w:t>
      </w:r>
    </w:p>
    <w:p w14:paraId="5ABD92EE">
      <w:pPr>
        <w:snapToGrid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1.加强组织领导，明确工作重点，确保旅游服务质量提升工作有序开展</w:t>
      </w:r>
    </w:p>
    <w:p w14:paraId="28C50D97">
      <w:pPr>
        <w:widowControl/>
        <w:snapToGrid w:val="0"/>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在旅游目的地建设方面，经过近几年的努力，已初步形成了以环翠湖带、圆通山为核心的休闲文化旅游片区，以昆明老街、南屏步行街、小西门商业区、祥云美食城等为核心的商贸文化旅游片区，以云南大学、云南师范大学等高校为中心的科教文化旅游片区，以云南陆军讲武堂、朱德旧居、聂耳故居、西南联大旧址为代表的红色旅游片区和以西翥乡村旅游示范点为龙头的乡村休闲度假旅游片区，五华区正逐渐成为昆明都市文化、历史文化、乡村休闲文化的核心区。 </w:t>
      </w:r>
    </w:p>
    <w:p w14:paraId="1C47E40B">
      <w:pPr>
        <w:snapToGrid w:val="0"/>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2.大力推进乡村旅游发展，全面做好乡村旅游振兴工作</w:t>
      </w:r>
    </w:p>
    <w:p w14:paraId="2AE9422A">
      <w:pPr>
        <w:adjustRightInd w:val="0"/>
        <w:snapToGrid w:val="0"/>
        <w:spacing w:line="360" w:lineRule="auto"/>
        <w:ind w:firstLine="563" w:firstLineChars="176"/>
        <w:rPr>
          <w:rFonts w:ascii="仿宋_GB2312" w:hAnsi="仿宋_GB2312" w:eastAsia="仿宋_GB2312" w:cs="仿宋_GB2312"/>
          <w:sz w:val="32"/>
          <w:szCs w:val="32"/>
        </w:rPr>
      </w:pPr>
      <w:r>
        <w:rPr>
          <w:rFonts w:hint="eastAsia" w:ascii="仿宋_GB2312" w:hAnsi="仿宋_GB2312" w:eastAsia="仿宋_GB2312" w:cs="仿宋_GB2312"/>
          <w:sz w:val="32"/>
          <w:szCs w:val="32"/>
        </w:rPr>
        <w:t>五华区乡村旅游重点在西翥街道办事处。截止目前，西翥办事处从事旅游经营的企业共计54家，其中有一定规模和代表性的是沙朗文创园、西游洞景区、云花谷、振峰都市农庄、大清塘都市农庄、西翥温泉田庄、阿哩哩风情寨等。近年来培育了云花谷及沙朗文创园等文旅亮点景区，云花谷花卉种植观光休闲体验园项目自2017年启动，计划总投资1.5亿元，于2019年9月21日正式开业，开业以来市场反应良好，得到了广大昆明市民喜爱，创下了较高的复游率。周边村民也纷纷利用餐饮、土特产、对外停车等形式为游客提供服务，收益不菲。云花谷的开业，有效带动了周边村组依靠旅游产业增收，2020年云花谷共完成投资614万元，累计接待入园游客约8万人次，实现旅游收入610万元。沙朗文创园于2020年正式营业，累计接待游客8万人次，实现旅游收入230万元。阿哩哩风情寨2020年累计接待游客100万人次，实现旅游收入150万元。</w:t>
      </w:r>
    </w:p>
    <w:p w14:paraId="7212E402">
      <w:pPr>
        <w:spacing w:line="360" w:lineRule="auto"/>
        <w:ind w:firstLine="643" w:firstLineChars="200"/>
        <w:rPr>
          <w:rFonts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3.全力做好招商引资工作，推进商旅文融合发展</w:t>
      </w:r>
    </w:p>
    <w:p w14:paraId="09313B01">
      <w:pPr>
        <w:spacing w:line="360" w:lineRule="auto"/>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为促进五华区经济的发展，推动招商引资工作，五华区文化和旅游局与昆明首创奥莱商业运营管理有限公司签订招商引资服务协议，投资昆明首创奥莱项目，以奥特莱斯、社区商业、商管物业配套、蹦床、餐饮为主；配套建设有道路、地下车库、广场、绿化等;总建筑面积136036.38㎡，绿地面积16983.57平方米。项目引入400多家国际精品品牌，致力于打造集合购物、餐饮、娱乐、休闲为一体的综合性商业，建设成为意大利托斯卡纳风情小镇街区式风格，并在全国奥莱体系中建设一个最大的穹顶。首创奥特莱斯于2017年6月经招拍挂方式成交后开工建设，于2020年12月19日盛大开业，首日销售近2000万，剑指春城奥莱冠军。</w:t>
      </w:r>
    </w:p>
    <w:p w14:paraId="04098789">
      <w:pPr>
        <w:pStyle w:val="5"/>
        <w:ind w:firstLine="643" w:firstLineChars="200"/>
        <w:rPr>
          <w:rFonts w:ascii="仿宋_GB2312" w:hAnsi="仿宋_GB2312" w:cs="仿宋_GB2312"/>
          <w:b/>
          <w:bCs/>
          <w:szCs w:val="32"/>
        </w:rPr>
      </w:pPr>
      <w:r>
        <w:rPr>
          <w:rFonts w:hint="eastAsia" w:ascii="仿宋_GB2312" w:hAnsi="仿宋_GB2312" w:cs="仿宋_GB2312"/>
          <w:b/>
          <w:bCs/>
          <w:szCs w:val="32"/>
        </w:rPr>
        <w:t>4.建设旅游厕所，推进“厕所革命”，提升旅游品质</w:t>
      </w:r>
    </w:p>
    <w:p w14:paraId="50DC681F">
      <w:pPr>
        <w:pStyle w:val="5"/>
        <w:ind w:firstLine="640" w:firstLineChars="200"/>
        <w:rPr>
          <w:rFonts w:ascii="仿宋_GB2312" w:hAnsi="仿宋_GB2312" w:cs="仿宋_GB2312"/>
          <w:szCs w:val="32"/>
        </w:rPr>
      </w:pPr>
      <w:r>
        <w:rPr>
          <w:rFonts w:hint="eastAsia" w:ascii="仿宋_GB2312" w:hAnsi="仿宋_GB2312" w:cs="仿宋_GB2312"/>
          <w:szCs w:val="32"/>
        </w:rPr>
        <w:t>2020年五华区文化和旅游局积极推进辖区内旅游厕所建设。共新建改建11座旅游厕所，其中新建10座，改建1座旅游厕所。共争取到省、市级补助资金320万元，其中省级补助资金50万元，市级补助资金270万元。截止2020年12月31日，11座旅游厕所建设任务全部按时按质按量完成，并投入使用。</w:t>
      </w:r>
    </w:p>
    <w:p w14:paraId="6CCDAFEB">
      <w:pPr>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5.加强信息化建设，实施科学化管理</w:t>
      </w:r>
    </w:p>
    <w:p w14:paraId="2DC603EE">
      <w:pPr>
        <w:spacing w:line="360" w:lineRule="auto"/>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乐享五华”平台自上线发布以来，定位于以旅游和消费为切入点，全方位宣传推广五华行政辖区内涉旅游消费的吃、住、行、游、购、娱六大要素和文化、历史、投资环境等情况，平台系统的展示了五华经济全景，已具备营销五华、宣传五华、经济数据统计及分析等方面的支撑基础。</w:t>
      </w:r>
    </w:p>
    <w:p w14:paraId="7FEFB2E4">
      <w:pPr>
        <w:spacing w:line="360" w:lineRule="auto"/>
        <w:ind w:firstLine="643" w:firstLineChars="200"/>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sz w:val="32"/>
          <w:szCs w:val="32"/>
          <w:shd w:val="clear" w:color="auto" w:fill="FFFFFF"/>
        </w:rPr>
        <w:t>6.抓好节前旅游安全工作，推进五华平安旅游建设</w:t>
      </w:r>
    </w:p>
    <w:p w14:paraId="7B05CBCA">
      <w:pPr>
        <w:spacing w:line="360" w:lineRule="auto"/>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为保障广大游客的生命财产安全，保证疫情防控、森林防火、食品安全等各项工作有效、有序地进行，五华区文化和旅游局于</w:t>
      </w:r>
      <w:r>
        <w:rPr>
          <w:rFonts w:hint="eastAsia" w:ascii="仿宋_GB2312" w:hAnsi="仿宋_GB2312" w:eastAsia="仿宋_GB2312" w:cs="仿宋_GB2312"/>
          <w:sz w:val="32"/>
          <w:szCs w:val="32"/>
          <w:shd w:val="clear" w:color="auto" w:fill="FFFFFF"/>
        </w:rPr>
        <w:t>各节假日前夕对辖区内各星级宾馆饭店、度假山庄、旅游企业开展平安旅游专项检查</w:t>
      </w:r>
      <w:r>
        <w:rPr>
          <w:rFonts w:hint="eastAsia" w:ascii="仿宋_GB2312" w:hAnsi="仿宋_GB2312" w:eastAsia="仿宋_GB2312" w:cs="仿宋_GB2312"/>
          <w:sz w:val="32"/>
          <w:szCs w:val="32"/>
        </w:rPr>
        <w:t>，一方面确保景区疫情防控工作到位，做好“扫码、戴口罩、测量体温、设立防疫应急室等内容；另一方面检查景区消防设施和食品安全保障工作到位，同时做好节假日旅游接待工作预案，严格按照行业规定，为游客提供优质规范的旅游接待服务。</w:t>
      </w:r>
    </w:p>
    <w:p w14:paraId="0B120F84">
      <w:pPr>
        <w:spacing w:line="360" w:lineRule="auto"/>
        <w:ind w:firstLine="643"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rPr>
        <w:t>（三）五华区旅游质量强区工作中存在的主要问题</w:t>
      </w:r>
    </w:p>
    <w:p w14:paraId="2836D411">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缺乏吸引力强、特色鲜明的旅游精品。我区的旅游资源分人文资源和自然资源，从人文资源来看，尽管我区文化积淀深厚，但能做成具有一定规模和影响力的旅游产品并不多，众多的文物点处于规模小、分散状态，其规模和辐射范围也比较有限，作为旅游市场开发的价值不大</w:t>
      </w:r>
    </w:p>
    <w:p w14:paraId="2D6FE10A">
      <w:pPr>
        <w:spacing w:line="360" w:lineRule="auto"/>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2、乡村旅游产品单一、同质化、深度化不够；民俗文化资源的产品化、产业化程度尚低，没有形成品牌化和系列化，缺乏精品，不能满足现代各级消费市场及各类游客的需要。</w:t>
      </w:r>
    </w:p>
    <w:p w14:paraId="02253A5F">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3、在A级景区打造，乡村旅游景区开发等工作中，遇到的困难是对应省、市旅游发展资金的区级旅发资金区级财政一直未配备等，未能形成合力打造五华国际旅游城市先行区。</w:t>
      </w:r>
    </w:p>
    <w:p w14:paraId="27F3F3F3">
      <w:pPr>
        <w:snapToGrid w:val="0"/>
        <w:spacing w:line="360" w:lineRule="auto"/>
        <w:ind w:firstLine="643" w:firstLineChars="200"/>
        <w:rPr>
          <w:rFonts w:ascii="仿宋_GB2312" w:hAnsi="仿宋_GB2312" w:eastAsia="仿宋_GB2312" w:cs="仿宋_GB2312"/>
          <w:b/>
          <w:sz w:val="32"/>
          <w:szCs w:val="32"/>
          <w:shd w:val="clear" w:color="auto" w:fill="F9FBFF"/>
        </w:rPr>
      </w:pPr>
      <w:r>
        <w:rPr>
          <w:rFonts w:hint="eastAsia" w:ascii="仿宋_GB2312" w:hAnsi="仿宋_GB2312" w:eastAsia="仿宋_GB2312" w:cs="仿宋_GB2312"/>
          <w:b/>
          <w:sz w:val="32"/>
          <w:szCs w:val="32"/>
        </w:rPr>
        <w:t>四、下一步工作思路和措施</w:t>
      </w:r>
    </w:p>
    <w:p w14:paraId="271FE3E6">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1、加强部门整体协作，质量强区工作是一个多部门协作开展的工作，让各部门及时掌握我区旅游服务质量活动进展情况，在各级部门的指导下才能把工作落到实处。</w:t>
      </w:r>
    </w:p>
    <w:p w14:paraId="7E694BAB">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根据辖区旅游市场前期整治结果，总结市场整治中取得的经验和不足，形成常态化工作机制，实现从事后处置向事前预防转变，从单一监管向综合监管转变，构建“长短结合、疏堵并重、标本兼治”的工作格局，努力营造更好的旅游市场环境。</w:t>
      </w:r>
    </w:p>
    <w:p w14:paraId="73D2608E">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3、加大政策扶持力度，鼓励我区旅游企业加大实施技术标准战略、争创名牌名品和技术创新的工作力度。建立质量强区工作制度，根据工作结果，兑现奖惩，培树典型、总结经验，督促各项工作落实。</w:t>
      </w:r>
    </w:p>
    <w:p w14:paraId="428EFF67">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4、建立资金投入和创新激励机制，根据我区质量强区工作的实际情况，对开展质量强区的宣传、教育培训、指导督促、年度考核、表彰奖励等各项具体工作给予经费保障。</w:t>
      </w:r>
    </w:p>
    <w:p w14:paraId="7CB9EF53">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5、广泛开展旅游质量宣传教育活动，加大对质量兴强区工作的宣传力度，充分利用电视、广播、报刊、网络等媒体。</w:t>
      </w:r>
      <w:r>
        <w:rPr>
          <w:rFonts w:hint="eastAsia" w:ascii="仿宋_GB2312" w:hAnsi="仿宋_GB2312" w:eastAsia="仿宋_GB2312" w:cs="仿宋_GB2312"/>
          <w:color w:val="000000"/>
          <w:sz w:val="32"/>
          <w:szCs w:val="32"/>
        </w:rPr>
        <w:t>持续加大旅游信息化建设工作，维护好“一部手机游云南”平台，继续扩大“乐享五华”旅游平台影响力，加大五华旅游宣传片、宣传册的宣传力度，大力对外宣传五华旅游，进一步提升五华旅游服务质量。</w:t>
      </w:r>
    </w:p>
    <w:p w14:paraId="00F014C8">
      <w:pPr>
        <w:pStyle w:val="5"/>
      </w:pPr>
    </w:p>
    <w:p w14:paraId="642329D4">
      <w:pPr>
        <w:spacing w:line="560" w:lineRule="exact"/>
        <w:rPr>
          <w:rFonts w:hint="eastAsia" w:ascii="黑体" w:hAnsi="黑体" w:eastAsia="黑体" w:cs="黑体"/>
          <w:sz w:val="32"/>
          <w:szCs w:val="32"/>
        </w:rPr>
      </w:pPr>
    </w:p>
    <w:p w14:paraId="15FFA014">
      <w:pPr>
        <w:spacing w:line="560" w:lineRule="exact"/>
        <w:rPr>
          <w:rFonts w:hint="eastAsia" w:ascii="黑体" w:hAnsi="黑体" w:eastAsia="黑体" w:cs="黑体"/>
          <w:sz w:val="32"/>
          <w:szCs w:val="32"/>
        </w:rPr>
      </w:pPr>
    </w:p>
    <w:p w14:paraId="6FE2BD43">
      <w:pPr>
        <w:spacing w:line="560" w:lineRule="exact"/>
        <w:rPr>
          <w:rFonts w:hint="eastAsia" w:ascii="黑体" w:hAnsi="黑体" w:eastAsia="黑体" w:cs="黑体"/>
          <w:sz w:val="32"/>
          <w:szCs w:val="32"/>
        </w:rPr>
      </w:pPr>
    </w:p>
    <w:p w14:paraId="3C9CDF33">
      <w:pPr>
        <w:spacing w:line="560" w:lineRule="exact"/>
        <w:rPr>
          <w:rFonts w:hint="eastAsia" w:ascii="黑体" w:hAnsi="黑体" w:eastAsia="黑体" w:cs="黑体"/>
          <w:sz w:val="32"/>
          <w:szCs w:val="32"/>
        </w:rPr>
      </w:pPr>
    </w:p>
    <w:p w14:paraId="30149A28">
      <w:pPr>
        <w:spacing w:line="560" w:lineRule="exact"/>
        <w:rPr>
          <w:rFonts w:hint="eastAsia" w:ascii="黑体" w:hAnsi="黑体" w:eastAsia="黑体" w:cs="黑体"/>
          <w:sz w:val="32"/>
          <w:szCs w:val="32"/>
        </w:rPr>
      </w:pPr>
    </w:p>
    <w:p w14:paraId="450E0E29">
      <w:pPr>
        <w:spacing w:line="560" w:lineRule="exact"/>
        <w:rPr>
          <w:rFonts w:hint="eastAsia" w:ascii="黑体" w:hAnsi="黑体" w:eastAsia="黑体" w:cs="黑体"/>
          <w:sz w:val="32"/>
          <w:szCs w:val="32"/>
        </w:rPr>
      </w:pPr>
    </w:p>
    <w:p w14:paraId="2CD0AD38">
      <w:pPr>
        <w:spacing w:line="560" w:lineRule="exact"/>
        <w:rPr>
          <w:rFonts w:hint="eastAsia" w:ascii="黑体" w:hAnsi="黑体" w:eastAsia="黑体" w:cs="黑体"/>
          <w:sz w:val="32"/>
          <w:szCs w:val="32"/>
        </w:rPr>
      </w:pPr>
    </w:p>
    <w:p w14:paraId="6E3AEB15">
      <w:pPr>
        <w:spacing w:line="560" w:lineRule="exact"/>
        <w:rPr>
          <w:rFonts w:hint="eastAsia" w:ascii="黑体" w:hAnsi="黑体" w:eastAsia="黑体" w:cs="黑体"/>
          <w:sz w:val="32"/>
          <w:szCs w:val="32"/>
        </w:rPr>
      </w:pPr>
    </w:p>
    <w:p w14:paraId="26BC53FD">
      <w:pPr>
        <w:spacing w:line="560" w:lineRule="exact"/>
        <w:rPr>
          <w:rFonts w:hint="eastAsia" w:ascii="黑体" w:hAnsi="黑体" w:eastAsia="黑体" w:cs="黑体"/>
          <w:sz w:val="32"/>
          <w:szCs w:val="32"/>
        </w:rPr>
      </w:pPr>
    </w:p>
    <w:p w14:paraId="10CE2B17">
      <w:pPr>
        <w:spacing w:line="560" w:lineRule="exact"/>
        <w:rPr>
          <w:rFonts w:hint="eastAsia" w:ascii="仿宋_GB2312" w:hAnsi="仿宋" w:eastAsia="仿宋_GB2312"/>
          <w:color w:val="000000"/>
          <w:sz w:val="32"/>
          <w:szCs w:val="32"/>
        </w:rPr>
      </w:pPr>
    </w:p>
    <w:p w14:paraId="1D4D2134">
      <w:pPr>
        <w:spacing w:line="360" w:lineRule="auto"/>
        <w:ind w:firstLine="803" w:firstLineChars="250"/>
        <w:jc w:val="left"/>
        <w:outlineLvl w:val="1"/>
        <w:rPr>
          <w:rFonts w:hint="eastAsia" w:ascii="仿宋_GB2312" w:hAnsi="Times New Roman" w:eastAsia="仿宋_GB2312"/>
          <w:b/>
          <w:bCs/>
          <w:color w:val="FF0000"/>
          <w:kern w:val="0"/>
          <w:sz w:val="32"/>
          <w:szCs w:val="32"/>
        </w:rPr>
      </w:pPr>
    </w:p>
    <w:p w14:paraId="59A764D6">
      <w:pPr>
        <w:pStyle w:val="32"/>
        <w:ind w:firstLine="803"/>
        <w:rPr>
          <w:rFonts w:hint="eastAsia" w:ascii="方正小标宋简体" w:hAnsi="黑体" w:eastAsia="方正小标宋简体"/>
          <w:b/>
          <w:color w:val="FF0000"/>
        </w:rPr>
      </w:pPr>
    </w:p>
    <w:p w14:paraId="082F1646">
      <w:pPr>
        <w:spacing w:line="360" w:lineRule="auto"/>
        <w:ind w:firstLine="630" w:firstLineChars="196"/>
        <w:rPr>
          <w:rFonts w:hint="eastAsia" w:ascii="方正小标宋简体" w:hAnsi="黑体" w:eastAsia="方正小标宋简体"/>
          <w:b/>
          <w:color w:val="FF0000"/>
          <w:sz w:val="32"/>
          <w:szCs w:val="32"/>
        </w:rPr>
      </w:pPr>
    </w:p>
    <w:p w14:paraId="715D1923">
      <w:pPr>
        <w:spacing w:line="360" w:lineRule="auto"/>
        <w:ind w:firstLine="627" w:firstLineChars="196"/>
        <w:rPr>
          <w:rFonts w:hint="eastAsia" w:ascii="方正小标宋简体" w:hAnsi="黑体" w:eastAsia="方正小标宋简体" w:cs="黑体"/>
          <w:bCs/>
          <w:color w:val="000000"/>
          <w:sz w:val="32"/>
          <w:szCs w:val="32"/>
        </w:rPr>
      </w:pPr>
    </w:p>
    <w:p w14:paraId="2178327C">
      <w:pPr>
        <w:pStyle w:val="33"/>
        <w:widowControl/>
        <w:ind w:firstLine="0" w:firstLineChars="0"/>
        <w:jc w:val="center"/>
        <w:rPr>
          <w:rFonts w:hint="eastAsia" w:ascii="黑体" w:hAnsi="黑体" w:eastAsia="黑体" w:cs="黑体"/>
          <w:bCs/>
          <w:color w:val="000000"/>
          <w:sz w:val="44"/>
          <w:szCs w:val="44"/>
        </w:rPr>
      </w:pPr>
    </w:p>
    <w:p w14:paraId="1E2C03FD">
      <w:pPr>
        <w:pStyle w:val="33"/>
        <w:widowControl/>
        <w:ind w:firstLine="0" w:firstLineChars="0"/>
        <w:jc w:val="center"/>
        <w:rPr>
          <w:rFonts w:hint="eastAsia" w:ascii="黑体" w:hAnsi="黑体" w:eastAsia="黑体" w:cs="黑体"/>
          <w:bCs/>
          <w:color w:val="000000"/>
          <w:sz w:val="44"/>
          <w:szCs w:val="44"/>
        </w:rPr>
      </w:pPr>
    </w:p>
    <w:p w14:paraId="4A13028F">
      <w:pPr>
        <w:pStyle w:val="33"/>
        <w:widowControl/>
        <w:ind w:firstLine="0" w:firstLineChars="0"/>
        <w:jc w:val="center"/>
        <w:rPr>
          <w:rFonts w:hint="eastAsia" w:ascii="黑体" w:hAnsi="黑体" w:eastAsia="黑体" w:cs="黑体"/>
          <w:bCs/>
          <w:color w:val="000000"/>
          <w:sz w:val="44"/>
          <w:szCs w:val="44"/>
        </w:rPr>
      </w:pPr>
    </w:p>
    <w:p w14:paraId="05D2A6C7">
      <w:pPr>
        <w:pStyle w:val="33"/>
        <w:widowControl/>
        <w:ind w:firstLine="0" w:firstLineChars="0"/>
        <w:jc w:val="center"/>
        <w:rPr>
          <w:rFonts w:hint="eastAsia" w:ascii="黑体" w:hAnsi="黑体" w:eastAsia="黑体" w:cs="黑体"/>
          <w:bCs/>
          <w:color w:val="000000"/>
          <w:sz w:val="44"/>
          <w:szCs w:val="44"/>
        </w:rPr>
      </w:pPr>
    </w:p>
    <w:p w14:paraId="1536243F">
      <w:pPr>
        <w:pStyle w:val="33"/>
        <w:widowControl/>
        <w:ind w:firstLine="0" w:firstLineChars="0"/>
        <w:rPr>
          <w:rFonts w:hint="eastAsia" w:ascii="黑体" w:hAnsi="黑体" w:eastAsia="黑体" w:cs="黑体"/>
          <w:bCs/>
          <w:color w:val="000000"/>
          <w:sz w:val="44"/>
          <w:szCs w:val="44"/>
        </w:rPr>
      </w:pPr>
    </w:p>
    <w:p w14:paraId="7390E397">
      <w:pPr>
        <w:pStyle w:val="33"/>
        <w:widowControl/>
        <w:ind w:firstLine="0" w:firstLineChars="0"/>
        <w:rPr>
          <w:rFonts w:hint="eastAsia" w:ascii="黑体" w:hAnsi="黑体" w:eastAsia="黑体" w:cs="黑体"/>
          <w:bCs/>
          <w:color w:val="FF0000"/>
          <w:sz w:val="44"/>
          <w:szCs w:val="44"/>
        </w:rPr>
      </w:pPr>
    </w:p>
    <w:p w14:paraId="190D077F">
      <w:pPr>
        <w:pStyle w:val="33"/>
        <w:widowControl/>
        <w:ind w:firstLine="0" w:firstLineChars="0"/>
        <w:jc w:val="center"/>
        <w:rPr>
          <w:rFonts w:hint="eastAsia" w:ascii="黑体" w:hAnsi="黑体" w:eastAsia="黑体" w:cs="黑体"/>
          <w:bCs/>
          <w:color w:val="000000"/>
          <w:sz w:val="44"/>
          <w:szCs w:val="44"/>
        </w:rPr>
      </w:pPr>
      <w:r>
        <w:rPr>
          <w:rFonts w:hint="eastAsia" w:ascii="黑体" w:hAnsi="黑体" w:eastAsia="黑体" w:cs="黑体"/>
          <w:bCs/>
          <w:color w:val="000000"/>
          <w:sz w:val="44"/>
          <w:szCs w:val="44"/>
        </w:rPr>
        <w:t>第八章  公共服务质量状况</w:t>
      </w:r>
    </w:p>
    <w:p w14:paraId="4A7BA4D9">
      <w:pPr>
        <w:pStyle w:val="32"/>
        <w:numPr>
          <w:ilvl w:val="0"/>
          <w:numId w:val="7"/>
        </w:numPr>
        <w:ind w:firstLineChars="0"/>
        <w:rPr>
          <w:rFonts w:hint="eastAsia" w:ascii="方正小标宋简体" w:eastAsia="方正小标宋简体"/>
          <w:b/>
          <w:szCs w:val="32"/>
        </w:rPr>
      </w:pPr>
      <w:r>
        <w:rPr>
          <w:rFonts w:hint="eastAsia" w:ascii="方正小标宋简体" w:eastAsia="方正小标宋简体"/>
          <w:b/>
          <w:szCs w:val="32"/>
        </w:rPr>
        <w:t>医疗卫生行业质量状况</w:t>
      </w:r>
    </w:p>
    <w:p w14:paraId="785B31FB">
      <w:pPr>
        <w:pStyle w:val="32"/>
        <w:ind w:firstLine="482" w:firstLineChars="150"/>
        <w:rPr>
          <w:rFonts w:hint="eastAsia" w:ascii="楷体_GB2312" w:eastAsia="楷体_GB2312"/>
          <w:b/>
          <w:szCs w:val="32"/>
        </w:rPr>
      </w:pPr>
      <w:r>
        <w:rPr>
          <w:rFonts w:hint="eastAsia" w:ascii="楷体_GB2312" w:eastAsia="楷体_GB2312"/>
          <w:b/>
          <w:szCs w:val="32"/>
        </w:rPr>
        <w:t>（一）医疗资源情况</w:t>
      </w:r>
    </w:p>
    <w:p w14:paraId="4CD41BA4">
      <w:pPr>
        <w:pStyle w:val="32"/>
        <w:ind w:firstLine="640" w:firstLineChars="200"/>
        <w:rPr>
          <w:rFonts w:hint="eastAsia"/>
          <w:szCs w:val="32"/>
        </w:rPr>
      </w:pPr>
      <w:r>
        <w:rPr>
          <w:rFonts w:hint="eastAsia"/>
          <w:szCs w:val="32"/>
        </w:rPr>
        <w:t>五华区现有持证医疗机构609家，医院16家，疾病预防控制机构1家，妇幼保健机构1家，社区卫生服务中心、站、门诊部、学校医务室、诊所等591家。</w:t>
      </w:r>
    </w:p>
    <w:p w14:paraId="19B5235C">
      <w:pPr>
        <w:pStyle w:val="32"/>
        <w:ind w:firstLine="643" w:firstLineChars="200"/>
        <w:rPr>
          <w:rFonts w:hint="eastAsia" w:ascii="楷体_GB2312" w:eastAsia="楷体_GB2312"/>
          <w:b/>
          <w:szCs w:val="32"/>
        </w:rPr>
      </w:pPr>
      <w:r>
        <w:rPr>
          <w:rFonts w:hint="eastAsia" w:ascii="楷体_GB2312" w:eastAsia="楷体_GB2312"/>
          <w:b/>
          <w:szCs w:val="32"/>
        </w:rPr>
        <w:t>（二）工作开展情况</w:t>
      </w:r>
    </w:p>
    <w:p w14:paraId="06D0917A">
      <w:pPr>
        <w:spacing w:line="560" w:lineRule="exact"/>
        <w:ind w:left="142" w:firstLine="640" w:firstLineChars="200"/>
        <w:rPr>
          <w:rFonts w:hint="eastAsia" w:ascii="仿宋_GB2312" w:eastAsia="仿宋_GB2312"/>
          <w:sz w:val="32"/>
          <w:szCs w:val="32"/>
        </w:rPr>
      </w:pPr>
      <w:r>
        <w:rPr>
          <w:rFonts w:hint="eastAsia" w:ascii="仿宋_GB2312" w:eastAsia="仿宋_GB2312"/>
          <w:sz w:val="32"/>
          <w:szCs w:val="32"/>
        </w:rPr>
        <w:t>1.强化医疗质量管理，保障医疗安全</w:t>
      </w:r>
    </w:p>
    <w:p w14:paraId="191860BB">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加强医疗安全管理，防范医疗安全事故发生。为进一步加强五华区医疗安全管理，防范医疗安全事件发生，切实维护人民群众身体健康和生命安全，根据国家、省卫生计生委关于加强医疗安全管理和风险防范相关文件精神，按照《昆明市医疗安全管理和风险防范专项整治工作方案》要求，对辖区内区级发证医疗机构开展医疗安全管理和风险防范专项整治活动。成立了五华区医疗安全管理和风险防范专项整治工作领导小组；组织全区区级发证各医院认真学习《医疗质量管理办法》，深刻分析了目前医疗安全质量管理面临的严峻形势。</w:t>
      </w:r>
    </w:p>
    <w:p w14:paraId="19D8DF6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加大医院医疗管理制度监管督查工作。对辖区内区级发证医院云南大学校医院、昆明圣民医院、昆明仁华医院、昆明中山医院、昆明天伦妇产医院等9家医疗机构进行督导检查，针对各医院医疗管理制度落实情况和院内感染重点部门、重点环节、重点科室安全风险进行一次彻底梳理排查，重点检查18项医疗质量安全核心制度是否执行到位，临床服务行为是否按要求规范，医疗质量安全事件是否实行分级管理等。要求各医院要认真落实主要负责人为医疗安全管理工作第一责任人的要求，周密安排、精心部署，做好医疗安全管理各项工作。</w:t>
      </w:r>
    </w:p>
    <w:p w14:paraId="7CFA9580">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（3）认真执行《执业医师法》、《护士管理办法》、《医疗机构管理条例》等医疗卫生法律、法规、规章和诊疗护理规范、常规， 严格按照《医疗机构执业许可证》的执业范围开展诊疗活动，严把临床从业人员准入关，依法加强管理，规范执业行为，预防医疗事故、差错的发生，确保医疗安全。</w:t>
      </w:r>
    </w:p>
    <w:p w14:paraId="2AC15A67">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严格执行《药品管理法》、《麻醉药品、一类精神药品管理条例》、《处方管理办法》、《抗菌药物临床应用指导原则》，落实相关工作制度；认真贯彻落实《全国抗菌药物临床应用专项整治活动方案》等有关文件精神，进一步加强抗菌药物临床应用管理，促进抗菌药物合理应用，有效遏制细菌耐药，合理控制医疗费用，保证医疗质量和医疗安全；建立药师制度，药师定期查房，开设药师咨询门诊。</w:t>
      </w:r>
    </w:p>
    <w:p w14:paraId="5A95E58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2.医疗卫生机构传染病防治</w:t>
      </w:r>
    </w:p>
    <w:p w14:paraId="5E92D4DC">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消毒与感染控制是控制交叉感染的必要环节，也是医疗卫生工作的重要组成部分，消毒和感染控制工作质量如何，直接关系到医疗质量和患者的安全。目前五华区现有持证医疗机构609家，为确保医疗卫生机构传染病防治分类监督工作有序开展，结合我区实际每年均制定工作方案，健全了制度，明确监督重点、监督要求，确保监督检查工作落实到位。 为了预防和控制医疗机构感染及传染病在医疗机构内的发生与传播，进一步提高医疗质量，2020年，按照昆明市卫健委的文件要求，依据相关法规和省、市的规范性文件，对辖区医疗机构进行全面、规范、彻底的“拉网式”监督检查。2020年，共检查各级各类医疗机构609家，其中：医院16家，疾病预防控制机构1家，妇幼保健机构1家，社区卫生服务中心、站、门诊部、学校医务室、诊所等591家。主要对医疗机构的传染病疫情报告、消毒隔离、医疗废物处置等情况进行了监督检查，医疗废物处置方面，各家医疗机构大部分都严格按照《医疗废物管理条例》等相关法律法规要求，对医疗废物进行收集、包装、运送、暂存处理。医疗废弃物污染物品均经严格消毒毁形处理，医疗废弃物回收人员的个人防护健康检查均能落实。在消毒隔离制度执行情况方面，大部分单位负责人都非常重视消毒隔离工作；制定了完善工作制度；执行各项制度的力度也呈逐年提高；并且能自觉加强自身管理。在传染病疫情报告方面，各单位传染病防治工作的各项措施已落实到位，各单位疫情报告基本规范，有专（兼）职疫情报告人员，传染病报告卡填写项目也基本齐全。通过监督检查初步摸清了五华区医疗卫生机构传染病防治工作的基本情况，查找出了工作中的薄弱环节。</w:t>
      </w:r>
    </w:p>
    <w:p w14:paraId="2FE1657F">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通过专项监督检查行动，进一步规范了医疗机构的医疗废弃物收集处置行为，加强了医疗废弃物的监督管理，保障了人民群众身体健康和生命安全。</w:t>
      </w:r>
    </w:p>
    <w:p w14:paraId="192BB2BA">
      <w:pPr>
        <w:spacing w:line="560" w:lineRule="exact"/>
        <w:ind w:firstLine="643" w:firstLineChars="200"/>
        <w:rPr>
          <w:rFonts w:hint="eastAsia" w:ascii="楷体_GB2312" w:eastAsia="楷体_GB2312"/>
          <w:b/>
          <w:sz w:val="32"/>
          <w:szCs w:val="32"/>
        </w:rPr>
      </w:pPr>
      <w:r>
        <w:rPr>
          <w:rFonts w:hint="eastAsia" w:ascii="楷体_GB2312" w:eastAsia="楷体_GB2312"/>
          <w:b/>
          <w:sz w:val="32"/>
          <w:szCs w:val="32"/>
        </w:rPr>
        <w:t>（三）疫苗接种规范</w:t>
      </w:r>
    </w:p>
    <w:p w14:paraId="32A3A68C">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目前五华区现有承担疫苗接种的医疗机构为：医院16家，疾病预防控制机构1家，妇幼保健机构1家，社区卫生服务中心10家，社区卫生服务站63家。为确保医疗卫生机构疫苗接种监督工作有序开展，结合我区实际每年均制定工作方案，健全了制度，明确监督重点、监督要求，确保监督检查工作落实到位。根据工作方案的要求，每年对辖区内医疗机构的疫苗接种情况开展监督检查。《中华人民共和国疫苗管理法》提出，药品监督管理部门应当加强对疫苗企业的现场检查，必要时，还可以对为疫苗研制、生产、流通等活动提供产品或服务的单位和个人进行延伸检查。卫生监督部门针对医疗机构疫苗使用环节进行监管。</w:t>
      </w:r>
    </w:p>
    <w:p w14:paraId="4CEAA770">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为认真落实《中华人民共和国传疫苗管理法》，加大对医疗服务市场监督执法力度。2020年，我区共新办、延续、校验、变更医疗机构执业许可证126户，累计监督检查各类医疗机构1235户次，监督频率达1.97次/户。全年先后组织开展了疫苗管理及预防接种工作专项监督检查4次，联合组织疾病预防与控制中心等相关部门，共出动卫生执法人员140人次，通过高强度的专项检查，进一步规范了我区的医疗机构依法疫苗接种活动。</w:t>
      </w:r>
    </w:p>
    <w:p w14:paraId="5ED3915C">
      <w:pPr>
        <w:spacing w:line="560" w:lineRule="exact"/>
        <w:ind w:firstLine="643" w:firstLineChars="200"/>
        <w:rPr>
          <w:rFonts w:hint="eastAsia" w:ascii="楷体_GB2312" w:eastAsia="楷体_GB2312"/>
          <w:b/>
          <w:sz w:val="32"/>
          <w:szCs w:val="32"/>
        </w:rPr>
      </w:pPr>
      <w:r>
        <w:rPr>
          <w:rFonts w:hint="eastAsia" w:ascii="楷体_GB2312" w:eastAsia="楷体_GB2312"/>
          <w:b/>
          <w:sz w:val="32"/>
          <w:szCs w:val="32"/>
        </w:rPr>
        <w:t>（四）医疗纠纷</w:t>
      </w:r>
    </w:p>
    <w:p w14:paraId="15986D90">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五华区卫生健康局贯彻落实《云南省卫生计生委等5部门关于全面推进医疗责任保险和医疗纠纷人民调解工作的实施意见》,要求辖区各级各类医疗机构开展医疗责任保险工作；五华区各街道司法所和人民调解委员会具体承担医疗纠纷人民调解工作，区卫生健康局与司法所和人民调解委员会建立了信息互通制度。</w:t>
      </w:r>
    </w:p>
    <w:p w14:paraId="2B5944BF">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现行医疗行为具有高风险的特点，医疗投诉和纠纷的产生的比例远高于其他行业。在解决医疗纠纷和投诉中，我们考虑到实际情况，结合相关法律法规制定出医院医疗纠纷和投诉处理模式和流程，重点预防与科学处置相结合。努力让医疗纠纷都得到妥善处理，尽量缓解医患双方纠纷对立，改善日益激化的医患关系，提升医疗质量。2020年受理医疗纠纷和投诉回复率100%,及时调解医患双方矛盾，取得良好的社区反响。</w:t>
      </w:r>
    </w:p>
    <w:p w14:paraId="298BFFCF">
      <w:pPr>
        <w:spacing w:line="560" w:lineRule="exact"/>
        <w:ind w:firstLine="643" w:firstLineChars="200"/>
        <w:rPr>
          <w:rFonts w:hint="eastAsia" w:ascii="方正小标宋简体" w:eastAsia="方正小标宋简体"/>
          <w:b/>
          <w:sz w:val="32"/>
          <w:szCs w:val="32"/>
        </w:rPr>
      </w:pPr>
      <w:r>
        <w:rPr>
          <w:rFonts w:hint="eastAsia" w:ascii="方正小标宋简体" w:eastAsia="方正小标宋简体"/>
          <w:b/>
          <w:sz w:val="32"/>
          <w:szCs w:val="32"/>
        </w:rPr>
        <w:t xml:space="preserve">（五）存在的主要问题 </w:t>
      </w:r>
    </w:p>
    <w:p w14:paraId="2DFE86F6">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1.卫生资源配置不够合理</w:t>
      </w:r>
    </w:p>
    <w:p w14:paraId="1C37AA62">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五华区卫生资源总体人均拥有量较高且增长较快，但分布不够平衡。因省、市级三甲医院扩张较快，导致基层卫生资源相对不足，设备落后，技术水平低，基层医疗预防保健网络有待进一步完善。</w:t>
      </w:r>
    </w:p>
    <w:p w14:paraId="4D84205F">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2.医疗服务的公平性不足</w:t>
      </w:r>
    </w:p>
    <w:p w14:paraId="677B87E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地区之间、不同人群的健康水平存在较大差别，难以满足社会多层次的医疗服务需求。低收入人群及流动人群的医疗卫生服务保障、质量和效率还有待进一步提高。</w:t>
      </w:r>
    </w:p>
    <w:p w14:paraId="68838E3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3.人才队伍结构不合理</w:t>
      </w:r>
    </w:p>
    <w:p w14:paraId="19B0AA3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随着人口增长和经济社会发展，群众医疗需求不断增长，服务范围明显扩大，人才储备不足的问题日益突出，基层社区卫生人才队伍建设有待加强，全科专业技术人才、高层次专业技术人才和管理人才缺乏，卫生科技创新能力有待提高。</w:t>
      </w:r>
    </w:p>
    <w:p w14:paraId="2F61BC08">
      <w:pPr>
        <w:spacing w:line="560" w:lineRule="exact"/>
        <w:ind w:firstLine="643" w:firstLineChars="200"/>
        <w:rPr>
          <w:rFonts w:hint="eastAsia" w:ascii="楷体_GB2312" w:eastAsia="楷体_GB2312"/>
          <w:b/>
          <w:sz w:val="32"/>
          <w:szCs w:val="32"/>
        </w:rPr>
      </w:pPr>
      <w:r>
        <w:rPr>
          <w:rFonts w:hint="eastAsia" w:ascii="楷体_GB2312" w:eastAsia="楷体_GB2312"/>
          <w:b/>
          <w:sz w:val="32"/>
          <w:szCs w:val="32"/>
        </w:rPr>
        <w:t>（六）下一步工作打算</w:t>
      </w:r>
    </w:p>
    <w:p w14:paraId="1853A00E">
      <w:pPr>
        <w:spacing w:line="560" w:lineRule="exact"/>
        <w:ind w:firstLine="480" w:firstLineChars="150"/>
        <w:rPr>
          <w:rFonts w:hint="eastAsia" w:ascii="仿宋_GB2312" w:eastAsia="仿宋_GB2312"/>
          <w:sz w:val="32"/>
          <w:szCs w:val="32"/>
        </w:rPr>
      </w:pPr>
      <w:r>
        <w:rPr>
          <w:rFonts w:hint="eastAsia" w:ascii="仿宋_GB2312" w:eastAsia="仿宋_GB2312"/>
          <w:sz w:val="32"/>
          <w:szCs w:val="32"/>
        </w:rPr>
        <w:t>1.做好人才的培养和引进。基层医疗机构人才缺乏是普遍现象，各医疗单位要把人才培养和引进作为重点，多种形式培养和引进人才，特别是临床医生，采取招聘、进修学习等形式，快速提升能力和水平，人才建设是提升医疗服务质量与水平的关键和基层。</w:t>
      </w:r>
    </w:p>
    <w:p w14:paraId="29EA33C8">
      <w:pPr>
        <w:spacing w:line="560" w:lineRule="exact"/>
        <w:ind w:firstLine="480" w:firstLineChars="150"/>
        <w:rPr>
          <w:rFonts w:hint="eastAsia" w:ascii="仿宋_GB2312" w:eastAsia="仿宋_GB2312"/>
          <w:sz w:val="32"/>
          <w:szCs w:val="32"/>
        </w:rPr>
      </w:pPr>
      <w:r>
        <w:rPr>
          <w:rFonts w:hint="eastAsia" w:ascii="仿宋_GB2312" w:eastAsia="仿宋_GB2312"/>
          <w:sz w:val="32"/>
          <w:szCs w:val="32"/>
        </w:rPr>
        <w:t>2.加强医疗环境建设，提升就医感受。各医疗单位要做好环境卫生工作，加强环境建设，对环境破旧的医疗办公用房要坚决改造装修，进一步优化医疗布局流程，最大程度提高患者舒适度，提升就医感受。</w:t>
      </w:r>
    </w:p>
    <w:p w14:paraId="2089B309">
      <w:pPr>
        <w:spacing w:line="560" w:lineRule="exact"/>
        <w:ind w:firstLine="480" w:firstLineChars="150"/>
        <w:rPr>
          <w:rFonts w:hint="eastAsia" w:ascii="仿宋_GB2312" w:eastAsia="仿宋_GB2312"/>
          <w:sz w:val="32"/>
          <w:szCs w:val="32"/>
        </w:rPr>
      </w:pPr>
      <w:r>
        <w:rPr>
          <w:rFonts w:hint="eastAsia" w:ascii="仿宋_GB2312" w:eastAsia="仿宋_GB2312"/>
          <w:sz w:val="32"/>
          <w:szCs w:val="32"/>
        </w:rPr>
        <w:t>3.改善服务态度和质量。加强职业教育，强化制度建设和考核，坚决杜绝生、冷、硬的服务，大力提倡医疗服务的职业化、专业化、人文化、亲情化。</w:t>
      </w:r>
    </w:p>
    <w:p w14:paraId="7BB43518">
      <w:pPr>
        <w:spacing w:line="560" w:lineRule="exact"/>
        <w:ind w:firstLine="480" w:firstLineChars="150"/>
        <w:rPr>
          <w:rFonts w:hint="eastAsia" w:ascii="仿宋_GB2312" w:eastAsia="仿宋_GB2312"/>
          <w:sz w:val="32"/>
          <w:szCs w:val="32"/>
        </w:rPr>
      </w:pPr>
      <w:r>
        <w:rPr>
          <w:rFonts w:hint="eastAsia" w:ascii="仿宋_GB2312" w:eastAsia="仿宋_GB2312"/>
          <w:sz w:val="32"/>
          <w:szCs w:val="32"/>
        </w:rPr>
        <w:t>4.继续做好与各级医院的技术合作关系，利用三级医院专家资源，提高我区医务人员的技术水平，建立完善专家出诊、双向转诊、定期义诊等制度。有效提升我区医疗服务质量和水平。</w:t>
      </w:r>
    </w:p>
    <w:p w14:paraId="0857AB22">
      <w:pPr>
        <w:spacing w:line="560" w:lineRule="exact"/>
        <w:ind w:firstLine="643" w:firstLineChars="200"/>
        <w:rPr>
          <w:rFonts w:ascii="Times New Roman" w:hAnsi="Times New Roman" w:eastAsia="黑体"/>
          <w:color w:val="000000"/>
          <w:kern w:val="0"/>
          <w:sz w:val="32"/>
          <w:szCs w:val="32"/>
        </w:rPr>
      </w:pPr>
      <w:r>
        <w:rPr>
          <w:rFonts w:hint="eastAsia" w:ascii="方正小标宋简体" w:hAnsi="黑体" w:eastAsia="方正小标宋简体"/>
          <w:b/>
          <w:sz w:val="32"/>
          <w:szCs w:val="32"/>
        </w:rPr>
        <w:t>二、</w:t>
      </w:r>
      <w:r>
        <w:rPr>
          <w:rFonts w:ascii="Times New Roman" w:hAnsi="黑体" w:eastAsia="黑体"/>
          <w:color w:val="000000"/>
          <w:kern w:val="0"/>
          <w:sz w:val="32"/>
          <w:szCs w:val="32"/>
        </w:rPr>
        <w:t>五华区养老服务产业基本情况</w:t>
      </w:r>
    </w:p>
    <w:p w14:paraId="6A1BA5E2">
      <w:pPr>
        <w:pStyle w:val="32"/>
        <w:ind w:firstLine="640" w:firstLineChars="200"/>
        <w:rPr>
          <w:rFonts w:ascii="Times New Roman" w:hAnsi="Times New Roman" w:eastAsia="楷体_GB2312"/>
          <w:color w:val="000000"/>
          <w:szCs w:val="32"/>
        </w:rPr>
      </w:pPr>
      <w:r>
        <w:rPr>
          <w:rFonts w:ascii="Times New Roman" w:hAnsi="Times New Roman" w:eastAsia="楷体_GB2312"/>
          <w:color w:val="000000"/>
          <w:szCs w:val="32"/>
        </w:rPr>
        <w:t>（一）全区人口老龄化现状</w:t>
      </w:r>
    </w:p>
    <w:p w14:paraId="74B2115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五华区是全省较早进入老龄社会的县区之一，早在2012年五华区已进入老龄化行列(60岁以上老人达到或超过10%)。截至2020年</w:t>
      </w:r>
      <w:r>
        <w:rPr>
          <w:rFonts w:hint="eastAsia" w:ascii="Times New Roman" w:hAnsi="Times New Roman" w:eastAsia="仿宋_GB2312"/>
          <w:color w:val="000000"/>
          <w:sz w:val="32"/>
          <w:szCs w:val="32"/>
        </w:rPr>
        <w:t>12</w:t>
      </w:r>
      <w:r>
        <w:rPr>
          <w:rFonts w:ascii="Times New Roman" w:hAnsi="Times New Roman" w:eastAsia="仿宋_GB2312"/>
          <w:color w:val="000000"/>
          <w:sz w:val="32"/>
          <w:szCs w:val="32"/>
        </w:rPr>
        <w:t>月，全区户籍人口66.58万人，60周岁以上老年人口14.29万人，占全区户籍总人口的21.46%（比全国高出3.3%）(较去年同期增长3400多人)。其中，60-64岁老年人37104人、65-69岁老年人34786人、70-74岁老年人24880人、75-79岁老年人18213人、80-84岁老年人14592人、85-89岁老年人8521人、90-94岁老年人3555人、95-99岁老年人1212人、百岁老人31人。我区总体呈现进入老年化社会早，基数大，增速快的现状。</w:t>
      </w:r>
    </w:p>
    <w:p w14:paraId="5E812B64">
      <w:pPr>
        <w:spacing w:line="560" w:lineRule="exact"/>
        <w:ind w:firstLine="640" w:firstLineChars="200"/>
        <w:rPr>
          <w:rFonts w:ascii="Times New Roman" w:hAnsi="Times New Roman" w:eastAsia="楷体_GB2312"/>
          <w:color w:val="000000"/>
          <w:sz w:val="32"/>
          <w:szCs w:val="32"/>
        </w:rPr>
      </w:pPr>
      <w:r>
        <w:rPr>
          <w:rFonts w:ascii="Times New Roman" w:hAnsi="Times New Roman" w:eastAsia="楷体_GB2312"/>
          <w:color w:val="000000"/>
          <w:sz w:val="32"/>
          <w:szCs w:val="32"/>
        </w:rPr>
        <w:t>（二）全区居家养老和机构养老现状</w:t>
      </w:r>
    </w:p>
    <w:p w14:paraId="5A862596">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截至</w:t>
      </w:r>
      <w:r>
        <w:rPr>
          <w:rFonts w:ascii="Times New Roman" w:hAnsi="Times New Roman" w:eastAsia="仿宋_GB2312"/>
          <w:color w:val="000000"/>
          <w:kern w:val="0"/>
          <w:sz w:val="32"/>
          <w:szCs w:val="32"/>
        </w:rPr>
        <w:t>目前，</w:t>
      </w:r>
      <w:r>
        <w:rPr>
          <w:rFonts w:ascii="Times New Roman" w:hAnsi="Times New Roman" w:eastAsia="仿宋_GB2312"/>
          <w:color w:val="000000"/>
          <w:sz w:val="32"/>
          <w:szCs w:val="32"/>
        </w:rPr>
        <w:t>五华区共建有社区居家养老服务中心22个，全区10家街道覆盖率达到100%，101个社区覆盖率达到21.78%，共有床位数440张。全区共有养老机构12家（含省属公办养老机构1家、市属公办养老机构1家，区属民办养老机构10家），共有床位数3462张，千名老人床位数24张，共收住老年人1443人，床位入住率为41.6%，10家街道办事处机构养老覆盖率达70%。2017年以来，五华区全面启动医养结合工作，合理配置整合医疗、养老等服务资源，实现以医带养、以养促医、医养结合的工作目标。</w:t>
      </w:r>
      <w:r>
        <w:rPr>
          <w:rFonts w:ascii="Times New Roman" w:hAnsi="Times New Roman" w:eastAsia="仿宋_GB2312"/>
          <w:color w:val="000000"/>
          <w:kern w:val="0"/>
          <w:sz w:val="32"/>
          <w:szCs w:val="32"/>
        </w:rPr>
        <w:t>目前，共有医养结合养老机构5家（分别是五华区三一一养老护理院、五华区柏寿乐福老年公寓、五华区新闻里长者照护之家、五华区仁华养老服务有限公司和五华区友康医养康复中心）。</w:t>
      </w:r>
    </w:p>
    <w:p w14:paraId="34A43A35">
      <w:pPr>
        <w:spacing w:line="560" w:lineRule="exact"/>
        <w:ind w:firstLine="640" w:firstLineChars="200"/>
        <w:rPr>
          <w:rFonts w:ascii="Times New Roman" w:hAnsi="Times New Roman" w:eastAsia="仿宋_GB2312"/>
          <w:color w:val="000000"/>
          <w:sz w:val="32"/>
          <w:szCs w:val="32"/>
        </w:rPr>
      </w:pPr>
      <w:r>
        <w:rPr>
          <w:rFonts w:hint="eastAsia" w:ascii="Times New Roman" w:hAnsi="黑体" w:eastAsia="黑体"/>
          <w:color w:val="000000"/>
          <w:kern w:val="0"/>
          <w:sz w:val="32"/>
          <w:szCs w:val="32"/>
        </w:rPr>
        <w:t>（一）</w:t>
      </w:r>
      <w:r>
        <w:rPr>
          <w:rFonts w:ascii="Times New Roman" w:hAnsi="黑体" w:eastAsia="黑体"/>
          <w:color w:val="000000"/>
          <w:kern w:val="0"/>
          <w:sz w:val="32"/>
          <w:szCs w:val="32"/>
        </w:rPr>
        <w:t>推进养老服务产业发展的主要做法及成效</w:t>
      </w:r>
    </w:p>
    <w:p w14:paraId="3ECEDB2F">
      <w:pPr>
        <w:spacing w:line="560" w:lineRule="exact"/>
        <w:ind w:firstLine="645"/>
        <w:rPr>
          <w:rFonts w:ascii="Times New Roman" w:hAnsi="Times New Roman" w:eastAsia="仿宋_GB2312"/>
          <w:color w:val="000000"/>
          <w:kern w:val="0"/>
          <w:sz w:val="32"/>
          <w:szCs w:val="32"/>
        </w:rPr>
      </w:pPr>
      <w:r>
        <w:rPr>
          <w:rFonts w:ascii="Times New Roman" w:hAnsi="Times New Roman" w:eastAsia="仿宋_GB2312"/>
          <w:b/>
          <w:color w:val="000000"/>
          <w:sz w:val="32"/>
          <w:szCs w:val="32"/>
        </w:rPr>
        <w:t>一是</w:t>
      </w:r>
      <w:r>
        <w:rPr>
          <w:rFonts w:ascii="Times New Roman" w:hAnsi="Times New Roman" w:eastAsia="仿宋_GB2312"/>
          <w:color w:val="000000"/>
          <w:sz w:val="32"/>
          <w:szCs w:val="32"/>
        </w:rPr>
        <w:t>积极推动社会力量兴办养老服务机构。通过放宽准入制度，进一步鼓励民间资本进入养老服务市场，满足老年人持</w:t>
      </w:r>
      <w:r>
        <w:rPr>
          <w:rFonts w:ascii="Times New Roman" w:hAnsi="Times New Roman" w:eastAsia="仿宋_GB2312"/>
          <w:color w:val="000000"/>
          <w:kern w:val="0"/>
          <w:sz w:val="32"/>
          <w:szCs w:val="32"/>
        </w:rPr>
        <w:t>续增长的养老服务需求。截至2020年</w:t>
      </w:r>
      <w:r>
        <w:rPr>
          <w:rFonts w:hint="eastAsia" w:ascii="Times New Roman" w:hAnsi="Times New Roman" w:eastAsia="仿宋_GB2312"/>
          <w:color w:val="000000"/>
          <w:kern w:val="0"/>
          <w:sz w:val="32"/>
          <w:szCs w:val="32"/>
        </w:rPr>
        <w:t>12</w:t>
      </w:r>
      <w:r>
        <w:rPr>
          <w:rFonts w:ascii="Times New Roman" w:hAnsi="Times New Roman" w:eastAsia="仿宋_GB2312"/>
          <w:color w:val="000000"/>
          <w:kern w:val="0"/>
          <w:sz w:val="32"/>
          <w:szCs w:val="32"/>
        </w:rPr>
        <w:t>月，我区共有民营养老机构10家，在全部养老机构数量的83.33%，目前还2家民营养老机构正在已提出建设申请，1家民营机构有意入住五华投资新建养老机构。</w:t>
      </w:r>
    </w:p>
    <w:p w14:paraId="6F31A3E5">
      <w:pPr>
        <w:spacing w:line="560" w:lineRule="exact"/>
        <w:ind w:firstLine="645"/>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二是</w:t>
      </w:r>
      <w:r>
        <w:rPr>
          <w:rFonts w:ascii="Times New Roman" w:hAnsi="Times New Roman" w:eastAsia="仿宋_GB2312"/>
          <w:color w:val="000000"/>
          <w:kern w:val="0"/>
          <w:sz w:val="32"/>
          <w:szCs w:val="32"/>
        </w:rPr>
        <w:t>与各街道、社区形成紧密联系、互惠互助的良好合作格局。对辖区内各社区的情况进行充分走访调研，了解社区老人现状和需求情况，认真完成新建社区居家养老服务中心目标任务。社区居家养老服务中心已实现街道全覆盖。</w:t>
      </w:r>
    </w:p>
    <w:p w14:paraId="1D0AFA31">
      <w:pPr>
        <w:spacing w:line="560" w:lineRule="exact"/>
        <w:ind w:firstLine="645"/>
        <w:rPr>
          <w:rFonts w:ascii="Times New Roman" w:hAnsi="Times New Roman" w:eastAsia="仿宋_GB2312"/>
          <w:color w:val="000000"/>
          <w:sz w:val="32"/>
          <w:szCs w:val="32"/>
        </w:rPr>
      </w:pPr>
      <w:r>
        <w:rPr>
          <w:rFonts w:ascii="Times New Roman" w:hAnsi="Times New Roman" w:eastAsia="仿宋_GB2312"/>
          <w:b/>
          <w:bCs/>
          <w:color w:val="000000"/>
          <w:sz w:val="32"/>
          <w:szCs w:val="32"/>
        </w:rPr>
        <w:t>三是</w:t>
      </w:r>
      <w:r>
        <w:rPr>
          <w:rFonts w:ascii="Times New Roman" w:hAnsi="Times New Roman" w:eastAsia="仿宋_GB2312"/>
          <w:color w:val="000000"/>
          <w:sz w:val="32"/>
          <w:szCs w:val="32"/>
        </w:rPr>
        <w:t>建立健全发展养老事业工作措施，出台完善养老服务政策。为鼓励支持和规范养老服务发展，五华区相继制定出台了《五华区关于加快发展养老服务业的实施意见》《五华区人民政府办公室关于全面放开养老服务市场提升养老服务质量的实施方案》等一系列文件，通过采取政策引导、社会兴办、市场推动、财政扶持、典型带动、宣传发动、督导促动等一系列举措，对全区养老服务工作的体系框架、目标任务、政策措施等方面作了明确要求，并对各项目标任务进行了分解细化，促进了五华区养老服务工作在新起点上实现了新的突破。</w:t>
      </w:r>
    </w:p>
    <w:p w14:paraId="44DAC61E">
      <w:pPr>
        <w:spacing w:line="560" w:lineRule="exact"/>
        <w:ind w:firstLine="645"/>
        <w:rPr>
          <w:rFonts w:ascii="Times New Roman" w:hAnsi="Times New Roman" w:eastAsia="仿宋_GB2312"/>
          <w:color w:val="000000"/>
          <w:sz w:val="32"/>
          <w:szCs w:val="32"/>
        </w:rPr>
      </w:pPr>
      <w:r>
        <w:rPr>
          <w:rFonts w:ascii="Times New Roman" w:hAnsi="Times New Roman" w:eastAsia="仿宋_GB2312"/>
          <w:b/>
          <w:bCs/>
          <w:color w:val="000000"/>
          <w:sz w:val="32"/>
          <w:szCs w:val="32"/>
        </w:rPr>
        <w:t>四是</w:t>
      </w:r>
      <w:r>
        <w:rPr>
          <w:rFonts w:ascii="Times New Roman" w:hAnsi="Times New Roman" w:eastAsia="仿宋_GB2312"/>
          <w:color w:val="000000"/>
          <w:sz w:val="32"/>
          <w:szCs w:val="32"/>
        </w:rPr>
        <w:t>加大政府扶持力度，支持养老服务发展。对新建、改建、购置、租赁等方式，因地制宜建设养老服务设施的，按分类分级投入，配套相应补助资金。近两年来，区委、区政府通过财政投入、福彩公益金资助、上级项目支持等途径，先后投入资金500余万元，新建或改扩建4家民办养老机构，增加床位数516张。</w:t>
      </w:r>
    </w:p>
    <w:p w14:paraId="6B43EBB8">
      <w:pPr>
        <w:spacing w:line="560" w:lineRule="exact"/>
        <w:ind w:firstLine="645"/>
        <w:rPr>
          <w:rFonts w:ascii="Times New Roman" w:hAnsi="Times New Roman" w:eastAsia="仿宋_GB2312"/>
          <w:bCs/>
          <w:color w:val="000000"/>
          <w:sz w:val="32"/>
          <w:szCs w:val="32"/>
        </w:rPr>
      </w:pPr>
      <w:r>
        <w:rPr>
          <w:rFonts w:ascii="Times New Roman" w:hAnsi="Times New Roman" w:eastAsia="仿宋_GB2312"/>
          <w:b/>
          <w:bCs/>
          <w:color w:val="000000"/>
          <w:sz w:val="32"/>
          <w:szCs w:val="32"/>
        </w:rPr>
        <w:t>五是</w:t>
      </w:r>
      <w:r>
        <w:rPr>
          <w:rFonts w:ascii="Times New Roman" w:hAnsi="Times New Roman" w:eastAsia="仿宋_GB2312"/>
          <w:bCs/>
          <w:color w:val="000000"/>
          <w:sz w:val="32"/>
          <w:szCs w:val="32"/>
        </w:rPr>
        <w:t>首创昆明市农村老年人生活补助。为提高我区农村老年人幸福指数、共享五华发展成果，在全市县区率先出台《五华区关于60-79岁农村老年人生活补助的实施办法（试行》，截止20</w:t>
      </w:r>
      <w:r>
        <w:rPr>
          <w:rFonts w:hint="eastAsia" w:ascii="Times New Roman" w:hAnsi="Times New Roman" w:eastAsia="仿宋_GB2312"/>
          <w:bCs/>
          <w:color w:val="000000"/>
          <w:sz w:val="32"/>
          <w:szCs w:val="32"/>
        </w:rPr>
        <w:t>20</w:t>
      </w:r>
      <w:r>
        <w:rPr>
          <w:rFonts w:ascii="Times New Roman" w:hAnsi="Times New Roman" w:eastAsia="仿宋_GB2312"/>
          <w:bCs/>
          <w:color w:val="000000"/>
          <w:sz w:val="32"/>
          <w:szCs w:val="32"/>
        </w:rPr>
        <w:t xml:space="preserve">年，共计发放农村老年人生活补助金1104.13万元，惠及西翥、普吉、黑林铺、莲华等四家街道涉农社区老年人44584人次。 </w:t>
      </w:r>
    </w:p>
    <w:p w14:paraId="6EF42E2D">
      <w:pPr>
        <w:spacing w:line="560" w:lineRule="exact"/>
        <w:ind w:firstLine="640" w:firstLineChars="200"/>
        <w:rPr>
          <w:rFonts w:ascii="Times New Roman" w:hAnsi="Times New Roman" w:eastAsia="黑体"/>
          <w:color w:val="000000"/>
          <w:kern w:val="0"/>
          <w:sz w:val="32"/>
          <w:szCs w:val="32"/>
        </w:rPr>
      </w:pPr>
      <w:r>
        <w:rPr>
          <w:rFonts w:hint="eastAsia" w:ascii="Times New Roman" w:hAnsi="黑体" w:eastAsia="黑体"/>
          <w:color w:val="000000"/>
          <w:sz w:val="32"/>
          <w:szCs w:val="32"/>
        </w:rPr>
        <w:t>（二）</w:t>
      </w:r>
      <w:r>
        <w:rPr>
          <w:rFonts w:ascii="Times New Roman" w:hAnsi="黑体" w:eastAsia="黑体"/>
          <w:color w:val="000000"/>
          <w:kern w:val="0"/>
          <w:sz w:val="32"/>
          <w:szCs w:val="32"/>
        </w:rPr>
        <w:t>存在的主要问题和困难</w:t>
      </w:r>
    </w:p>
    <w:p w14:paraId="36B7397A">
      <w:pPr>
        <w:spacing w:line="560" w:lineRule="exact"/>
        <w:ind w:firstLine="640" w:firstLineChars="200"/>
        <w:rPr>
          <w:rFonts w:ascii="Times New Roman" w:hAnsi="Times New Roman" w:eastAsia="楷体_GB2312"/>
          <w:color w:val="000000"/>
          <w:kern w:val="0"/>
          <w:sz w:val="32"/>
          <w:szCs w:val="32"/>
        </w:rPr>
      </w:pPr>
      <w:r>
        <w:rPr>
          <w:rFonts w:hint="eastAsia" w:ascii="Times New Roman" w:hAnsi="Times New Roman" w:eastAsia="楷体_GB2312"/>
          <w:color w:val="000000"/>
          <w:kern w:val="0"/>
          <w:sz w:val="32"/>
          <w:szCs w:val="32"/>
        </w:rPr>
        <w:t>1.</w:t>
      </w:r>
      <w:r>
        <w:rPr>
          <w:rFonts w:ascii="Times New Roman" w:hAnsi="Times New Roman" w:eastAsia="楷体_GB2312"/>
          <w:color w:val="000000"/>
          <w:kern w:val="0"/>
          <w:sz w:val="32"/>
          <w:szCs w:val="32"/>
        </w:rPr>
        <w:t>政府管理层面</w:t>
      </w:r>
    </w:p>
    <w:p w14:paraId="5E44693C">
      <w:pPr>
        <w:overflowPunct w:val="0"/>
        <w:spacing w:line="560" w:lineRule="exact"/>
        <w:ind w:firstLine="640"/>
        <w:rPr>
          <w:rFonts w:ascii="Times New Roman" w:hAnsi="Times New Roman" w:eastAsia="仿宋_GB2312"/>
          <w:color w:val="000000"/>
          <w:kern w:val="0"/>
          <w:sz w:val="32"/>
          <w:szCs w:val="32"/>
        </w:rPr>
      </w:pPr>
      <w:r>
        <w:rPr>
          <w:rFonts w:ascii="Times New Roman" w:hAnsi="仿宋_GB2312" w:eastAsia="仿宋_GB2312"/>
          <w:b/>
          <w:color w:val="000000"/>
          <w:kern w:val="0"/>
          <w:sz w:val="32"/>
          <w:szCs w:val="32"/>
        </w:rPr>
        <w:t>一是</w:t>
      </w:r>
      <w:r>
        <w:rPr>
          <w:rFonts w:ascii="Times New Roman" w:hAnsi="仿宋_GB2312" w:eastAsia="仿宋_GB2312"/>
          <w:color w:val="000000"/>
          <w:kern w:val="0"/>
          <w:sz w:val="32"/>
          <w:szCs w:val="32"/>
        </w:rPr>
        <w:t>县区单位政府、各级职能部门，街道社区对老龄化加速发展带来的机遇和问题认识不足，对老龄事业和产业发展的规律性、紧迫性认识不到位，理念不新、合力不足。同时各级政府对养老机构投入相对有限。（目前按照省市有关政策，新建机构养老建成投运后经第三方评估合格可获得每张床位</w:t>
      </w:r>
      <w:r>
        <w:rPr>
          <w:rFonts w:ascii="Times New Roman" w:hAnsi="Times New Roman" w:eastAsia="仿宋_GB2312"/>
          <w:color w:val="000000"/>
          <w:kern w:val="0"/>
          <w:sz w:val="32"/>
          <w:szCs w:val="32"/>
        </w:rPr>
        <w:t>10000</w:t>
      </w:r>
      <w:r>
        <w:rPr>
          <w:rFonts w:ascii="Times New Roman" w:hAnsi="仿宋_GB2312" w:eastAsia="仿宋_GB2312"/>
          <w:color w:val="000000"/>
          <w:kern w:val="0"/>
          <w:sz w:val="32"/>
          <w:szCs w:val="32"/>
        </w:rPr>
        <w:t>元</w:t>
      </w:r>
      <w:r>
        <w:rPr>
          <w:rFonts w:ascii="Times New Roman" w:hAnsi="Times New Roman" w:eastAsia="仿宋_GB2312"/>
          <w:color w:val="000000"/>
          <w:kern w:val="0"/>
          <w:sz w:val="32"/>
          <w:szCs w:val="32"/>
        </w:rPr>
        <w:t>,5000</w:t>
      </w:r>
      <w:r>
        <w:rPr>
          <w:rFonts w:ascii="Times New Roman" w:hAnsi="仿宋_GB2312" w:eastAsia="仿宋_GB2312"/>
          <w:color w:val="000000"/>
          <w:kern w:val="0"/>
          <w:sz w:val="32"/>
          <w:szCs w:val="32"/>
        </w:rPr>
        <w:t>元的一次性建设补助，每年根据运营情况给予每张床位</w:t>
      </w:r>
      <w:r>
        <w:rPr>
          <w:rFonts w:ascii="Times New Roman" w:hAnsi="Times New Roman" w:eastAsia="仿宋_GB2312"/>
          <w:color w:val="000000"/>
          <w:kern w:val="0"/>
          <w:sz w:val="32"/>
          <w:szCs w:val="32"/>
        </w:rPr>
        <w:t>50</w:t>
      </w:r>
      <w:r>
        <w:rPr>
          <w:rFonts w:ascii="Times New Roman" w:hAnsi="仿宋_GB2312" w:eastAsia="仿宋_GB2312"/>
          <w:color w:val="000000"/>
          <w:kern w:val="0"/>
          <w:sz w:val="32"/>
          <w:szCs w:val="32"/>
        </w:rPr>
        <w:t>元的营运补助；新建居家养老服务中心，给予</w:t>
      </w:r>
      <w:r>
        <w:rPr>
          <w:rFonts w:ascii="Times New Roman" w:hAnsi="Times New Roman" w:eastAsia="仿宋_GB2312"/>
          <w:color w:val="000000"/>
          <w:kern w:val="0"/>
          <w:sz w:val="32"/>
          <w:szCs w:val="32"/>
        </w:rPr>
        <w:t>40-90</w:t>
      </w:r>
      <w:r>
        <w:rPr>
          <w:rFonts w:ascii="Times New Roman" w:hAnsi="仿宋_GB2312" w:eastAsia="仿宋_GB2312"/>
          <w:color w:val="000000"/>
          <w:kern w:val="0"/>
          <w:sz w:val="32"/>
          <w:szCs w:val="32"/>
        </w:rPr>
        <w:t>万的建设补助。）</w:t>
      </w:r>
    </w:p>
    <w:p w14:paraId="0E57A398">
      <w:pPr>
        <w:overflowPunct w:val="0"/>
        <w:spacing w:line="560" w:lineRule="exact"/>
        <w:ind w:firstLine="640"/>
        <w:rPr>
          <w:rFonts w:ascii="Times New Roman" w:hAnsi="Times New Roman" w:eastAsia="仿宋_GB2312"/>
          <w:color w:val="000000"/>
          <w:kern w:val="0"/>
          <w:sz w:val="32"/>
          <w:szCs w:val="32"/>
        </w:rPr>
      </w:pPr>
      <w:r>
        <w:rPr>
          <w:rFonts w:ascii="Times New Roman" w:hAnsi="仿宋_GB2312" w:eastAsia="仿宋_GB2312"/>
          <w:b/>
          <w:color w:val="000000"/>
          <w:kern w:val="0"/>
          <w:sz w:val="32"/>
          <w:szCs w:val="32"/>
        </w:rPr>
        <w:t>二是</w:t>
      </w:r>
      <w:r>
        <w:rPr>
          <w:rFonts w:ascii="Times New Roman" w:hAnsi="仿宋_GB2312" w:eastAsia="仿宋_GB2312"/>
          <w:color w:val="000000"/>
          <w:kern w:val="0"/>
          <w:sz w:val="32"/>
          <w:szCs w:val="32"/>
        </w:rPr>
        <w:t>五华区养老服务发展与老年人日益紧迫和多样化的养老需求相比仍有差距，广大老年人对当前养老服务的满意度和获得感还不高，还存在供给结构不合理、市场潜力未充分释放、服务质量有待提升等问题。比如：居家养老支持政策不够完善，城乡社区居家养老服务中心缺乏运营资金和专业人才支撑，服务功能比较单一，</w:t>
      </w:r>
      <w:r>
        <w:rPr>
          <w:rFonts w:ascii="Times New Roman" w:hAnsi="仿宋_GB2312" w:eastAsia="仿宋_GB2312"/>
          <w:color w:val="000000"/>
          <w:sz w:val="32"/>
          <w:szCs w:val="32"/>
        </w:rPr>
        <w:t>项目少、范围窄、精神</w:t>
      </w:r>
      <w:r>
        <w:rPr>
          <w:rFonts w:hint="eastAsia" w:ascii="Times New Roman" w:hAnsi="仿宋_GB2312" w:eastAsia="仿宋_GB2312"/>
          <w:color w:val="000000"/>
          <w:sz w:val="32"/>
          <w:szCs w:val="32"/>
          <w:lang w:val="en-US" w:eastAsia="zh-Hans"/>
        </w:rPr>
        <w:t>慰藉</w:t>
      </w:r>
      <w:r>
        <w:rPr>
          <w:rFonts w:ascii="Times New Roman" w:hAnsi="仿宋_GB2312" w:eastAsia="仿宋_GB2312"/>
          <w:color w:val="000000"/>
          <w:sz w:val="32"/>
          <w:szCs w:val="32"/>
        </w:rPr>
        <w:t>缺少，</w:t>
      </w:r>
      <w:r>
        <w:rPr>
          <w:rFonts w:ascii="Times New Roman" w:hAnsi="仿宋_GB2312" w:eastAsia="仿宋_GB2312"/>
          <w:color w:val="000000"/>
          <w:kern w:val="0"/>
          <w:sz w:val="32"/>
          <w:szCs w:val="32"/>
        </w:rPr>
        <w:t>难以满足老年人多样化需求。</w:t>
      </w:r>
    </w:p>
    <w:p w14:paraId="40400346">
      <w:pPr>
        <w:overflowPunct w:val="0"/>
        <w:spacing w:line="560" w:lineRule="exact"/>
        <w:ind w:firstLine="640"/>
        <w:rPr>
          <w:rFonts w:ascii="Times New Roman" w:hAnsi="Times New Roman" w:eastAsia="仿宋_GB2312"/>
          <w:color w:val="000000"/>
          <w:sz w:val="32"/>
          <w:szCs w:val="32"/>
        </w:rPr>
      </w:pPr>
      <w:r>
        <w:rPr>
          <w:rFonts w:ascii="Times New Roman" w:hAnsi="仿宋_GB2312" w:eastAsia="仿宋_GB2312"/>
          <w:b/>
          <w:bCs/>
          <w:color w:val="000000"/>
          <w:sz w:val="32"/>
          <w:szCs w:val="32"/>
        </w:rPr>
        <w:t>三是</w:t>
      </w:r>
      <w:r>
        <w:rPr>
          <w:rFonts w:ascii="Times New Roman" w:hAnsi="仿宋_GB2312" w:eastAsia="仿宋_GB2312"/>
          <w:color w:val="000000"/>
          <w:sz w:val="32"/>
          <w:szCs w:val="32"/>
        </w:rPr>
        <w:t>养老事业专业队伍发展滞后。从业人员总体上年龄偏大、文化程度偏低、稳定性较差的问题依然存在，多是二度就业的</w:t>
      </w:r>
      <w:r>
        <w:rPr>
          <w:rFonts w:ascii="Times New Roman" w:hAnsi="Times New Roman" w:eastAsia="仿宋_GB2312"/>
          <w:color w:val="000000"/>
          <w:sz w:val="32"/>
          <w:szCs w:val="32"/>
        </w:rPr>
        <w:t>“40”“50”</w:t>
      </w:r>
      <w:r>
        <w:rPr>
          <w:rFonts w:ascii="Times New Roman" w:hAnsi="仿宋_GB2312" w:eastAsia="仿宋_GB2312"/>
          <w:color w:val="000000"/>
          <w:sz w:val="32"/>
          <w:szCs w:val="32"/>
        </w:rPr>
        <w:t>人员及农村务工人员，工资待遇、职业认可度及社会地位偏低，有专业技能的年轻人从业意愿不高。</w:t>
      </w:r>
    </w:p>
    <w:p w14:paraId="698E2C9D">
      <w:pPr>
        <w:spacing w:line="560" w:lineRule="exact"/>
        <w:ind w:firstLine="643" w:firstLineChars="200"/>
        <w:rPr>
          <w:rFonts w:ascii="Times New Roman" w:hAnsi="Times New Roman" w:eastAsia="仿宋_GB2312"/>
          <w:color w:val="000000"/>
          <w:kern w:val="0"/>
          <w:sz w:val="32"/>
          <w:szCs w:val="32"/>
        </w:rPr>
      </w:pPr>
      <w:r>
        <w:rPr>
          <w:rFonts w:ascii="Times New Roman" w:hAnsi="仿宋_GB2312" w:eastAsia="仿宋_GB2312"/>
          <w:b/>
          <w:bCs/>
          <w:color w:val="000000"/>
          <w:sz w:val="32"/>
          <w:szCs w:val="32"/>
        </w:rPr>
        <w:t>四是</w:t>
      </w:r>
      <w:r>
        <w:rPr>
          <w:rFonts w:ascii="Times New Roman" w:hAnsi="仿宋_GB2312" w:eastAsia="仿宋_GB2312"/>
          <w:color w:val="000000"/>
          <w:kern w:val="0"/>
          <w:sz w:val="32"/>
          <w:szCs w:val="32"/>
        </w:rPr>
        <w:t>对养老机构的指导和管理中，与有关建筑、消防、食品卫生、医疗服务、特种设备等各个部门的联动机制不够完善，养老机构的日常监管还需加强。同时养老服务行业准入、服务标准、运行机制和监管制度还需进一步完善</w:t>
      </w:r>
      <w:r>
        <w:rPr>
          <w:rFonts w:ascii="Times New Roman" w:hAnsi="Times New Roman" w:eastAsia="仿宋_GB2312"/>
          <w:color w:val="000000"/>
          <w:kern w:val="0"/>
          <w:sz w:val="32"/>
          <w:szCs w:val="32"/>
        </w:rPr>
        <w:t>,</w:t>
      </w:r>
      <w:r>
        <w:rPr>
          <w:rFonts w:ascii="Times New Roman" w:hAnsi="仿宋_GB2312" w:eastAsia="仿宋_GB2312"/>
          <w:color w:val="000000"/>
          <w:kern w:val="0"/>
          <w:sz w:val="32"/>
          <w:szCs w:val="32"/>
        </w:rPr>
        <w:t>政策落地执行力度有待加强。</w:t>
      </w:r>
    </w:p>
    <w:p w14:paraId="2C4E96BB">
      <w:pPr>
        <w:spacing w:line="560" w:lineRule="exact"/>
        <w:ind w:firstLine="640" w:firstLineChars="200"/>
        <w:rPr>
          <w:rFonts w:ascii="Times New Roman" w:hAnsi="Times New Roman" w:eastAsia="楷体_GB2312"/>
          <w:color w:val="000000"/>
          <w:kern w:val="0"/>
          <w:sz w:val="32"/>
          <w:szCs w:val="32"/>
        </w:rPr>
      </w:pPr>
      <w:r>
        <w:rPr>
          <w:rFonts w:hint="eastAsia" w:ascii="Times New Roman" w:hAnsi="Times New Roman" w:eastAsia="楷体_GB2312"/>
          <w:color w:val="000000"/>
          <w:kern w:val="0"/>
          <w:sz w:val="32"/>
          <w:szCs w:val="32"/>
        </w:rPr>
        <w:t>2.</w:t>
      </w:r>
      <w:r>
        <w:rPr>
          <w:rFonts w:ascii="Times New Roman" w:hAnsi="Times New Roman" w:eastAsia="楷体_GB2312"/>
          <w:color w:val="000000"/>
          <w:kern w:val="0"/>
          <w:sz w:val="32"/>
          <w:szCs w:val="32"/>
        </w:rPr>
        <w:t>养老机构运维层面</w:t>
      </w:r>
    </w:p>
    <w:p w14:paraId="524F290E">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五华区现有养老机构中，其中9家机构场地是租赁使用，由于房租逐年上涨，加之人员工资、食品物质等成本增加，养老机构运维压力增大，部分养老机构处于负盈利、零收益状况。比如：五华区</w:t>
      </w:r>
      <w:r>
        <w:rPr>
          <w:rFonts w:ascii="Times New Roman" w:hAnsi="Times New Roman" w:eastAsia="仿宋_GB2312"/>
          <w:color w:val="000000"/>
          <w:kern w:val="0"/>
          <w:sz w:val="32"/>
          <w:szCs w:val="32"/>
        </w:rPr>
        <w:t>新闻里长者照护之家</w:t>
      </w:r>
      <w:r>
        <w:rPr>
          <w:rFonts w:ascii="Times New Roman" w:hAnsi="Times New Roman" w:eastAsia="仿宋_GB2312"/>
          <w:color w:val="000000"/>
          <w:sz w:val="32"/>
          <w:szCs w:val="32"/>
        </w:rPr>
        <w:t>1000平米场所，每年租金高达45万，因前期投入大，2019年建成以来一直处于亏损状态。</w:t>
      </w:r>
    </w:p>
    <w:p w14:paraId="4B7E6952">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w:t>
      </w:r>
      <w:r>
        <w:rPr>
          <w:rFonts w:ascii="Times New Roman" w:hAnsi="Times New Roman" w:eastAsia="仿宋_GB2312"/>
          <w:color w:val="000000"/>
          <w:sz w:val="32"/>
          <w:szCs w:val="32"/>
        </w:rPr>
        <w:t>根据《昆明市民办养老机构资金补助办法（试行）》的规定，在民办养老机构从事养老护理工作签订一年以上劳动合同并缴纳社会保险的人员，才能申请护理人员补贴。由于养老机构聘用的护理员多为能吃苦，力气大的农村劳动力，大部分年龄都在50岁以上，文化水平较低，流动性较大，机构要与这些护理员签订劳动合同并购买社保存在较大困难。</w:t>
      </w:r>
    </w:p>
    <w:p w14:paraId="72A3EBE1">
      <w:pPr>
        <w:spacing w:line="560" w:lineRule="exact"/>
        <w:ind w:left="630"/>
        <w:rPr>
          <w:rFonts w:ascii="Times New Roman" w:hAnsi="Times New Roman" w:eastAsia="黑体"/>
          <w:color w:val="000000"/>
          <w:sz w:val="32"/>
          <w:szCs w:val="32"/>
        </w:rPr>
      </w:pPr>
      <w:r>
        <w:rPr>
          <w:rFonts w:hint="eastAsia" w:ascii="Times New Roman" w:hAnsi="Times New Roman" w:eastAsia="黑体"/>
          <w:color w:val="000000"/>
          <w:sz w:val="32"/>
          <w:szCs w:val="32"/>
        </w:rPr>
        <w:t>（三）</w:t>
      </w:r>
      <w:r>
        <w:rPr>
          <w:rFonts w:ascii="Times New Roman" w:hAnsi="Times New Roman" w:eastAsia="黑体"/>
          <w:color w:val="000000"/>
          <w:sz w:val="32"/>
          <w:szCs w:val="32"/>
        </w:rPr>
        <w:t>推进我区养老服务工作健康发展的建议</w:t>
      </w:r>
    </w:p>
    <w:p w14:paraId="74127D0A">
      <w:pPr>
        <w:widowControl/>
        <w:spacing w:line="560" w:lineRule="exact"/>
        <w:ind w:firstLine="640" w:firstLineChars="200"/>
        <w:rPr>
          <w:rFonts w:ascii="Times New Roman" w:hAnsi="Times New Roman" w:eastAsia="楷体_GB2312"/>
          <w:color w:val="000000"/>
          <w:kern w:val="0"/>
          <w:sz w:val="32"/>
          <w:szCs w:val="32"/>
        </w:rPr>
      </w:pPr>
      <w:r>
        <w:rPr>
          <w:rFonts w:hint="eastAsia" w:ascii="Times New Roman" w:hAnsi="Times New Roman" w:eastAsia="楷体_GB2312"/>
          <w:color w:val="000000"/>
          <w:sz w:val="32"/>
          <w:szCs w:val="32"/>
        </w:rPr>
        <w:t>1.</w:t>
      </w:r>
      <w:r>
        <w:rPr>
          <w:rFonts w:ascii="Times New Roman" w:hAnsi="Times New Roman" w:eastAsia="楷体_GB2312"/>
          <w:color w:val="000000"/>
          <w:kern w:val="0"/>
          <w:sz w:val="32"/>
          <w:szCs w:val="32"/>
        </w:rPr>
        <w:t>大力加强养老服务基础设施建设，推进社区居家养老服务项目试点。</w:t>
      </w:r>
    </w:p>
    <w:p w14:paraId="1E2A8981">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一是</w:t>
      </w:r>
      <w:r>
        <w:rPr>
          <w:rFonts w:ascii="Times New Roman" w:hAnsi="Times New Roman" w:eastAsia="仿宋_GB2312"/>
          <w:color w:val="000000"/>
          <w:sz w:val="32"/>
          <w:szCs w:val="32"/>
        </w:rPr>
        <w:t>实施民办养老机构消防安全达标工程，实施社区居家养老服务中心老年人适老化提升改造工程，让老年人“住的舒心、住的放心”，让老年人能够“有人照顾、有人护理”，有尊严地度过余生。</w:t>
      </w:r>
    </w:p>
    <w:p w14:paraId="71E56CFF">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二是</w:t>
      </w:r>
      <w:r>
        <w:rPr>
          <w:rFonts w:ascii="Times New Roman" w:hAnsi="Times New Roman" w:eastAsia="仿宋_GB2312"/>
          <w:color w:val="000000"/>
          <w:sz w:val="32"/>
          <w:szCs w:val="32"/>
        </w:rPr>
        <w:t>积极推动社会力量兴办养老服务机构，放宽准入制度，进一步鼓励民间资本进入养老服务市场，满足老年人持续增长的养老服务需求。同时，扎实开展养老机构服务质量建设专项行动，提升养老服务质量和管理水平。</w:t>
      </w:r>
    </w:p>
    <w:p w14:paraId="1A93D839">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三是</w:t>
      </w:r>
      <w:r>
        <w:rPr>
          <w:rFonts w:ascii="Times New Roman" w:hAnsi="Times New Roman" w:eastAsia="仿宋_GB2312"/>
          <w:color w:val="000000"/>
          <w:sz w:val="32"/>
          <w:szCs w:val="32"/>
        </w:rPr>
        <w:t>扎实推进省级社区居家养老服务试点建设工作，与各街道和社区形成紧密联系、互惠互助的良好合作格局，对辖区内各社区的情况进行充分走访调研，了解社区老人现状和需求情况，认真完成新建社区居家养老服务中心目标任务，储备有条件的社区居家养老项目，提升改造社区居家养老服务质量，按时完成十件惠民实事涉及养老服务项目建设。</w:t>
      </w:r>
    </w:p>
    <w:p w14:paraId="3F6D4C92">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楷体_GB2312"/>
          <w:color w:val="000000"/>
          <w:sz w:val="32"/>
          <w:szCs w:val="32"/>
        </w:rPr>
        <w:t>2.</w:t>
      </w:r>
      <w:r>
        <w:rPr>
          <w:rFonts w:ascii="Times New Roman" w:hAnsi="Times New Roman" w:eastAsia="楷体_GB2312"/>
          <w:color w:val="000000"/>
          <w:sz w:val="32"/>
          <w:szCs w:val="32"/>
        </w:rPr>
        <w:t>进一步完善养老服务行业各项制度，完善养老服务补贴政策，促进“医养结合”服务体系的形成。</w:t>
      </w:r>
    </w:p>
    <w:p w14:paraId="1370A840">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一是</w:t>
      </w:r>
      <w:r>
        <w:rPr>
          <w:rFonts w:ascii="Times New Roman" w:hAnsi="Times New Roman" w:eastAsia="仿宋_GB2312"/>
          <w:color w:val="000000"/>
          <w:sz w:val="32"/>
          <w:szCs w:val="32"/>
        </w:rPr>
        <w:t>进一步完善养老服务行业准入、服务标准、运行机制和监管制度,完善养老服务优惠政策, 加大政策落地执行力度。进一步完善养老服务补助、建设运营补助、护理补贴和床位补贴政策,探索建立长期护理保险制度,保障老年人长期护理服务需求。</w:t>
      </w:r>
    </w:p>
    <w:p w14:paraId="156697F1">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二是</w:t>
      </w:r>
      <w:r>
        <w:rPr>
          <w:rFonts w:ascii="Times New Roman" w:hAnsi="Times New Roman" w:eastAsia="仿宋_GB2312"/>
          <w:color w:val="000000"/>
          <w:sz w:val="32"/>
          <w:szCs w:val="32"/>
        </w:rPr>
        <w:t>进一步整合辖区医疗、康复、养老和护理资源,促进医疗卫生机构和养老机构合作,发挥互补优势。鼓励养老机构开展医疗服务,或与医疗机构开展协议合作、对口支援、合作共建、建立医养联合体等多种方式的合作,为入住老年人提供医保和基本医疗卫生服务。</w:t>
      </w:r>
    </w:p>
    <w:p w14:paraId="23448E58">
      <w:pPr>
        <w:widowControl/>
        <w:spacing w:line="56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olor w:val="000000"/>
          <w:sz w:val="32"/>
          <w:szCs w:val="32"/>
        </w:rPr>
        <w:t>3.</w:t>
      </w:r>
      <w:r>
        <w:rPr>
          <w:rFonts w:ascii="Times New Roman" w:hAnsi="Times New Roman" w:eastAsia="楷体_GB2312"/>
          <w:color w:val="000000"/>
          <w:sz w:val="32"/>
          <w:szCs w:val="32"/>
        </w:rPr>
        <w:t>积极推进“互联网＋养老”服务模式, 持续推动智慧健康养老发展。</w:t>
      </w:r>
    </w:p>
    <w:p w14:paraId="03F54F57">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一是</w:t>
      </w:r>
      <w:r>
        <w:rPr>
          <w:rFonts w:ascii="Times New Roman" w:hAnsi="Times New Roman" w:eastAsia="仿宋_GB2312"/>
          <w:color w:val="000000"/>
          <w:sz w:val="32"/>
          <w:szCs w:val="32"/>
        </w:rPr>
        <w:t>以“全国养老机构业务管理系统”和“云南省互联网+智慧养老管理平台”为基础，掌握养老服务和产业基础数据，发挥社会力量的合力，构建养老线上线下联动服务平台。形成养老机构+政府+老人及子女的养老生态链。构筑居家养老新模式，有助于破解养老难题，提高老年人的生活质量，缓解社会和家庭养老压力。</w:t>
      </w:r>
    </w:p>
    <w:p w14:paraId="12EFD18D">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二是</w:t>
      </w:r>
      <w:r>
        <w:rPr>
          <w:rFonts w:ascii="Times New Roman" w:hAnsi="Times New Roman" w:eastAsia="仿宋_GB2312"/>
          <w:color w:val="000000"/>
          <w:sz w:val="32"/>
          <w:szCs w:val="32"/>
        </w:rPr>
        <w:t>在聚集民政内部养老数据的基础上，探索发展与社区、医疗、家政服务、紧急救助等外部系统实现数据交换和共享的智慧养老新模式，采用多维度数据特征关联等大数据处理技术，通过云平台的分析、评估和加工，将老年人的健康保健、就医、安全防范、学习、娱乐、家政服务等诸多需求，与医院、老年大学、家政服务公司等养老资源进行无缝对接，为老年人提供全方位的健康养老服务。</w:t>
      </w:r>
    </w:p>
    <w:p w14:paraId="3AC8FBFF">
      <w:pPr>
        <w:widowControl/>
        <w:spacing w:line="560" w:lineRule="exact"/>
        <w:ind w:firstLine="640" w:firstLineChars="200"/>
        <w:rPr>
          <w:rFonts w:ascii="Times New Roman" w:hAnsi="Times New Roman" w:eastAsia="楷体_GB2312"/>
          <w:color w:val="000000"/>
          <w:sz w:val="32"/>
          <w:szCs w:val="32"/>
        </w:rPr>
      </w:pPr>
      <w:r>
        <w:rPr>
          <w:rFonts w:hint="eastAsia" w:ascii="Times New Roman" w:hAnsi="Times New Roman" w:eastAsia="楷体_GB2312"/>
          <w:color w:val="000000"/>
          <w:sz w:val="32"/>
          <w:szCs w:val="32"/>
        </w:rPr>
        <w:t>4.</w:t>
      </w:r>
      <w:r>
        <w:rPr>
          <w:rFonts w:ascii="Times New Roman" w:hAnsi="Times New Roman" w:eastAsia="楷体_GB2312"/>
          <w:color w:val="000000"/>
          <w:sz w:val="32"/>
          <w:szCs w:val="32"/>
        </w:rPr>
        <w:t>持续开展养老机构服务质量建设专项行动,加强消防安全隐患排查整治。</w:t>
      </w:r>
    </w:p>
    <w:p w14:paraId="0296B4F6">
      <w:pPr>
        <w:spacing w:line="560"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一是</w:t>
      </w:r>
      <w:r>
        <w:rPr>
          <w:rFonts w:ascii="Times New Roman" w:hAnsi="Times New Roman" w:eastAsia="仿宋_GB2312"/>
          <w:color w:val="000000"/>
          <w:sz w:val="32"/>
          <w:szCs w:val="32"/>
        </w:rPr>
        <w:t>督促养老机构加强自我防范的制度建设。制定灭火和应急疏散预案并每半年至少开展一次演练，明确每班次、各岗位人员负责报警、疏散、扑救初起火灾的工作人员及其职责，尤其是对于失能、半失能老年人要优先安排在建筑较低层和便于疏散的房间，逐一明确疏散救护人员，切实做到一旦出现险情，能够快速有效疏散逃生，做到“安全自查、隐患自除”。</w:t>
      </w:r>
    </w:p>
    <w:p w14:paraId="43BE2424">
      <w:pPr>
        <w:spacing w:line="560" w:lineRule="exact"/>
        <w:ind w:firstLine="643" w:firstLineChars="200"/>
        <w:rPr>
          <w:rFonts w:hint="eastAsia" w:ascii="Times New Roman" w:hAnsi="Times New Roman" w:eastAsia="仿宋_GB2312"/>
          <w:color w:val="000000"/>
          <w:sz w:val="32"/>
          <w:szCs w:val="32"/>
        </w:rPr>
      </w:pPr>
      <w:r>
        <w:rPr>
          <w:rFonts w:ascii="Times New Roman" w:hAnsi="Times New Roman" w:eastAsia="仿宋_GB2312"/>
          <w:b/>
          <w:color w:val="000000"/>
          <w:sz w:val="32"/>
          <w:szCs w:val="32"/>
        </w:rPr>
        <w:t>二是</w:t>
      </w:r>
      <w:r>
        <w:rPr>
          <w:rFonts w:ascii="Times New Roman" w:hAnsi="Times New Roman" w:eastAsia="仿宋_GB2312"/>
          <w:color w:val="000000"/>
          <w:sz w:val="32"/>
          <w:szCs w:val="32"/>
        </w:rPr>
        <w:t>建立四级规范巡查制度。建立完善养老机构每日巡查、社区居委会每周巡查、街道办事处每月巡查、区民政局每季集中检查制度，做到记录完整，台账规范。</w:t>
      </w:r>
    </w:p>
    <w:p w14:paraId="1AFD0232">
      <w:pPr>
        <w:spacing w:line="360" w:lineRule="auto"/>
        <w:ind w:firstLine="803" w:firstLineChars="250"/>
        <w:jc w:val="left"/>
        <w:outlineLvl w:val="1"/>
        <w:rPr>
          <w:rFonts w:hint="eastAsia" w:ascii="方正小标宋简体" w:hAnsi="Times New Roman" w:eastAsia="方正小标宋简体"/>
          <w:b/>
          <w:bCs/>
          <w:color w:val="000000"/>
          <w:kern w:val="0"/>
          <w:sz w:val="32"/>
          <w:szCs w:val="32"/>
        </w:rPr>
      </w:pPr>
      <w:r>
        <w:rPr>
          <w:rFonts w:hint="eastAsia" w:ascii="方正小标宋简体" w:hAnsi="黑体" w:eastAsia="方正小标宋简体"/>
          <w:b/>
          <w:color w:val="000000"/>
          <w:sz w:val="32"/>
          <w:szCs w:val="32"/>
        </w:rPr>
        <w:t>三、</w:t>
      </w:r>
      <w:r>
        <w:rPr>
          <w:rFonts w:hint="eastAsia" w:ascii="方正小标宋简体" w:hAnsi="Times New Roman" w:eastAsia="方正小标宋简体"/>
          <w:b/>
          <w:bCs/>
          <w:color w:val="000000"/>
          <w:kern w:val="0"/>
          <w:sz w:val="32"/>
          <w:szCs w:val="32"/>
        </w:rPr>
        <w:t xml:space="preserve">消费者咨询投诉举报状况 </w:t>
      </w:r>
    </w:p>
    <w:p w14:paraId="5C937F17">
      <w:pPr>
        <w:spacing w:line="560" w:lineRule="exact"/>
        <w:rPr>
          <w:rFonts w:hint="eastAsia" w:ascii="黑体" w:hAnsi="Times New Roman" w:eastAsia="黑体"/>
          <w:color w:val="000000"/>
          <w:sz w:val="32"/>
          <w:szCs w:val="32"/>
        </w:rPr>
      </w:pPr>
      <w:r>
        <w:rPr>
          <w:rFonts w:hint="eastAsia" w:ascii="黑体" w:hAnsi="Times New Roman" w:eastAsia="黑体"/>
          <w:color w:val="000000"/>
          <w:sz w:val="32"/>
          <w:szCs w:val="32"/>
        </w:rPr>
        <w:t xml:space="preserve">    （一）2020</w:t>
      </w:r>
      <w:r>
        <w:rPr>
          <w:rFonts w:hint="eastAsia" w:ascii="黑体" w:hAnsi="仿宋_GB2312" w:eastAsia="黑体"/>
          <w:color w:val="000000"/>
          <w:sz w:val="32"/>
          <w:szCs w:val="32"/>
        </w:rPr>
        <w:t>年全年基本</w:t>
      </w:r>
      <w:r>
        <w:rPr>
          <w:rFonts w:hint="eastAsia" w:ascii="黑体" w:hAnsi="Times New Roman" w:eastAsia="黑体"/>
          <w:color w:val="000000"/>
          <w:sz w:val="32"/>
          <w:szCs w:val="32"/>
        </w:rPr>
        <w:t>情况</w:t>
      </w:r>
    </w:p>
    <w:p w14:paraId="754D07C6">
      <w:pPr>
        <w:spacing w:line="560" w:lineRule="exac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 xml:space="preserve">    2020</w:t>
      </w:r>
      <w:r>
        <w:rPr>
          <w:rFonts w:ascii="Times New Roman" w:hAnsi="Times New Roman" w:eastAsia="仿宋_GB2312"/>
          <w:color w:val="000000"/>
          <w:sz w:val="32"/>
          <w:szCs w:val="32"/>
        </w:rPr>
        <w:t>年全年五华区“全国互联网12315”、 “市长热线12345”、“全国消费者协会投诉与咨询信息系统”、“一部手机游云南”等平台处理消费者投诉举报量较2019年同期呈现大幅上升趋势，咨询量呈小幅下降趋势。年截止12月15日，我局共接听受理转办“全国互联网12315”、“12345市长热线”、“一部手机游云南”等各投诉举报平台消费者投诉举报咨询18809件。其中接听投诉咨询电话及接待来人来访共计5193个次，全国互联网12315、市长热线12345等各平台投诉、举报转办 13616件。在受理转办的投诉举报件中，全国互联网12315平台消费者投诉举报10696件占总投诉举报数的78.55%；12345交办件2822件占总投诉举报数的20.73 %,全国消协投诉与咨询系统转办件49件占投诉举报数的0.36%；“一部手机游云南”投诉49件占投诉举报数的0.36%。其中全国互联网12315消费投诉举报受理率100%，办结10487件，余202件正在办理中，12345交办件受理率100%，办结2705件，余 117件投诉件正在办理中，全国消协投诉与咨询系统及“一部手机由云南”投诉举报受理率100%，全部办结，办结率100%,其中“全国互联网12315”平台消费者投诉共涉及消费金额</w:t>
      </w:r>
      <w:r>
        <w:rPr>
          <w:rFonts w:hint="eastAsia" w:ascii="Times New Roman" w:hAnsi="Times New Roman" w:eastAsia="仿宋_GB2312"/>
          <w:color w:val="000000"/>
          <w:sz w:val="32"/>
          <w:szCs w:val="32"/>
        </w:rPr>
        <w:t>3500.28</w:t>
      </w:r>
      <w:r>
        <w:rPr>
          <w:rFonts w:ascii="Times New Roman" w:hAnsi="Times New Roman" w:eastAsia="仿宋_GB2312"/>
          <w:color w:val="000000"/>
          <w:sz w:val="32"/>
          <w:szCs w:val="32"/>
        </w:rPr>
        <w:t>万元，为消费者挽回经济损失约</w:t>
      </w:r>
      <w:r>
        <w:rPr>
          <w:rFonts w:hint="eastAsia" w:ascii="Times New Roman" w:hAnsi="Times New Roman" w:eastAsia="仿宋_GB2312"/>
          <w:color w:val="000000"/>
          <w:sz w:val="32"/>
          <w:szCs w:val="32"/>
        </w:rPr>
        <w:t>892.85</w:t>
      </w:r>
      <w:r>
        <w:rPr>
          <w:rFonts w:ascii="Times New Roman" w:hAnsi="Times New Roman" w:eastAsia="仿宋_GB2312"/>
          <w:color w:val="000000"/>
          <w:sz w:val="32"/>
          <w:szCs w:val="32"/>
        </w:rPr>
        <w:t>万元。</w:t>
      </w:r>
    </w:p>
    <w:tbl>
      <w:tblPr>
        <w:tblStyle w:val="13"/>
        <w:tblW w:w="5000" w:type="pct"/>
        <w:tblInd w:w="0" w:type="dxa"/>
        <w:tblLayout w:type="autofit"/>
        <w:tblCellMar>
          <w:top w:w="0" w:type="dxa"/>
          <w:left w:w="108" w:type="dxa"/>
          <w:bottom w:w="0" w:type="dxa"/>
          <w:right w:w="108" w:type="dxa"/>
        </w:tblCellMar>
      </w:tblPr>
      <w:tblGrid>
        <w:gridCol w:w="1977"/>
        <w:gridCol w:w="2221"/>
        <w:gridCol w:w="2267"/>
        <w:gridCol w:w="2057"/>
      </w:tblGrid>
      <w:tr w14:paraId="3F093FDB">
        <w:tblPrEx>
          <w:tblCellMar>
            <w:top w:w="0" w:type="dxa"/>
            <w:left w:w="108" w:type="dxa"/>
            <w:bottom w:w="0" w:type="dxa"/>
            <w:right w:w="108" w:type="dxa"/>
          </w:tblCellMar>
        </w:tblPrEx>
        <w:trPr>
          <w:wBefore w:w="0" w:type="dxa"/>
          <w:wAfter w:w="0" w:type="dxa"/>
          <w:trHeight w:val="993" w:hRule="atLeast"/>
        </w:trPr>
        <w:tc>
          <w:tcPr>
            <w:tcW w:w="5000" w:type="pct"/>
            <w:gridSpan w:val="4"/>
            <w:tcBorders>
              <w:top w:val="nil"/>
              <w:left w:val="nil"/>
              <w:bottom w:val="single" w:color="auto" w:sz="8" w:space="0"/>
              <w:right w:val="nil"/>
            </w:tcBorders>
            <w:noWrap w:val="0"/>
            <w:vAlign w:val="center"/>
          </w:tcPr>
          <w:p w14:paraId="0F8973B0">
            <w:pPr>
              <w:widowControl/>
              <w:spacing w:line="560" w:lineRule="exact"/>
              <w:rPr>
                <w:rFonts w:hint="eastAsia" w:ascii="黑体" w:hAnsi="黑体" w:eastAsia="黑体" w:cs="宋体"/>
                <w:color w:val="000000"/>
                <w:kern w:val="0"/>
                <w:sz w:val="32"/>
                <w:szCs w:val="32"/>
              </w:rPr>
            </w:pPr>
          </w:p>
          <w:p w14:paraId="0F0454A0">
            <w:pPr>
              <w:widowControl/>
              <w:spacing w:line="560" w:lineRule="exact"/>
              <w:rPr>
                <w:rFonts w:hint="eastAsia" w:ascii="方正小标宋简体" w:hAnsi="宋体" w:eastAsia="方正小标宋简体" w:cs="宋体"/>
                <w:color w:val="000000"/>
                <w:kern w:val="0"/>
                <w:sz w:val="28"/>
                <w:szCs w:val="28"/>
              </w:rPr>
            </w:pPr>
            <w:r>
              <w:rPr>
                <w:rFonts w:hint="eastAsia" w:ascii="黑体" w:hAnsi="黑体" w:eastAsia="黑体" w:cs="宋体"/>
                <w:color w:val="000000"/>
                <w:kern w:val="0"/>
                <w:sz w:val="32"/>
                <w:szCs w:val="32"/>
              </w:rPr>
              <w:t>表一</w:t>
            </w:r>
            <w:r>
              <w:rPr>
                <w:rFonts w:hint="eastAsia" w:ascii="方正小标宋简体" w:hAnsi="宋体" w:eastAsia="方正小标宋简体" w:cs="宋体"/>
                <w:color w:val="000000"/>
                <w:kern w:val="0"/>
                <w:sz w:val="28"/>
                <w:szCs w:val="28"/>
              </w:rPr>
              <w:t>：</w:t>
            </w:r>
          </w:p>
          <w:p w14:paraId="632746A6">
            <w:pPr>
              <w:widowControl/>
              <w:spacing w:line="560" w:lineRule="exact"/>
              <w:jc w:val="center"/>
              <w:rPr>
                <w:rFonts w:ascii="方正小标宋简体" w:hAnsi="宋体" w:eastAsia="方正小标宋简体" w:cs="宋体"/>
                <w:color w:val="000000"/>
                <w:kern w:val="0"/>
                <w:sz w:val="32"/>
                <w:szCs w:val="32"/>
              </w:rPr>
            </w:pPr>
            <w:r>
              <w:rPr>
                <w:rFonts w:hint="eastAsia" w:ascii="方正小标宋简体" w:hAnsi="宋体" w:eastAsia="方正小标宋简体" w:cs="宋体"/>
                <w:color w:val="000000"/>
                <w:kern w:val="0"/>
                <w:sz w:val="28"/>
                <w:szCs w:val="28"/>
              </w:rPr>
              <w:t xml:space="preserve"> </w:t>
            </w:r>
            <w:r>
              <w:rPr>
                <w:rFonts w:hint="eastAsia" w:ascii="方正小标宋简体" w:hAnsi="宋体" w:eastAsia="方正小标宋简体" w:cs="宋体"/>
                <w:color w:val="000000"/>
                <w:kern w:val="0"/>
                <w:sz w:val="32"/>
                <w:szCs w:val="32"/>
              </w:rPr>
              <w:t xml:space="preserve"> 2019、年全年投诉举报咨询数量对比表</w:t>
            </w:r>
          </w:p>
        </w:tc>
      </w:tr>
      <w:tr w14:paraId="555850B2">
        <w:tblPrEx>
          <w:tblCellMar>
            <w:top w:w="0" w:type="dxa"/>
            <w:left w:w="108" w:type="dxa"/>
            <w:bottom w:w="0" w:type="dxa"/>
            <w:right w:w="108" w:type="dxa"/>
          </w:tblCellMar>
        </w:tblPrEx>
        <w:trPr>
          <w:wBefore w:w="0" w:type="dxa"/>
          <w:wAfter w:w="0" w:type="dxa"/>
          <w:trHeight w:val="735" w:hRule="atLeast"/>
        </w:trPr>
        <w:tc>
          <w:tcPr>
            <w:tcW w:w="1160" w:type="pct"/>
            <w:tcBorders>
              <w:top w:val="nil"/>
              <w:left w:val="single" w:color="auto" w:sz="8" w:space="0"/>
              <w:bottom w:val="single" w:color="auto" w:sz="8" w:space="0"/>
              <w:right w:val="single" w:color="auto" w:sz="8" w:space="0"/>
            </w:tcBorders>
            <w:noWrap w:val="0"/>
            <w:vAlign w:val="center"/>
          </w:tcPr>
          <w:p w14:paraId="38995ACE">
            <w:pPr>
              <w:jc w:val="center"/>
              <w:rPr>
                <w:rFonts w:ascii="黑体" w:hAnsi="宋体" w:eastAsia="黑体" w:cs="宋体"/>
                <w:color w:val="000000"/>
                <w:sz w:val="24"/>
              </w:rPr>
            </w:pPr>
            <w:r>
              <w:rPr>
                <w:rFonts w:hint="eastAsia" w:ascii="黑体" w:eastAsia="黑体"/>
                <w:color w:val="000000"/>
                <w:sz w:val="24"/>
              </w:rPr>
              <w:t>年份</w:t>
            </w:r>
          </w:p>
        </w:tc>
        <w:tc>
          <w:tcPr>
            <w:tcW w:w="1303" w:type="pct"/>
            <w:tcBorders>
              <w:top w:val="nil"/>
              <w:left w:val="nil"/>
              <w:bottom w:val="single" w:color="auto" w:sz="8" w:space="0"/>
              <w:right w:val="single" w:color="auto" w:sz="8" w:space="0"/>
            </w:tcBorders>
            <w:noWrap w:val="0"/>
            <w:vAlign w:val="center"/>
          </w:tcPr>
          <w:p w14:paraId="15903222">
            <w:pPr>
              <w:jc w:val="center"/>
              <w:rPr>
                <w:rFonts w:ascii="黑体" w:hAnsi="宋体" w:eastAsia="黑体" w:cs="宋体"/>
                <w:color w:val="000000"/>
                <w:sz w:val="24"/>
              </w:rPr>
            </w:pPr>
            <w:r>
              <w:rPr>
                <w:rFonts w:hint="eastAsia" w:ascii="黑体" w:eastAsia="黑体"/>
                <w:color w:val="000000"/>
                <w:sz w:val="24"/>
              </w:rPr>
              <w:t>投诉案件数量（件）</w:t>
            </w:r>
          </w:p>
        </w:tc>
        <w:tc>
          <w:tcPr>
            <w:tcW w:w="1330" w:type="pct"/>
            <w:tcBorders>
              <w:top w:val="nil"/>
              <w:left w:val="nil"/>
              <w:bottom w:val="single" w:color="auto" w:sz="8" w:space="0"/>
              <w:right w:val="single" w:color="auto" w:sz="8" w:space="0"/>
            </w:tcBorders>
            <w:noWrap w:val="0"/>
            <w:vAlign w:val="center"/>
          </w:tcPr>
          <w:p w14:paraId="61DDDDF5">
            <w:pPr>
              <w:jc w:val="center"/>
              <w:rPr>
                <w:rFonts w:ascii="黑体" w:hAnsi="宋体" w:eastAsia="黑体" w:cs="宋体"/>
                <w:color w:val="000000"/>
                <w:sz w:val="24"/>
              </w:rPr>
            </w:pPr>
            <w:r>
              <w:rPr>
                <w:rFonts w:hint="eastAsia" w:ascii="黑体" w:eastAsia="黑体"/>
                <w:color w:val="000000"/>
                <w:sz w:val="24"/>
              </w:rPr>
              <w:t>举报案件数量（件）</w:t>
            </w:r>
          </w:p>
        </w:tc>
        <w:tc>
          <w:tcPr>
            <w:tcW w:w="1207" w:type="pct"/>
            <w:tcBorders>
              <w:top w:val="nil"/>
              <w:left w:val="nil"/>
              <w:bottom w:val="single" w:color="auto" w:sz="8" w:space="0"/>
              <w:right w:val="single" w:color="auto" w:sz="8" w:space="0"/>
            </w:tcBorders>
            <w:noWrap w:val="0"/>
            <w:vAlign w:val="center"/>
          </w:tcPr>
          <w:p w14:paraId="21578834">
            <w:pPr>
              <w:jc w:val="center"/>
              <w:rPr>
                <w:rFonts w:ascii="黑体" w:hAnsi="宋体" w:eastAsia="黑体" w:cs="宋体"/>
                <w:color w:val="000000"/>
                <w:sz w:val="24"/>
              </w:rPr>
            </w:pPr>
            <w:r>
              <w:rPr>
                <w:rFonts w:hint="eastAsia" w:ascii="黑体" w:eastAsia="黑体"/>
                <w:color w:val="000000"/>
                <w:sz w:val="24"/>
              </w:rPr>
              <w:t>咨询件数（件）</w:t>
            </w:r>
          </w:p>
        </w:tc>
      </w:tr>
      <w:tr w14:paraId="0E018908">
        <w:tblPrEx>
          <w:tblCellMar>
            <w:top w:w="0" w:type="dxa"/>
            <w:left w:w="108" w:type="dxa"/>
            <w:bottom w:w="0" w:type="dxa"/>
            <w:right w:w="108" w:type="dxa"/>
          </w:tblCellMar>
        </w:tblPrEx>
        <w:trPr>
          <w:wBefore w:w="0" w:type="dxa"/>
          <w:wAfter w:w="0" w:type="dxa"/>
          <w:trHeight w:val="499" w:hRule="atLeast"/>
        </w:trPr>
        <w:tc>
          <w:tcPr>
            <w:tcW w:w="1160" w:type="pct"/>
            <w:tcBorders>
              <w:top w:val="single" w:color="auto" w:sz="4" w:space="0"/>
              <w:left w:val="single" w:color="auto" w:sz="8" w:space="0"/>
              <w:bottom w:val="single" w:color="auto" w:sz="8" w:space="0"/>
              <w:right w:val="single" w:color="auto" w:sz="8" w:space="0"/>
            </w:tcBorders>
            <w:noWrap w:val="0"/>
            <w:vAlign w:val="center"/>
          </w:tcPr>
          <w:p w14:paraId="27F06376">
            <w:pPr>
              <w:jc w:val="center"/>
              <w:rPr>
                <w:rFonts w:ascii="仿宋_GB2312" w:hAnsi="宋体" w:eastAsia="仿宋_GB2312" w:cs="宋体"/>
                <w:color w:val="000000"/>
                <w:sz w:val="24"/>
              </w:rPr>
            </w:pPr>
            <w:r>
              <w:rPr>
                <w:rFonts w:hint="eastAsia" w:ascii="仿宋_GB2312" w:eastAsia="仿宋_GB2312"/>
                <w:color w:val="000000"/>
              </w:rPr>
              <w:t>2019年</w:t>
            </w:r>
          </w:p>
        </w:tc>
        <w:tc>
          <w:tcPr>
            <w:tcW w:w="1303" w:type="pct"/>
            <w:tcBorders>
              <w:top w:val="nil"/>
              <w:left w:val="nil"/>
              <w:bottom w:val="single" w:color="auto" w:sz="8" w:space="0"/>
              <w:right w:val="single" w:color="auto" w:sz="8" w:space="0"/>
            </w:tcBorders>
            <w:noWrap w:val="0"/>
            <w:vAlign w:val="center"/>
          </w:tcPr>
          <w:p w14:paraId="71BFA95C">
            <w:pPr>
              <w:jc w:val="center"/>
              <w:rPr>
                <w:rFonts w:ascii="仿宋_GB2312" w:hAnsi="宋体" w:eastAsia="仿宋_GB2312" w:cs="宋体"/>
                <w:color w:val="000000"/>
                <w:sz w:val="24"/>
              </w:rPr>
            </w:pPr>
            <w:r>
              <w:rPr>
                <w:rFonts w:hint="eastAsia" w:ascii="仿宋_GB2312" w:eastAsia="仿宋_GB2312"/>
                <w:color w:val="000000"/>
              </w:rPr>
              <w:t>7055</w:t>
            </w:r>
          </w:p>
        </w:tc>
        <w:tc>
          <w:tcPr>
            <w:tcW w:w="1330" w:type="pct"/>
            <w:tcBorders>
              <w:top w:val="nil"/>
              <w:left w:val="nil"/>
              <w:bottom w:val="single" w:color="auto" w:sz="8" w:space="0"/>
              <w:right w:val="single" w:color="auto" w:sz="8" w:space="0"/>
            </w:tcBorders>
            <w:noWrap w:val="0"/>
            <w:vAlign w:val="center"/>
          </w:tcPr>
          <w:p w14:paraId="007D4298">
            <w:pPr>
              <w:jc w:val="center"/>
              <w:rPr>
                <w:rFonts w:ascii="仿宋_GB2312" w:hAnsi="宋体" w:eastAsia="仿宋_GB2312" w:cs="宋体"/>
                <w:color w:val="000000"/>
                <w:sz w:val="24"/>
              </w:rPr>
            </w:pPr>
            <w:r>
              <w:rPr>
                <w:rFonts w:hint="eastAsia" w:ascii="仿宋_GB2312" w:eastAsia="仿宋_GB2312"/>
                <w:color w:val="000000"/>
              </w:rPr>
              <w:t>1580</w:t>
            </w:r>
          </w:p>
        </w:tc>
        <w:tc>
          <w:tcPr>
            <w:tcW w:w="1207" w:type="pct"/>
            <w:tcBorders>
              <w:top w:val="nil"/>
              <w:left w:val="nil"/>
              <w:bottom w:val="single" w:color="auto" w:sz="8" w:space="0"/>
              <w:right w:val="single" w:color="auto" w:sz="8" w:space="0"/>
            </w:tcBorders>
            <w:noWrap w:val="0"/>
            <w:vAlign w:val="center"/>
          </w:tcPr>
          <w:p w14:paraId="61433E44">
            <w:pPr>
              <w:jc w:val="center"/>
              <w:rPr>
                <w:rFonts w:ascii="仿宋_GB2312" w:hAnsi="宋体" w:eastAsia="仿宋_GB2312" w:cs="宋体"/>
                <w:color w:val="000000"/>
                <w:sz w:val="24"/>
              </w:rPr>
            </w:pPr>
            <w:r>
              <w:rPr>
                <w:rFonts w:hint="eastAsia" w:ascii="仿宋_GB2312" w:eastAsia="仿宋_GB2312"/>
                <w:color w:val="000000"/>
              </w:rPr>
              <w:t>5393</w:t>
            </w:r>
          </w:p>
        </w:tc>
      </w:tr>
      <w:tr w14:paraId="2E3280C2">
        <w:tblPrEx>
          <w:tblCellMar>
            <w:top w:w="0" w:type="dxa"/>
            <w:left w:w="108" w:type="dxa"/>
            <w:bottom w:w="0" w:type="dxa"/>
            <w:right w:w="108" w:type="dxa"/>
          </w:tblCellMar>
        </w:tblPrEx>
        <w:trPr>
          <w:wBefore w:w="0" w:type="dxa"/>
          <w:wAfter w:w="0" w:type="dxa"/>
          <w:trHeight w:val="499" w:hRule="atLeast"/>
        </w:trPr>
        <w:tc>
          <w:tcPr>
            <w:tcW w:w="1160" w:type="pct"/>
            <w:tcBorders>
              <w:top w:val="nil"/>
              <w:left w:val="single" w:color="auto" w:sz="8" w:space="0"/>
              <w:bottom w:val="single" w:color="auto" w:sz="8" w:space="0"/>
              <w:right w:val="single" w:color="auto" w:sz="8" w:space="0"/>
            </w:tcBorders>
            <w:noWrap w:val="0"/>
            <w:vAlign w:val="center"/>
          </w:tcPr>
          <w:p w14:paraId="7E1D26A3">
            <w:pPr>
              <w:jc w:val="center"/>
              <w:rPr>
                <w:rFonts w:ascii="仿宋_GB2312" w:hAnsi="宋体" w:eastAsia="仿宋_GB2312" w:cs="宋体"/>
                <w:color w:val="000000"/>
                <w:sz w:val="24"/>
              </w:rPr>
            </w:pPr>
            <w:r>
              <w:rPr>
                <w:rFonts w:hint="eastAsia" w:ascii="仿宋_GB2312" w:eastAsia="仿宋_GB2312"/>
                <w:color w:val="000000"/>
              </w:rPr>
              <w:t>年</w:t>
            </w:r>
          </w:p>
        </w:tc>
        <w:tc>
          <w:tcPr>
            <w:tcW w:w="1303" w:type="pct"/>
            <w:tcBorders>
              <w:top w:val="nil"/>
              <w:left w:val="nil"/>
              <w:bottom w:val="single" w:color="auto" w:sz="8" w:space="0"/>
              <w:right w:val="single" w:color="auto" w:sz="8" w:space="0"/>
            </w:tcBorders>
            <w:noWrap w:val="0"/>
            <w:vAlign w:val="center"/>
          </w:tcPr>
          <w:p w14:paraId="079518EF">
            <w:pPr>
              <w:jc w:val="center"/>
              <w:rPr>
                <w:rFonts w:ascii="仿宋_GB2312" w:hAnsi="宋体" w:eastAsia="仿宋_GB2312" w:cs="宋体"/>
                <w:color w:val="000000"/>
                <w:sz w:val="24"/>
              </w:rPr>
            </w:pPr>
            <w:r>
              <w:rPr>
                <w:rFonts w:hint="eastAsia" w:ascii="仿宋_GB2312" w:eastAsia="仿宋_GB2312"/>
                <w:color w:val="000000"/>
              </w:rPr>
              <w:t>7682</w:t>
            </w:r>
          </w:p>
        </w:tc>
        <w:tc>
          <w:tcPr>
            <w:tcW w:w="1330" w:type="pct"/>
            <w:tcBorders>
              <w:top w:val="nil"/>
              <w:left w:val="nil"/>
              <w:bottom w:val="single" w:color="auto" w:sz="8" w:space="0"/>
              <w:right w:val="single" w:color="auto" w:sz="8" w:space="0"/>
            </w:tcBorders>
            <w:noWrap w:val="0"/>
            <w:vAlign w:val="center"/>
          </w:tcPr>
          <w:p w14:paraId="41332E84">
            <w:pPr>
              <w:jc w:val="center"/>
              <w:rPr>
                <w:rFonts w:ascii="仿宋_GB2312" w:hAnsi="宋体" w:eastAsia="仿宋_GB2312" w:cs="宋体"/>
                <w:color w:val="000000"/>
                <w:sz w:val="24"/>
              </w:rPr>
            </w:pPr>
            <w:r>
              <w:rPr>
                <w:rFonts w:hint="eastAsia" w:ascii="仿宋_GB2312" w:eastAsia="仿宋_GB2312"/>
                <w:color w:val="000000"/>
              </w:rPr>
              <w:t>3014</w:t>
            </w:r>
          </w:p>
        </w:tc>
        <w:tc>
          <w:tcPr>
            <w:tcW w:w="1207" w:type="pct"/>
            <w:tcBorders>
              <w:top w:val="nil"/>
              <w:left w:val="nil"/>
              <w:bottom w:val="single" w:color="auto" w:sz="8" w:space="0"/>
              <w:right w:val="single" w:color="auto" w:sz="8" w:space="0"/>
            </w:tcBorders>
            <w:noWrap w:val="0"/>
            <w:vAlign w:val="center"/>
          </w:tcPr>
          <w:p w14:paraId="5A43D0B4">
            <w:pPr>
              <w:jc w:val="center"/>
              <w:rPr>
                <w:rFonts w:ascii="仿宋_GB2312" w:hAnsi="宋体" w:eastAsia="仿宋_GB2312" w:cs="宋体"/>
                <w:color w:val="000000"/>
                <w:sz w:val="24"/>
              </w:rPr>
            </w:pPr>
            <w:r>
              <w:rPr>
                <w:rFonts w:hint="eastAsia" w:ascii="仿宋_GB2312" w:eastAsia="仿宋_GB2312"/>
                <w:color w:val="000000"/>
              </w:rPr>
              <w:t>5193</w:t>
            </w:r>
          </w:p>
        </w:tc>
      </w:tr>
    </w:tbl>
    <w:p w14:paraId="18BB5406">
      <w:pPr>
        <w:spacing w:line="460" w:lineRule="exact"/>
        <w:rPr>
          <w:rFonts w:hint="eastAsia" w:ascii="黑体" w:hAnsi="黑体" w:eastAsia="黑体"/>
          <w:color w:val="000000"/>
          <w:sz w:val="32"/>
          <w:szCs w:val="32"/>
        </w:rPr>
      </w:pPr>
    </w:p>
    <w:p w14:paraId="2D66F280">
      <w:pPr>
        <w:spacing w:line="460" w:lineRule="exact"/>
        <w:rPr>
          <w:rFonts w:hint="eastAsia" w:ascii="仿宋_GB2312" w:hAnsi="仿宋" w:eastAsia="仿宋_GB2312"/>
          <w:color w:val="000000"/>
          <w:sz w:val="32"/>
          <w:szCs w:val="32"/>
        </w:rPr>
      </w:pPr>
      <w:r>
        <w:rPr>
          <w:rFonts w:hint="eastAsia" w:ascii="黑体" w:hAnsi="黑体" w:eastAsia="黑体"/>
          <w:color w:val="000000"/>
          <w:sz w:val="32"/>
          <w:szCs w:val="32"/>
        </w:rPr>
        <w:t>图一</w:t>
      </w:r>
      <w:r>
        <w:rPr>
          <w:rFonts w:hint="eastAsia" w:ascii="仿宋_GB2312" w:hAnsi="仿宋" w:eastAsia="仿宋_GB2312"/>
          <w:color w:val="000000"/>
          <w:sz w:val="32"/>
          <w:szCs w:val="32"/>
        </w:rPr>
        <w:t>：</w:t>
      </w:r>
    </w:p>
    <w:p w14:paraId="5C026894">
      <w:pPr>
        <w:jc w:val="center"/>
        <w:rPr>
          <w:rFonts w:hint="eastAsia" w:ascii="方正小标宋简体" w:hAnsi="宋体" w:eastAsia="方正小标宋简体" w:cs="宋体"/>
          <w:color w:val="000000"/>
          <w:kern w:val="0"/>
          <w:sz w:val="28"/>
          <w:szCs w:val="28"/>
          <w:lang/>
        </w:rPr>
      </w:pPr>
      <w:r>
        <w:rPr>
          <w:rFonts w:ascii="方正小标宋简体" w:hAnsi="宋体" w:eastAsia="方正小标宋简体" w:cs="宋体"/>
          <w:color w:val="000000"/>
          <w:kern w:val="0"/>
          <w:sz w:val="28"/>
          <w:szCs w:val="28"/>
          <w:lang/>
        </w:rPr>
        <w:drawing>
          <wp:inline distT="0" distB="0" distL="114300" distR="114300">
            <wp:extent cx="5257165" cy="2399030"/>
            <wp:effectExtent l="5080" t="4445" r="14605" b="15875"/>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B880772">
      <w:pPr>
        <w:spacing w:line="560" w:lineRule="exac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 xml:space="preserve">    </w:t>
      </w:r>
      <w:r>
        <w:rPr>
          <w:rFonts w:ascii="Times New Roman" w:hAnsi="Times New Roman" w:eastAsia="仿宋_GB2312"/>
          <w:color w:val="000000"/>
          <w:sz w:val="32"/>
          <w:szCs w:val="32"/>
        </w:rPr>
        <w:t>由上表分析：第一，五华区市场监督管理局及辖区各监管所仍需加强了日常对市场监管的力度，以减少在食品安全和商品质量、服务等方面的投诉举报;第二，消费者维权意识有所加强，更主动也更懂得用合理合法的途径维护自身合法权益;第三，商家的服务意识有待提高，其商品质量也有待提升，以此减少相关方面的投诉举报；第四，覆盖全国的12315消费维权服务网络正不断发挥作用，使得不少消费纠纷得到及时处理，还市场一个更加有序，整洁的环境;第五，投诉举报热线更加深入到广大群众日常生活中，无论是日常咨询还是投诉都有明显上升趋势，特别是消费者举报量呈现成倍增长趋势。</w:t>
      </w:r>
    </w:p>
    <w:p w14:paraId="25F96B40">
      <w:pPr>
        <w:spacing w:line="560" w:lineRule="exact"/>
        <w:rPr>
          <w:rFonts w:hint="eastAsia" w:ascii="黑体" w:hAnsi="Times New Roman" w:eastAsia="黑体"/>
          <w:color w:val="000000"/>
          <w:sz w:val="32"/>
          <w:szCs w:val="32"/>
          <w:lang/>
        </w:rPr>
      </w:pPr>
      <w:r>
        <w:rPr>
          <w:rFonts w:ascii="Times New Roman" w:hAnsi="Times New Roman" w:eastAsia="仿宋_GB2312"/>
          <w:color w:val="000000"/>
          <w:sz w:val="32"/>
          <w:szCs w:val="32"/>
          <w:lang/>
        </w:rPr>
        <w:t xml:space="preserve">  </w:t>
      </w:r>
      <w:r>
        <w:rPr>
          <w:rFonts w:hint="eastAsia" w:ascii="黑体" w:hAnsi="Times New Roman" w:eastAsia="黑体"/>
          <w:color w:val="000000"/>
          <w:sz w:val="32"/>
          <w:szCs w:val="32"/>
          <w:lang/>
        </w:rPr>
        <w:t>（二）按各辖区统计情况分析</w:t>
      </w:r>
    </w:p>
    <w:p w14:paraId="6A039B28">
      <w:pPr>
        <w:spacing w:line="560" w:lineRule="exact"/>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    按照被投诉的行政区域进行划分，五华区投诉举报前五依次是：护国片区2010件，占总投诉量的18.79%；大观片区1791件，占总投诉量的16.74%；丰宁片区1060件，占总投诉量的9.91%；红云片区996件，占总投诉量9.31%；华山片区936件，占总投诉量8.76%，其余辖区分别是普吉片区745件，占总投诉量6.97%；莲华片区726件，占总投诉量6.79%；黑林铺片区671件，占总投诉量6.27%；龙翔片区301件，占总投诉量2.81%；西翥片区51件，占总投诉量0.48%。</w:t>
      </w:r>
    </w:p>
    <w:p w14:paraId="5457268C">
      <w:pPr>
        <w:spacing w:line="560" w:lineRule="exact"/>
        <w:rPr>
          <w:rFonts w:hint="eastAsia" w:ascii="黑体" w:hAnsi="黑体" w:eastAsia="黑体" w:cs="方正小标宋简体"/>
          <w:color w:val="000000"/>
          <w:sz w:val="32"/>
          <w:szCs w:val="32"/>
        </w:rPr>
      </w:pPr>
    </w:p>
    <w:p w14:paraId="140678CD">
      <w:pPr>
        <w:spacing w:line="560" w:lineRule="exact"/>
        <w:rPr>
          <w:rFonts w:hint="eastAsia" w:ascii="方正小标宋简体" w:hAnsi="方正小标宋简体" w:eastAsia="方正小标宋简体" w:cs="方正小标宋简体"/>
          <w:color w:val="000000"/>
          <w:sz w:val="32"/>
          <w:szCs w:val="32"/>
        </w:rPr>
      </w:pPr>
      <w:r>
        <w:rPr>
          <w:rFonts w:hint="eastAsia" w:ascii="黑体" w:hAnsi="黑体" w:eastAsia="黑体" w:cs="方正小标宋简体"/>
          <w:color w:val="000000"/>
          <w:sz w:val="32"/>
          <w:szCs w:val="32"/>
        </w:rPr>
        <w:t>表二</w:t>
      </w:r>
      <w:r>
        <w:rPr>
          <w:rFonts w:hint="eastAsia" w:ascii="方正小标宋简体" w:hAnsi="方正小标宋简体" w:eastAsia="方正小标宋简体" w:cs="方正小标宋简体"/>
          <w:color w:val="000000"/>
          <w:sz w:val="32"/>
          <w:szCs w:val="32"/>
        </w:rPr>
        <w:t>：</w:t>
      </w:r>
    </w:p>
    <w:p w14:paraId="498D6832">
      <w:pPr>
        <w:widowControl/>
        <w:jc w:val="center"/>
        <w:rPr>
          <w:rFonts w:hint="eastAsia" w:ascii="方正小标宋简体" w:hAnsi="宋体" w:eastAsia="方正小标宋简体" w:cs="宋体"/>
          <w:color w:val="000000"/>
          <w:kern w:val="0"/>
          <w:sz w:val="28"/>
          <w:szCs w:val="28"/>
        </w:rPr>
      </w:pPr>
      <w:r>
        <w:rPr>
          <w:rFonts w:hint="eastAsia" w:ascii="方正小标宋简体" w:hAnsi="宋体" w:eastAsia="方正小标宋简体" w:cs="宋体"/>
          <w:color w:val="000000"/>
          <w:kern w:val="0"/>
          <w:sz w:val="28"/>
          <w:szCs w:val="28"/>
        </w:rPr>
        <w:t>年全年投诉举报数量表</w:t>
      </w:r>
    </w:p>
    <w:tbl>
      <w:tblPr>
        <w:tblStyle w:val="13"/>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5"/>
        <w:gridCol w:w="2022"/>
        <w:gridCol w:w="1843"/>
        <w:gridCol w:w="1276"/>
        <w:gridCol w:w="1276"/>
      </w:tblGrid>
      <w:tr w14:paraId="6380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40A02B17">
            <w:pPr>
              <w:spacing w:line="340" w:lineRule="exact"/>
              <w:rPr>
                <w:rFonts w:hint="eastAsia" w:ascii="黑体" w:hAnsi="黑体" w:eastAsia="黑体" w:cs="黑体"/>
                <w:color w:val="000000"/>
                <w:sz w:val="24"/>
              </w:rPr>
            </w:pPr>
            <w:r>
              <w:rPr>
                <w:rFonts w:hint="eastAsia" w:ascii="黑体" w:hAnsi="黑体" w:eastAsia="黑体" w:cs="黑体"/>
                <w:color w:val="000000"/>
                <w:sz w:val="24"/>
              </w:rPr>
              <mc:AlternateContent>
                <mc:Choice Requires="wps">
                  <w:drawing>
                    <wp:anchor distT="0" distB="0" distL="114300" distR="114300" simplePos="0" relativeHeight="251662336" behindDoc="0" locked="0" layoutInCell="1" allowOverlap="1">
                      <wp:simplePos x="0" y="0"/>
                      <wp:positionH relativeFrom="column">
                        <wp:posOffset>-49530</wp:posOffset>
                      </wp:positionH>
                      <wp:positionV relativeFrom="paragraph">
                        <wp:posOffset>21590</wp:posOffset>
                      </wp:positionV>
                      <wp:extent cx="1286510" cy="372110"/>
                      <wp:effectExtent l="1270" t="4445" r="7620" b="4445"/>
                      <wp:wrapNone/>
                      <wp:docPr id="4" name="直线 2"/>
                      <wp:cNvGraphicFramePr/>
                      <a:graphic xmlns:a="http://schemas.openxmlformats.org/drawingml/2006/main">
                        <a:graphicData uri="http://schemas.microsoft.com/office/word/2010/wordprocessingShape">
                          <wps:wsp>
                            <wps:cNvSpPr/>
                            <wps:spPr>
                              <a:xfrm>
                                <a:off x="0" y="0"/>
                                <a:ext cx="1286510" cy="37211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3.9pt;margin-top:1.7pt;height:29.3pt;width:101.3pt;z-index:251662336;mso-width-relative:page;mso-height-relative:page;" filled="f" stroked="t" coordsize="21600,21600" o:gfxdata="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wH677V&#10;AAAABwEAAA8AAAAAAAAAAQAgAAAAIgAAAGRycy9kb3ducmV2LnhtbFBLAQIUABQAAAAIAIdO4kCh&#10;ejKp6gEAAOADAAAOAAAAAAAAAAEAIAAAACQBAABkcnMvZTJvRG9jLnhtbFBLBQYAAAAABgAGAFkB&#10;AACABQAAAAA=&#10;">
                      <v:fill on="f" focussize="0,0"/>
                      <v:stroke color="#000000" joinstyle="round"/>
                      <v:imagedata o:title=""/>
                      <o:lock v:ext="edit" aspectratio="f"/>
                    </v:line>
                  </w:pict>
                </mc:Fallback>
              </mc:AlternateContent>
            </w:r>
            <w:r>
              <w:rPr>
                <w:rFonts w:hint="eastAsia" w:ascii="黑体" w:hAnsi="黑体" w:eastAsia="黑体" w:cs="黑体"/>
                <w:color w:val="000000"/>
                <w:sz w:val="24"/>
              </w:rPr>
              <w:t xml:space="preserve">           分类</w:t>
            </w:r>
          </w:p>
          <w:p w14:paraId="34EF8994">
            <w:pPr>
              <w:spacing w:line="340" w:lineRule="exact"/>
              <w:rPr>
                <w:rFonts w:hint="eastAsia" w:ascii="黑体" w:hAnsi="黑体" w:eastAsia="黑体" w:cs="黑体"/>
                <w:color w:val="000000"/>
                <w:sz w:val="24"/>
              </w:rPr>
            </w:pPr>
            <w:r>
              <w:rPr>
                <w:rFonts w:hint="eastAsia" w:ascii="黑体" w:hAnsi="黑体" w:eastAsia="黑体" w:cs="黑体"/>
                <w:color w:val="000000"/>
                <w:sz w:val="24"/>
              </w:rPr>
              <w:t>处理单位</w:t>
            </w:r>
          </w:p>
        </w:tc>
        <w:tc>
          <w:tcPr>
            <w:tcW w:w="2022" w:type="dxa"/>
            <w:noWrap w:val="0"/>
            <w:vAlign w:val="center"/>
          </w:tcPr>
          <w:p w14:paraId="1416D5C9">
            <w:pPr>
              <w:spacing w:line="340" w:lineRule="exact"/>
              <w:jc w:val="center"/>
              <w:rPr>
                <w:rFonts w:hint="eastAsia" w:ascii="黑体" w:hAnsi="黑体" w:eastAsia="黑体" w:cs="黑体"/>
                <w:color w:val="000000"/>
                <w:sz w:val="24"/>
              </w:rPr>
            </w:pPr>
            <w:r>
              <w:rPr>
                <w:rFonts w:hint="eastAsia" w:ascii="黑体" w:hAnsi="黑体" w:eastAsia="黑体" w:cs="黑体"/>
                <w:color w:val="000000"/>
                <w:sz w:val="24"/>
              </w:rPr>
              <w:t>投诉案件数量（件）</w:t>
            </w:r>
          </w:p>
        </w:tc>
        <w:tc>
          <w:tcPr>
            <w:tcW w:w="1843" w:type="dxa"/>
            <w:noWrap w:val="0"/>
            <w:vAlign w:val="center"/>
          </w:tcPr>
          <w:p w14:paraId="6DB563D5">
            <w:pPr>
              <w:spacing w:line="340" w:lineRule="exact"/>
              <w:jc w:val="center"/>
              <w:rPr>
                <w:rFonts w:hint="eastAsia" w:ascii="黑体" w:hAnsi="黑体" w:eastAsia="黑体" w:cs="黑体"/>
                <w:color w:val="000000"/>
                <w:sz w:val="24"/>
              </w:rPr>
            </w:pPr>
            <w:r>
              <w:rPr>
                <w:rFonts w:hint="eastAsia" w:ascii="黑体" w:hAnsi="黑体" w:eastAsia="黑体" w:cs="黑体"/>
                <w:color w:val="000000"/>
                <w:sz w:val="24"/>
              </w:rPr>
              <w:t>举报案件数量（件）</w:t>
            </w:r>
          </w:p>
        </w:tc>
        <w:tc>
          <w:tcPr>
            <w:tcW w:w="1276" w:type="dxa"/>
            <w:noWrap w:val="0"/>
            <w:vAlign w:val="center"/>
          </w:tcPr>
          <w:p w14:paraId="58871C4A">
            <w:pPr>
              <w:spacing w:line="340" w:lineRule="exact"/>
              <w:jc w:val="center"/>
              <w:rPr>
                <w:rFonts w:hint="eastAsia" w:ascii="黑体" w:hAnsi="黑体" w:eastAsia="黑体" w:cs="黑体"/>
                <w:color w:val="000000"/>
                <w:sz w:val="24"/>
              </w:rPr>
            </w:pPr>
            <w:r>
              <w:rPr>
                <w:rFonts w:hint="eastAsia" w:ascii="黑体" w:hAnsi="黑体" w:eastAsia="黑体" w:cs="黑体"/>
                <w:color w:val="000000"/>
                <w:sz w:val="24"/>
              </w:rPr>
              <w:t>合计</w:t>
            </w:r>
          </w:p>
        </w:tc>
        <w:tc>
          <w:tcPr>
            <w:tcW w:w="1276" w:type="dxa"/>
            <w:noWrap w:val="0"/>
            <w:vAlign w:val="center"/>
          </w:tcPr>
          <w:p w14:paraId="119076BA">
            <w:pPr>
              <w:spacing w:line="340" w:lineRule="exact"/>
              <w:jc w:val="center"/>
              <w:rPr>
                <w:rFonts w:hint="eastAsia" w:ascii="黑体" w:hAnsi="黑体" w:eastAsia="黑体" w:cs="黑体"/>
                <w:color w:val="000000"/>
                <w:sz w:val="24"/>
              </w:rPr>
            </w:pPr>
            <w:r>
              <w:rPr>
                <w:rFonts w:hint="eastAsia" w:ascii="黑体" w:hAnsi="黑体" w:eastAsia="黑体" w:cs="黑体"/>
                <w:color w:val="000000"/>
                <w:sz w:val="24"/>
              </w:rPr>
              <w:t>所占比例</w:t>
            </w:r>
          </w:p>
        </w:tc>
      </w:tr>
      <w:tr w14:paraId="2185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5" w:hRule="atLeast"/>
        </w:trPr>
        <w:tc>
          <w:tcPr>
            <w:tcW w:w="2055" w:type="dxa"/>
            <w:noWrap w:val="0"/>
            <w:vAlign w:val="center"/>
          </w:tcPr>
          <w:p w14:paraId="2CF5AD09">
            <w:pPr>
              <w:jc w:val="center"/>
              <w:rPr>
                <w:rFonts w:ascii="宋体" w:hAnsi="宋体" w:cs="宋体"/>
                <w:color w:val="000000"/>
                <w:sz w:val="24"/>
              </w:rPr>
            </w:pPr>
            <w:r>
              <w:rPr>
                <w:rFonts w:hint="eastAsia" w:ascii="仿宋_GB2312" w:eastAsia="仿宋_GB2312"/>
                <w:color w:val="000000"/>
                <w:sz w:val="24"/>
              </w:rPr>
              <w:t>护国</w:t>
            </w:r>
          </w:p>
        </w:tc>
        <w:tc>
          <w:tcPr>
            <w:tcW w:w="2022" w:type="dxa"/>
            <w:noWrap w:val="0"/>
            <w:vAlign w:val="top"/>
          </w:tcPr>
          <w:p w14:paraId="7B10B5CA">
            <w:pPr>
              <w:jc w:val="center"/>
              <w:rPr>
                <w:rFonts w:ascii="仿宋_GB2312" w:hAnsi="宋体" w:eastAsia="仿宋_GB2312" w:cs="宋体"/>
                <w:color w:val="000000"/>
                <w:sz w:val="24"/>
              </w:rPr>
            </w:pPr>
            <w:r>
              <w:rPr>
                <w:rFonts w:hint="eastAsia" w:ascii="仿宋_GB2312" w:eastAsia="仿宋_GB2312"/>
                <w:color w:val="000000"/>
              </w:rPr>
              <w:t>1496</w:t>
            </w:r>
          </w:p>
        </w:tc>
        <w:tc>
          <w:tcPr>
            <w:tcW w:w="1843" w:type="dxa"/>
            <w:noWrap w:val="0"/>
            <w:vAlign w:val="center"/>
          </w:tcPr>
          <w:p w14:paraId="25825B6F">
            <w:pPr>
              <w:jc w:val="center"/>
              <w:rPr>
                <w:rFonts w:ascii="仿宋_GB2312" w:eastAsia="仿宋_GB2312"/>
                <w:color w:val="000000"/>
              </w:rPr>
            </w:pPr>
            <w:r>
              <w:rPr>
                <w:rFonts w:hint="eastAsia" w:ascii="仿宋_GB2312" w:eastAsia="仿宋_GB2312"/>
                <w:color w:val="000000"/>
              </w:rPr>
              <w:t>514</w:t>
            </w:r>
          </w:p>
        </w:tc>
        <w:tc>
          <w:tcPr>
            <w:tcW w:w="1276" w:type="dxa"/>
            <w:noWrap w:val="0"/>
            <w:vAlign w:val="top"/>
          </w:tcPr>
          <w:p w14:paraId="72A7A739">
            <w:pPr>
              <w:jc w:val="center"/>
              <w:rPr>
                <w:rFonts w:ascii="仿宋_GB2312" w:eastAsia="仿宋_GB2312"/>
                <w:color w:val="000000"/>
              </w:rPr>
            </w:pPr>
            <w:r>
              <w:rPr>
                <w:rFonts w:hint="eastAsia" w:ascii="仿宋_GB2312" w:eastAsia="仿宋_GB2312"/>
                <w:color w:val="000000"/>
              </w:rPr>
              <w:t>2010</w:t>
            </w:r>
          </w:p>
        </w:tc>
        <w:tc>
          <w:tcPr>
            <w:tcW w:w="1276" w:type="dxa"/>
            <w:noWrap w:val="0"/>
            <w:vAlign w:val="top"/>
          </w:tcPr>
          <w:p w14:paraId="0ACF9321">
            <w:pPr>
              <w:jc w:val="center"/>
              <w:rPr>
                <w:rFonts w:ascii="仿宋_GB2312" w:eastAsia="仿宋_GB2312"/>
                <w:color w:val="000000"/>
              </w:rPr>
            </w:pPr>
            <w:r>
              <w:rPr>
                <w:rFonts w:hint="eastAsia" w:ascii="仿宋_GB2312" w:eastAsia="仿宋_GB2312"/>
                <w:color w:val="000000"/>
              </w:rPr>
              <w:t>18.79%</w:t>
            </w:r>
          </w:p>
        </w:tc>
      </w:tr>
      <w:tr w14:paraId="4AB9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2C146D45">
            <w:pPr>
              <w:jc w:val="center"/>
              <w:rPr>
                <w:rFonts w:ascii="仿宋_GB2312" w:eastAsia="仿宋_GB2312"/>
                <w:color w:val="000000"/>
                <w:sz w:val="24"/>
              </w:rPr>
            </w:pPr>
            <w:r>
              <w:rPr>
                <w:rFonts w:hint="eastAsia" w:ascii="仿宋_GB2312" w:eastAsia="仿宋_GB2312"/>
                <w:color w:val="000000"/>
                <w:sz w:val="24"/>
              </w:rPr>
              <w:t>华山</w:t>
            </w:r>
          </w:p>
        </w:tc>
        <w:tc>
          <w:tcPr>
            <w:tcW w:w="2022" w:type="dxa"/>
            <w:noWrap w:val="0"/>
            <w:vAlign w:val="center"/>
          </w:tcPr>
          <w:p w14:paraId="7BAB7FC3">
            <w:pPr>
              <w:jc w:val="center"/>
              <w:rPr>
                <w:rFonts w:ascii="仿宋_GB2312" w:eastAsia="仿宋_GB2312"/>
                <w:color w:val="000000"/>
                <w:sz w:val="24"/>
              </w:rPr>
            </w:pPr>
            <w:r>
              <w:rPr>
                <w:rFonts w:hint="eastAsia" w:ascii="仿宋_GB2312" w:eastAsia="仿宋_GB2312"/>
                <w:color w:val="000000"/>
                <w:sz w:val="24"/>
              </w:rPr>
              <w:t>715</w:t>
            </w:r>
          </w:p>
        </w:tc>
        <w:tc>
          <w:tcPr>
            <w:tcW w:w="1843" w:type="dxa"/>
            <w:noWrap w:val="0"/>
            <w:vAlign w:val="center"/>
          </w:tcPr>
          <w:p w14:paraId="481A01B3">
            <w:pPr>
              <w:jc w:val="center"/>
              <w:rPr>
                <w:rFonts w:ascii="仿宋_GB2312" w:eastAsia="仿宋_GB2312"/>
                <w:color w:val="000000"/>
                <w:sz w:val="24"/>
              </w:rPr>
            </w:pPr>
            <w:r>
              <w:rPr>
                <w:rFonts w:hint="eastAsia" w:ascii="仿宋_GB2312" w:eastAsia="仿宋_GB2312"/>
                <w:color w:val="000000"/>
                <w:sz w:val="24"/>
              </w:rPr>
              <w:t>221</w:t>
            </w:r>
          </w:p>
        </w:tc>
        <w:tc>
          <w:tcPr>
            <w:tcW w:w="1276" w:type="dxa"/>
            <w:noWrap w:val="0"/>
            <w:vAlign w:val="top"/>
          </w:tcPr>
          <w:p w14:paraId="05B2028B">
            <w:pPr>
              <w:jc w:val="center"/>
              <w:rPr>
                <w:rFonts w:ascii="仿宋_GB2312" w:eastAsia="仿宋_GB2312"/>
                <w:color w:val="000000"/>
                <w:sz w:val="24"/>
              </w:rPr>
            </w:pPr>
            <w:r>
              <w:rPr>
                <w:rFonts w:hint="eastAsia" w:ascii="仿宋_GB2312" w:eastAsia="仿宋_GB2312"/>
                <w:color w:val="000000"/>
                <w:sz w:val="24"/>
              </w:rPr>
              <w:t>936</w:t>
            </w:r>
          </w:p>
        </w:tc>
        <w:tc>
          <w:tcPr>
            <w:tcW w:w="1276" w:type="dxa"/>
            <w:noWrap w:val="0"/>
            <w:vAlign w:val="top"/>
          </w:tcPr>
          <w:p w14:paraId="023DE8AB">
            <w:pPr>
              <w:jc w:val="center"/>
              <w:rPr>
                <w:rFonts w:ascii="仿宋_GB2312" w:eastAsia="仿宋_GB2312"/>
                <w:color w:val="000000"/>
                <w:sz w:val="24"/>
              </w:rPr>
            </w:pPr>
            <w:r>
              <w:rPr>
                <w:rFonts w:hint="eastAsia" w:ascii="仿宋_GB2312" w:eastAsia="仿宋_GB2312"/>
                <w:color w:val="000000"/>
                <w:sz w:val="24"/>
              </w:rPr>
              <w:t>8.76%</w:t>
            </w:r>
          </w:p>
        </w:tc>
      </w:tr>
      <w:tr w14:paraId="7F2F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7C4CF7FE">
            <w:pPr>
              <w:jc w:val="center"/>
              <w:rPr>
                <w:rFonts w:ascii="仿宋_GB2312" w:eastAsia="仿宋_GB2312"/>
                <w:color w:val="000000"/>
                <w:sz w:val="24"/>
              </w:rPr>
            </w:pPr>
            <w:r>
              <w:rPr>
                <w:rFonts w:hint="eastAsia" w:ascii="仿宋_GB2312" w:eastAsia="仿宋_GB2312"/>
                <w:color w:val="000000"/>
                <w:sz w:val="24"/>
              </w:rPr>
              <w:t>大观</w:t>
            </w:r>
          </w:p>
        </w:tc>
        <w:tc>
          <w:tcPr>
            <w:tcW w:w="2022" w:type="dxa"/>
            <w:noWrap w:val="0"/>
            <w:vAlign w:val="center"/>
          </w:tcPr>
          <w:p w14:paraId="49D7F378">
            <w:pPr>
              <w:jc w:val="center"/>
              <w:rPr>
                <w:rFonts w:ascii="仿宋_GB2312" w:eastAsia="仿宋_GB2312"/>
                <w:color w:val="000000"/>
                <w:sz w:val="24"/>
              </w:rPr>
            </w:pPr>
            <w:r>
              <w:rPr>
                <w:rFonts w:hint="eastAsia" w:ascii="仿宋_GB2312" w:eastAsia="仿宋_GB2312"/>
                <w:color w:val="000000"/>
                <w:sz w:val="24"/>
              </w:rPr>
              <w:t>1466</w:t>
            </w:r>
          </w:p>
        </w:tc>
        <w:tc>
          <w:tcPr>
            <w:tcW w:w="1843" w:type="dxa"/>
            <w:noWrap w:val="0"/>
            <w:vAlign w:val="center"/>
          </w:tcPr>
          <w:p w14:paraId="58215933">
            <w:pPr>
              <w:jc w:val="center"/>
              <w:rPr>
                <w:rFonts w:ascii="仿宋_GB2312" w:eastAsia="仿宋_GB2312"/>
                <w:color w:val="000000"/>
                <w:sz w:val="24"/>
              </w:rPr>
            </w:pPr>
            <w:r>
              <w:rPr>
                <w:rFonts w:hint="eastAsia" w:ascii="仿宋_GB2312" w:eastAsia="仿宋_GB2312"/>
                <w:color w:val="000000"/>
                <w:sz w:val="24"/>
              </w:rPr>
              <w:t>325</w:t>
            </w:r>
          </w:p>
        </w:tc>
        <w:tc>
          <w:tcPr>
            <w:tcW w:w="1276" w:type="dxa"/>
            <w:noWrap w:val="0"/>
            <w:vAlign w:val="top"/>
          </w:tcPr>
          <w:p w14:paraId="2903BFB7">
            <w:pPr>
              <w:jc w:val="center"/>
              <w:rPr>
                <w:rFonts w:ascii="仿宋_GB2312" w:eastAsia="仿宋_GB2312"/>
                <w:color w:val="000000"/>
                <w:sz w:val="24"/>
              </w:rPr>
            </w:pPr>
            <w:r>
              <w:rPr>
                <w:rFonts w:hint="eastAsia" w:ascii="仿宋_GB2312" w:eastAsia="仿宋_GB2312"/>
                <w:color w:val="000000"/>
                <w:sz w:val="24"/>
              </w:rPr>
              <w:t>1791</w:t>
            </w:r>
          </w:p>
        </w:tc>
        <w:tc>
          <w:tcPr>
            <w:tcW w:w="1276" w:type="dxa"/>
            <w:noWrap w:val="0"/>
            <w:vAlign w:val="top"/>
          </w:tcPr>
          <w:p w14:paraId="4EDDDEDC">
            <w:pPr>
              <w:jc w:val="center"/>
              <w:rPr>
                <w:rFonts w:ascii="仿宋_GB2312" w:eastAsia="仿宋_GB2312"/>
                <w:color w:val="000000"/>
                <w:sz w:val="24"/>
              </w:rPr>
            </w:pPr>
            <w:r>
              <w:rPr>
                <w:rFonts w:hint="eastAsia" w:ascii="仿宋_GB2312" w:eastAsia="仿宋_GB2312"/>
                <w:color w:val="000000"/>
                <w:sz w:val="24"/>
              </w:rPr>
              <w:t>16.74%</w:t>
            </w:r>
          </w:p>
        </w:tc>
      </w:tr>
      <w:tr w14:paraId="077C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71F72B66">
            <w:pPr>
              <w:jc w:val="center"/>
              <w:rPr>
                <w:rFonts w:ascii="仿宋_GB2312" w:eastAsia="仿宋_GB2312"/>
                <w:color w:val="000000"/>
                <w:sz w:val="24"/>
              </w:rPr>
            </w:pPr>
            <w:r>
              <w:rPr>
                <w:rFonts w:hint="eastAsia" w:ascii="仿宋_GB2312" w:eastAsia="仿宋_GB2312"/>
                <w:color w:val="000000"/>
                <w:sz w:val="24"/>
              </w:rPr>
              <w:t>龙翔</w:t>
            </w:r>
          </w:p>
        </w:tc>
        <w:tc>
          <w:tcPr>
            <w:tcW w:w="2022" w:type="dxa"/>
            <w:noWrap w:val="0"/>
            <w:vAlign w:val="center"/>
          </w:tcPr>
          <w:p w14:paraId="0FB3FBE7">
            <w:pPr>
              <w:jc w:val="center"/>
              <w:rPr>
                <w:rFonts w:ascii="仿宋_GB2312" w:eastAsia="仿宋_GB2312"/>
                <w:color w:val="000000"/>
                <w:sz w:val="24"/>
              </w:rPr>
            </w:pPr>
            <w:r>
              <w:rPr>
                <w:rFonts w:hint="eastAsia" w:ascii="仿宋_GB2312" w:eastAsia="仿宋_GB2312"/>
                <w:color w:val="000000"/>
                <w:sz w:val="24"/>
              </w:rPr>
              <w:t>190</w:t>
            </w:r>
          </w:p>
        </w:tc>
        <w:tc>
          <w:tcPr>
            <w:tcW w:w="1843" w:type="dxa"/>
            <w:noWrap w:val="0"/>
            <w:vAlign w:val="center"/>
          </w:tcPr>
          <w:p w14:paraId="45E61B97">
            <w:pPr>
              <w:jc w:val="center"/>
              <w:rPr>
                <w:rFonts w:ascii="仿宋_GB2312" w:eastAsia="仿宋_GB2312"/>
                <w:color w:val="000000"/>
                <w:sz w:val="24"/>
              </w:rPr>
            </w:pPr>
            <w:r>
              <w:rPr>
                <w:rFonts w:hint="eastAsia" w:ascii="仿宋_GB2312" w:eastAsia="仿宋_GB2312"/>
                <w:color w:val="000000"/>
                <w:sz w:val="24"/>
              </w:rPr>
              <w:t>111</w:t>
            </w:r>
          </w:p>
        </w:tc>
        <w:tc>
          <w:tcPr>
            <w:tcW w:w="1276" w:type="dxa"/>
            <w:noWrap w:val="0"/>
            <w:vAlign w:val="top"/>
          </w:tcPr>
          <w:p w14:paraId="4D6B4041">
            <w:pPr>
              <w:jc w:val="center"/>
              <w:rPr>
                <w:rFonts w:ascii="仿宋_GB2312" w:eastAsia="仿宋_GB2312"/>
                <w:color w:val="000000"/>
                <w:sz w:val="24"/>
              </w:rPr>
            </w:pPr>
            <w:r>
              <w:rPr>
                <w:rFonts w:hint="eastAsia" w:ascii="仿宋_GB2312" w:eastAsia="仿宋_GB2312"/>
                <w:color w:val="000000"/>
                <w:sz w:val="24"/>
              </w:rPr>
              <w:t>301</w:t>
            </w:r>
          </w:p>
        </w:tc>
        <w:tc>
          <w:tcPr>
            <w:tcW w:w="1276" w:type="dxa"/>
            <w:noWrap w:val="0"/>
            <w:vAlign w:val="top"/>
          </w:tcPr>
          <w:p w14:paraId="4565AA8A">
            <w:pPr>
              <w:jc w:val="center"/>
              <w:rPr>
                <w:rFonts w:ascii="仿宋_GB2312" w:eastAsia="仿宋_GB2312"/>
                <w:color w:val="000000"/>
                <w:sz w:val="24"/>
              </w:rPr>
            </w:pPr>
            <w:r>
              <w:rPr>
                <w:rFonts w:hint="eastAsia" w:ascii="仿宋_GB2312" w:eastAsia="仿宋_GB2312"/>
                <w:color w:val="000000"/>
                <w:sz w:val="24"/>
              </w:rPr>
              <w:t>2.81%</w:t>
            </w:r>
          </w:p>
        </w:tc>
      </w:tr>
      <w:tr w14:paraId="3B60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4938AD5D">
            <w:pPr>
              <w:jc w:val="center"/>
              <w:rPr>
                <w:rFonts w:ascii="仿宋_GB2312" w:eastAsia="仿宋_GB2312"/>
                <w:color w:val="000000"/>
                <w:sz w:val="24"/>
              </w:rPr>
            </w:pPr>
            <w:r>
              <w:rPr>
                <w:rFonts w:hint="eastAsia" w:ascii="仿宋_GB2312" w:eastAsia="仿宋_GB2312"/>
                <w:color w:val="000000"/>
                <w:sz w:val="24"/>
              </w:rPr>
              <w:t>莲华</w:t>
            </w:r>
          </w:p>
        </w:tc>
        <w:tc>
          <w:tcPr>
            <w:tcW w:w="2022" w:type="dxa"/>
            <w:noWrap w:val="0"/>
            <w:vAlign w:val="center"/>
          </w:tcPr>
          <w:p w14:paraId="71A61D7F">
            <w:pPr>
              <w:jc w:val="center"/>
              <w:rPr>
                <w:rFonts w:ascii="仿宋_GB2312" w:eastAsia="仿宋_GB2312"/>
                <w:color w:val="000000"/>
                <w:sz w:val="24"/>
              </w:rPr>
            </w:pPr>
            <w:r>
              <w:rPr>
                <w:rFonts w:hint="eastAsia" w:ascii="仿宋_GB2312" w:eastAsia="仿宋_GB2312"/>
                <w:color w:val="000000"/>
                <w:sz w:val="24"/>
              </w:rPr>
              <w:t>423</w:t>
            </w:r>
          </w:p>
        </w:tc>
        <w:tc>
          <w:tcPr>
            <w:tcW w:w="1843" w:type="dxa"/>
            <w:noWrap w:val="0"/>
            <w:vAlign w:val="center"/>
          </w:tcPr>
          <w:p w14:paraId="2596C1F4">
            <w:pPr>
              <w:jc w:val="center"/>
              <w:rPr>
                <w:rFonts w:ascii="仿宋_GB2312" w:eastAsia="仿宋_GB2312"/>
                <w:color w:val="000000"/>
                <w:sz w:val="24"/>
              </w:rPr>
            </w:pPr>
            <w:r>
              <w:rPr>
                <w:rFonts w:hint="eastAsia" w:ascii="仿宋_GB2312" w:eastAsia="仿宋_GB2312"/>
                <w:color w:val="000000"/>
                <w:sz w:val="24"/>
              </w:rPr>
              <w:t>303</w:t>
            </w:r>
          </w:p>
        </w:tc>
        <w:tc>
          <w:tcPr>
            <w:tcW w:w="1276" w:type="dxa"/>
            <w:noWrap w:val="0"/>
            <w:vAlign w:val="top"/>
          </w:tcPr>
          <w:p w14:paraId="41F62DAC">
            <w:pPr>
              <w:jc w:val="center"/>
              <w:rPr>
                <w:rFonts w:ascii="仿宋_GB2312" w:eastAsia="仿宋_GB2312"/>
                <w:color w:val="000000"/>
                <w:sz w:val="24"/>
              </w:rPr>
            </w:pPr>
            <w:r>
              <w:rPr>
                <w:rFonts w:hint="eastAsia" w:ascii="仿宋_GB2312" w:eastAsia="仿宋_GB2312"/>
                <w:color w:val="000000"/>
                <w:sz w:val="24"/>
              </w:rPr>
              <w:t>726</w:t>
            </w:r>
          </w:p>
        </w:tc>
        <w:tc>
          <w:tcPr>
            <w:tcW w:w="1276" w:type="dxa"/>
            <w:noWrap w:val="0"/>
            <w:vAlign w:val="top"/>
          </w:tcPr>
          <w:p w14:paraId="4772E3FD">
            <w:pPr>
              <w:jc w:val="center"/>
              <w:rPr>
                <w:rFonts w:ascii="仿宋_GB2312" w:eastAsia="仿宋_GB2312"/>
                <w:color w:val="000000"/>
                <w:sz w:val="24"/>
              </w:rPr>
            </w:pPr>
            <w:r>
              <w:rPr>
                <w:rFonts w:hint="eastAsia" w:ascii="仿宋_GB2312" w:eastAsia="仿宋_GB2312"/>
                <w:color w:val="000000"/>
                <w:sz w:val="24"/>
              </w:rPr>
              <w:t>6.79%</w:t>
            </w:r>
          </w:p>
        </w:tc>
      </w:tr>
      <w:tr w14:paraId="527B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59433E04">
            <w:pPr>
              <w:jc w:val="center"/>
              <w:rPr>
                <w:rFonts w:ascii="仿宋_GB2312" w:eastAsia="仿宋_GB2312"/>
                <w:color w:val="000000"/>
                <w:sz w:val="24"/>
              </w:rPr>
            </w:pPr>
            <w:r>
              <w:rPr>
                <w:rFonts w:hint="eastAsia" w:ascii="仿宋_GB2312" w:eastAsia="仿宋_GB2312"/>
                <w:color w:val="000000"/>
                <w:sz w:val="24"/>
              </w:rPr>
              <w:t>红云</w:t>
            </w:r>
          </w:p>
        </w:tc>
        <w:tc>
          <w:tcPr>
            <w:tcW w:w="2022" w:type="dxa"/>
            <w:noWrap w:val="0"/>
            <w:vAlign w:val="center"/>
          </w:tcPr>
          <w:p w14:paraId="7DD94398">
            <w:pPr>
              <w:jc w:val="center"/>
              <w:rPr>
                <w:rFonts w:ascii="仿宋_GB2312" w:eastAsia="仿宋_GB2312"/>
                <w:color w:val="000000"/>
                <w:sz w:val="24"/>
              </w:rPr>
            </w:pPr>
            <w:r>
              <w:rPr>
                <w:rFonts w:hint="eastAsia" w:ascii="仿宋_GB2312" w:eastAsia="仿宋_GB2312"/>
                <w:color w:val="000000"/>
                <w:sz w:val="24"/>
              </w:rPr>
              <w:t>592</w:t>
            </w:r>
          </w:p>
        </w:tc>
        <w:tc>
          <w:tcPr>
            <w:tcW w:w="1843" w:type="dxa"/>
            <w:noWrap w:val="0"/>
            <w:vAlign w:val="center"/>
          </w:tcPr>
          <w:p w14:paraId="2BB9D851">
            <w:pPr>
              <w:jc w:val="center"/>
              <w:rPr>
                <w:rFonts w:ascii="仿宋_GB2312" w:eastAsia="仿宋_GB2312"/>
                <w:color w:val="000000"/>
                <w:sz w:val="24"/>
              </w:rPr>
            </w:pPr>
            <w:r>
              <w:rPr>
                <w:rFonts w:hint="eastAsia" w:ascii="仿宋_GB2312" w:eastAsia="仿宋_GB2312"/>
                <w:color w:val="000000"/>
                <w:sz w:val="24"/>
              </w:rPr>
              <w:t>404</w:t>
            </w:r>
          </w:p>
        </w:tc>
        <w:tc>
          <w:tcPr>
            <w:tcW w:w="1276" w:type="dxa"/>
            <w:noWrap w:val="0"/>
            <w:vAlign w:val="top"/>
          </w:tcPr>
          <w:p w14:paraId="54A0E102">
            <w:pPr>
              <w:jc w:val="center"/>
              <w:rPr>
                <w:rFonts w:ascii="仿宋_GB2312" w:eastAsia="仿宋_GB2312"/>
                <w:color w:val="000000"/>
                <w:sz w:val="24"/>
              </w:rPr>
            </w:pPr>
            <w:r>
              <w:rPr>
                <w:rFonts w:hint="eastAsia" w:ascii="仿宋_GB2312" w:eastAsia="仿宋_GB2312"/>
                <w:color w:val="000000"/>
                <w:sz w:val="24"/>
              </w:rPr>
              <w:t>996</w:t>
            </w:r>
          </w:p>
        </w:tc>
        <w:tc>
          <w:tcPr>
            <w:tcW w:w="1276" w:type="dxa"/>
            <w:noWrap w:val="0"/>
            <w:vAlign w:val="top"/>
          </w:tcPr>
          <w:p w14:paraId="5A49721A">
            <w:pPr>
              <w:jc w:val="center"/>
              <w:rPr>
                <w:rFonts w:ascii="仿宋_GB2312" w:eastAsia="仿宋_GB2312"/>
                <w:color w:val="000000"/>
                <w:sz w:val="24"/>
              </w:rPr>
            </w:pPr>
            <w:r>
              <w:rPr>
                <w:rFonts w:hint="eastAsia" w:ascii="仿宋_GB2312" w:eastAsia="仿宋_GB2312"/>
                <w:color w:val="000000"/>
                <w:sz w:val="24"/>
              </w:rPr>
              <w:t>9.31%</w:t>
            </w:r>
          </w:p>
        </w:tc>
      </w:tr>
      <w:tr w14:paraId="3FAF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7D99F76F">
            <w:pPr>
              <w:jc w:val="center"/>
              <w:rPr>
                <w:rFonts w:ascii="仿宋_GB2312" w:eastAsia="仿宋_GB2312"/>
                <w:color w:val="000000"/>
                <w:sz w:val="24"/>
              </w:rPr>
            </w:pPr>
            <w:r>
              <w:rPr>
                <w:rFonts w:hint="eastAsia" w:ascii="仿宋_GB2312" w:eastAsia="仿宋_GB2312"/>
                <w:color w:val="000000"/>
                <w:sz w:val="24"/>
              </w:rPr>
              <w:t>丰宁</w:t>
            </w:r>
          </w:p>
        </w:tc>
        <w:tc>
          <w:tcPr>
            <w:tcW w:w="2022" w:type="dxa"/>
            <w:noWrap w:val="0"/>
            <w:vAlign w:val="center"/>
          </w:tcPr>
          <w:p w14:paraId="7E47E0B0">
            <w:pPr>
              <w:jc w:val="center"/>
              <w:rPr>
                <w:rFonts w:ascii="仿宋_GB2312" w:eastAsia="仿宋_GB2312"/>
                <w:color w:val="000000"/>
                <w:sz w:val="24"/>
              </w:rPr>
            </w:pPr>
            <w:r>
              <w:rPr>
                <w:rFonts w:hint="eastAsia" w:ascii="仿宋_GB2312" w:eastAsia="仿宋_GB2312"/>
                <w:color w:val="000000"/>
                <w:sz w:val="24"/>
              </w:rPr>
              <w:t>797</w:t>
            </w:r>
          </w:p>
        </w:tc>
        <w:tc>
          <w:tcPr>
            <w:tcW w:w="1843" w:type="dxa"/>
            <w:noWrap w:val="0"/>
            <w:vAlign w:val="center"/>
          </w:tcPr>
          <w:p w14:paraId="4564658B">
            <w:pPr>
              <w:jc w:val="center"/>
              <w:rPr>
                <w:rFonts w:ascii="仿宋_GB2312" w:eastAsia="仿宋_GB2312"/>
                <w:color w:val="000000"/>
                <w:sz w:val="24"/>
              </w:rPr>
            </w:pPr>
            <w:r>
              <w:rPr>
                <w:rFonts w:hint="eastAsia" w:ascii="仿宋_GB2312" w:eastAsia="仿宋_GB2312"/>
                <w:color w:val="000000"/>
                <w:sz w:val="24"/>
              </w:rPr>
              <w:t>263</w:t>
            </w:r>
          </w:p>
        </w:tc>
        <w:tc>
          <w:tcPr>
            <w:tcW w:w="1276" w:type="dxa"/>
            <w:noWrap w:val="0"/>
            <w:vAlign w:val="top"/>
          </w:tcPr>
          <w:p w14:paraId="0375439E">
            <w:pPr>
              <w:jc w:val="center"/>
              <w:rPr>
                <w:rFonts w:ascii="仿宋_GB2312" w:eastAsia="仿宋_GB2312"/>
                <w:color w:val="000000"/>
                <w:sz w:val="24"/>
              </w:rPr>
            </w:pPr>
            <w:r>
              <w:rPr>
                <w:rFonts w:hint="eastAsia" w:ascii="仿宋_GB2312" w:eastAsia="仿宋_GB2312"/>
                <w:color w:val="000000"/>
                <w:sz w:val="24"/>
              </w:rPr>
              <w:t>1060</w:t>
            </w:r>
          </w:p>
        </w:tc>
        <w:tc>
          <w:tcPr>
            <w:tcW w:w="1276" w:type="dxa"/>
            <w:noWrap w:val="0"/>
            <w:vAlign w:val="top"/>
          </w:tcPr>
          <w:p w14:paraId="2B5C0065">
            <w:pPr>
              <w:jc w:val="center"/>
              <w:rPr>
                <w:rFonts w:ascii="仿宋_GB2312" w:eastAsia="仿宋_GB2312"/>
                <w:color w:val="000000"/>
                <w:sz w:val="24"/>
              </w:rPr>
            </w:pPr>
            <w:r>
              <w:rPr>
                <w:rFonts w:hint="eastAsia" w:ascii="仿宋_GB2312" w:eastAsia="仿宋_GB2312"/>
                <w:color w:val="000000"/>
                <w:sz w:val="24"/>
              </w:rPr>
              <w:t>9.91%</w:t>
            </w:r>
          </w:p>
        </w:tc>
      </w:tr>
      <w:tr w14:paraId="31CA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22F319EE">
            <w:pPr>
              <w:jc w:val="center"/>
              <w:rPr>
                <w:rFonts w:ascii="仿宋_GB2312" w:eastAsia="仿宋_GB2312"/>
                <w:color w:val="000000"/>
                <w:sz w:val="24"/>
              </w:rPr>
            </w:pPr>
            <w:r>
              <w:rPr>
                <w:rFonts w:hint="eastAsia" w:ascii="仿宋_GB2312" w:eastAsia="仿宋_GB2312"/>
                <w:color w:val="000000"/>
                <w:sz w:val="24"/>
              </w:rPr>
              <w:t>普吉</w:t>
            </w:r>
          </w:p>
        </w:tc>
        <w:tc>
          <w:tcPr>
            <w:tcW w:w="2022" w:type="dxa"/>
            <w:noWrap w:val="0"/>
            <w:vAlign w:val="center"/>
          </w:tcPr>
          <w:p w14:paraId="19CE65EC">
            <w:pPr>
              <w:jc w:val="center"/>
              <w:rPr>
                <w:rFonts w:ascii="仿宋_GB2312" w:eastAsia="仿宋_GB2312"/>
                <w:color w:val="000000"/>
                <w:sz w:val="24"/>
              </w:rPr>
            </w:pPr>
            <w:r>
              <w:rPr>
                <w:rFonts w:hint="eastAsia" w:ascii="仿宋_GB2312" w:eastAsia="仿宋_GB2312"/>
                <w:color w:val="000000"/>
                <w:sz w:val="24"/>
              </w:rPr>
              <w:t>486</w:t>
            </w:r>
          </w:p>
        </w:tc>
        <w:tc>
          <w:tcPr>
            <w:tcW w:w="1843" w:type="dxa"/>
            <w:noWrap w:val="0"/>
            <w:vAlign w:val="center"/>
          </w:tcPr>
          <w:p w14:paraId="3E665FA4">
            <w:pPr>
              <w:jc w:val="center"/>
              <w:rPr>
                <w:rFonts w:ascii="仿宋_GB2312" w:eastAsia="仿宋_GB2312"/>
                <w:color w:val="000000"/>
                <w:sz w:val="24"/>
              </w:rPr>
            </w:pPr>
            <w:r>
              <w:rPr>
                <w:rFonts w:hint="eastAsia" w:ascii="仿宋_GB2312" w:eastAsia="仿宋_GB2312"/>
                <w:color w:val="000000"/>
                <w:sz w:val="24"/>
              </w:rPr>
              <w:t>259</w:t>
            </w:r>
          </w:p>
        </w:tc>
        <w:tc>
          <w:tcPr>
            <w:tcW w:w="1276" w:type="dxa"/>
            <w:noWrap w:val="0"/>
            <w:vAlign w:val="top"/>
          </w:tcPr>
          <w:p w14:paraId="412165D0">
            <w:pPr>
              <w:jc w:val="center"/>
              <w:rPr>
                <w:rFonts w:ascii="仿宋_GB2312" w:eastAsia="仿宋_GB2312"/>
                <w:color w:val="000000"/>
                <w:sz w:val="24"/>
              </w:rPr>
            </w:pPr>
            <w:r>
              <w:rPr>
                <w:rFonts w:hint="eastAsia" w:ascii="仿宋_GB2312" w:eastAsia="仿宋_GB2312"/>
                <w:color w:val="000000"/>
                <w:sz w:val="24"/>
              </w:rPr>
              <w:t>745</w:t>
            </w:r>
          </w:p>
        </w:tc>
        <w:tc>
          <w:tcPr>
            <w:tcW w:w="1276" w:type="dxa"/>
            <w:noWrap w:val="0"/>
            <w:vAlign w:val="top"/>
          </w:tcPr>
          <w:p w14:paraId="05B41885">
            <w:pPr>
              <w:jc w:val="center"/>
              <w:rPr>
                <w:rFonts w:ascii="仿宋_GB2312" w:eastAsia="仿宋_GB2312"/>
                <w:color w:val="000000"/>
                <w:sz w:val="24"/>
              </w:rPr>
            </w:pPr>
            <w:r>
              <w:rPr>
                <w:rFonts w:hint="eastAsia" w:ascii="仿宋_GB2312" w:eastAsia="仿宋_GB2312"/>
                <w:color w:val="000000"/>
                <w:sz w:val="24"/>
              </w:rPr>
              <w:t>6.97%</w:t>
            </w:r>
          </w:p>
        </w:tc>
      </w:tr>
      <w:tr w14:paraId="2E0C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068C6BCA">
            <w:pPr>
              <w:jc w:val="center"/>
              <w:rPr>
                <w:rFonts w:ascii="仿宋_GB2312" w:eastAsia="仿宋_GB2312"/>
                <w:color w:val="000000"/>
                <w:sz w:val="24"/>
              </w:rPr>
            </w:pPr>
            <w:r>
              <w:rPr>
                <w:rFonts w:hint="eastAsia" w:ascii="仿宋_GB2312" w:eastAsia="仿宋_GB2312"/>
                <w:color w:val="000000"/>
                <w:sz w:val="24"/>
              </w:rPr>
              <w:t>黑林铺</w:t>
            </w:r>
          </w:p>
        </w:tc>
        <w:tc>
          <w:tcPr>
            <w:tcW w:w="2022" w:type="dxa"/>
            <w:noWrap w:val="0"/>
            <w:vAlign w:val="center"/>
          </w:tcPr>
          <w:p w14:paraId="72A5DCB4">
            <w:pPr>
              <w:jc w:val="center"/>
              <w:rPr>
                <w:rFonts w:ascii="仿宋_GB2312" w:eastAsia="仿宋_GB2312"/>
                <w:color w:val="000000"/>
                <w:sz w:val="24"/>
              </w:rPr>
            </w:pPr>
            <w:r>
              <w:rPr>
                <w:rFonts w:hint="eastAsia" w:ascii="仿宋_GB2312" w:eastAsia="仿宋_GB2312"/>
                <w:color w:val="000000"/>
                <w:sz w:val="24"/>
              </w:rPr>
              <w:t>386</w:t>
            </w:r>
          </w:p>
        </w:tc>
        <w:tc>
          <w:tcPr>
            <w:tcW w:w="1843" w:type="dxa"/>
            <w:noWrap w:val="0"/>
            <w:vAlign w:val="center"/>
          </w:tcPr>
          <w:p w14:paraId="245307B6">
            <w:pPr>
              <w:jc w:val="center"/>
              <w:rPr>
                <w:rFonts w:ascii="仿宋_GB2312" w:eastAsia="仿宋_GB2312"/>
                <w:color w:val="000000"/>
                <w:sz w:val="24"/>
              </w:rPr>
            </w:pPr>
            <w:r>
              <w:rPr>
                <w:rFonts w:hint="eastAsia" w:ascii="仿宋_GB2312" w:eastAsia="仿宋_GB2312"/>
                <w:color w:val="000000"/>
                <w:sz w:val="24"/>
              </w:rPr>
              <w:t>285</w:t>
            </w:r>
          </w:p>
        </w:tc>
        <w:tc>
          <w:tcPr>
            <w:tcW w:w="1276" w:type="dxa"/>
            <w:noWrap w:val="0"/>
            <w:vAlign w:val="top"/>
          </w:tcPr>
          <w:p w14:paraId="7240710E">
            <w:pPr>
              <w:jc w:val="center"/>
              <w:rPr>
                <w:rFonts w:ascii="仿宋_GB2312" w:eastAsia="仿宋_GB2312"/>
                <w:color w:val="000000"/>
                <w:sz w:val="24"/>
              </w:rPr>
            </w:pPr>
            <w:r>
              <w:rPr>
                <w:rFonts w:hint="eastAsia" w:ascii="仿宋_GB2312" w:eastAsia="仿宋_GB2312"/>
                <w:color w:val="000000"/>
                <w:sz w:val="24"/>
              </w:rPr>
              <w:t>671</w:t>
            </w:r>
          </w:p>
        </w:tc>
        <w:tc>
          <w:tcPr>
            <w:tcW w:w="1276" w:type="dxa"/>
            <w:noWrap w:val="0"/>
            <w:vAlign w:val="top"/>
          </w:tcPr>
          <w:p w14:paraId="209295B9">
            <w:pPr>
              <w:jc w:val="center"/>
              <w:rPr>
                <w:rFonts w:ascii="仿宋_GB2312" w:eastAsia="仿宋_GB2312"/>
                <w:color w:val="000000"/>
                <w:sz w:val="24"/>
              </w:rPr>
            </w:pPr>
            <w:r>
              <w:rPr>
                <w:rFonts w:hint="eastAsia" w:ascii="仿宋_GB2312" w:eastAsia="仿宋_GB2312"/>
                <w:color w:val="000000"/>
                <w:sz w:val="24"/>
              </w:rPr>
              <w:t>6.27%</w:t>
            </w:r>
          </w:p>
        </w:tc>
      </w:tr>
      <w:tr w14:paraId="6576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3AEEB193">
            <w:pPr>
              <w:jc w:val="center"/>
              <w:rPr>
                <w:rFonts w:ascii="仿宋_GB2312" w:eastAsia="仿宋_GB2312"/>
                <w:color w:val="000000"/>
                <w:sz w:val="24"/>
              </w:rPr>
            </w:pPr>
            <w:r>
              <w:rPr>
                <w:rFonts w:hint="eastAsia" w:ascii="仿宋_GB2312" w:eastAsia="仿宋_GB2312"/>
                <w:color w:val="000000"/>
                <w:sz w:val="24"/>
              </w:rPr>
              <w:t>西翥</w:t>
            </w:r>
          </w:p>
        </w:tc>
        <w:tc>
          <w:tcPr>
            <w:tcW w:w="2022" w:type="dxa"/>
            <w:noWrap w:val="0"/>
            <w:vAlign w:val="center"/>
          </w:tcPr>
          <w:p w14:paraId="29A7AF1F">
            <w:pPr>
              <w:jc w:val="center"/>
              <w:rPr>
                <w:rFonts w:ascii="仿宋_GB2312" w:eastAsia="仿宋_GB2312"/>
                <w:color w:val="000000"/>
                <w:sz w:val="24"/>
              </w:rPr>
            </w:pPr>
            <w:r>
              <w:rPr>
                <w:rFonts w:hint="eastAsia" w:ascii="仿宋_GB2312" w:eastAsia="仿宋_GB2312"/>
                <w:color w:val="000000"/>
                <w:sz w:val="24"/>
              </w:rPr>
              <w:t>21</w:t>
            </w:r>
          </w:p>
        </w:tc>
        <w:tc>
          <w:tcPr>
            <w:tcW w:w="1843" w:type="dxa"/>
            <w:noWrap w:val="0"/>
            <w:vAlign w:val="center"/>
          </w:tcPr>
          <w:p w14:paraId="4A1478EC">
            <w:pPr>
              <w:jc w:val="center"/>
              <w:rPr>
                <w:rFonts w:ascii="仿宋_GB2312" w:eastAsia="仿宋_GB2312"/>
                <w:color w:val="000000"/>
                <w:sz w:val="24"/>
              </w:rPr>
            </w:pPr>
            <w:r>
              <w:rPr>
                <w:rFonts w:hint="eastAsia" w:ascii="仿宋_GB2312" w:eastAsia="仿宋_GB2312"/>
                <w:color w:val="000000"/>
                <w:sz w:val="24"/>
              </w:rPr>
              <w:t>30</w:t>
            </w:r>
          </w:p>
        </w:tc>
        <w:tc>
          <w:tcPr>
            <w:tcW w:w="1276" w:type="dxa"/>
            <w:noWrap w:val="0"/>
            <w:vAlign w:val="top"/>
          </w:tcPr>
          <w:p w14:paraId="0630E797">
            <w:pPr>
              <w:jc w:val="center"/>
              <w:rPr>
                <w:rFonts w:ascii="仿宋_GB2312" w:eastAsia="仿宋_GB2312"/>
                <w:color w:val="000000"/>
                <w:sz w:val="24"/>
              </w:rPr>
            </w:pPr>
            <w:r>
              <w:rPr>
                <w:rFonts w:hint="eastAsia" w:ascii="仿宋_GB2312" w:eastAsia="仿宋_GB2312"/>
                <w:color w:val="000000"/>
                <w:sz w:val="24"/>
              </w:rPr>
              <w:t>51</w:t>
            </w:r>
          </w:p>
        </w:tc>
        <w:tc>
          <w:tcPr>
            <w:tcW w:w="1276" w:type="dxa"/>
            <w:noWrap w:val="0"/>
            <w:vAlign w:val="top"/>
          </w:tcPr>
          <w:p w14:paraId="07F32CCC">
            <w:pPr>
              <w:jc w:val="center"/>
              <w:rPr>
                <w:rFonts w:ascii="仿宋_GB2312" w:eastAsia="仿宋_GB2312"/>
                <w:color w:val="000000"/>
                <w:sz w:val="24"/>
              </w:rPr>
            </w:pPr>
            <w:r>
              <w:rPr>
                <w:rFonts w:hint="eastAsia" w:ascii="仿宋_GB2312" w:eastAsia="仿宋_GB2312"/>
                <w:color w:val="000000"/>
                <w:sz w:val="24"/>
              </w:rPr>
              <w:t>0.48%</w:t>
            </w:r>
          </w:p>
        </w:tc>
      </w:tr>
      <w:tr w14:paraId="75A2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52DBB61D">
            <w:pPr>
              <w:jc w:val="center"/>
              <w:rPr>
                <w:rFonts w:ascii="仿宋_GB2312" w:eastAsia="仿宋_GB2312"/>
                <w:color w:val="000000"/>
                <w:sz w:val="24"/>
              </w:rPr>
            </w:pPr>
            <w:r>
              <w:rPr>
                <w:rFonts w:hint="eastAsia" w:ascii="仿宋_GB2312" w:eastAsia="仿宋_GB2312"/>
                <w:color w:val="000000"/>
                <w:sz w:val="24"/>
              </w:rPr>
              <w:t>消保科</w:t>
            </w:r>
          </w:p>
        </w:tc>
        <w:tc>
          <w:tcPr>
            <w:tcW w:w="2022" w:type="dxa"/>
            <w:noWrap w:val="0"/>
            <w:vAlign w:val="center"/>
          </w:tcPr>
          <w:p w14:paraId="468E931D">
            <w:pPr>
              <w:jc w:val="center"/>
              <w:rPr>
                <w:rFonts w:ascii="仿宋_GB2312" w:eastAsia="仿宋_GB2312"/>
                <w:color w:val="000000"/>
                <w:sz w:val="24"/>
              </w:rPr>
            </w:pPr>
            <w:r>
              <w:rPr>
                <w:rFonts w:hint="eastAsia" w:ascii="仿宋_GB2312" w:eastAsia="仿宋_GB2312"/>
                <w:color w:val="000000"/>
                <w:sz w:val="24"/>
              </w:rPr>
              <w:t>1110</w:t>
            </w:r>
          </w:p>
        </w:tc>
        <w:tc>
          <w:tcPr>
            <w:tcW w:w="1843" w:type="dxa"/>
            <w:noWrap w:val="0"/>
            <w:vAlign w:val="center"/>
          </w:tcPr>
          <w:p w14:paraId="504A79EF">
            <w:pPr>
              <w:jc w:val="center"/>
              <w:rPr>
                <w:rFonts w:ascii="仿宋_GB2312" w:eastAsia="仿宋_GB2312"/>
                <w:color w:val="000000"/>
                <w:sz w:val="24"/>
              </w:rPr>
            </w:pPr>
            <w:r>
              <w:rPr>
                <w:rFonts w:hint="eastAsia" w:ascii="仿宋_GB2312" w:eastAsia="仿宋_GB2312"/>
                <w:color w:val="000000"/>
                <w:sz w:val="24"/>
              </w:rPr>
              <w:t>299</w:t>
            </w:r>
          </w:p>
        </w:tc>
        <w:tc>
          <w:tcPr>
            <w:tcW w:w="1276" w:type="dxa"/>
            <w:noWrap w:val="0"/>
            <w:vAlign w:val="top"/>
          </w:tcPr>
          <w:p w14:paraId="69D701EF">
            <w:pPr>
              <w:jc w:val="center"/>
              <w:rPr>
                <w:rFonts w:ascii="仿宋_GB2312" w:eastAsia="仿宋_GB2312"/>
                <w:color w:val="000000"/>
                <w:sz w:val="24"/>
              </w:rPr>
            </w:pPr>
            <w:r>
              <w:rPr>
                <w:rFonts w:hint="eastAsia" w:ascii="仿宋_GB2312" w:eastAsia="仿宋_GB2312"/>
                <w:color w:val="000000"/>
                <w:sz w:val="24"/>
              </w:rPr>
              <w:t>1409</w:t>
            </w:r>
          </w:p>
        </w:tc>
        <w:tc>
          <w:tcPr>
            <w:tcW w:w="1276" w:type="dxa"/>
            <w:noWrap w:val="0"/>
            <w:vAlign w:val="top"/>
          </w:tcPr>
          <w:p w14:paraId="650C0EE9">
            <w:pPr>
              <w:jc w:val="center"/>
              <w:rPr>
                <w:rFonts w:ascii="仿宋_GB2312" w:eastAsia="仿宋_GB2312"/>
                <w:color w:val="000000"/>
                <w:sz w:val="24"/>
              </w:rPr>
            </w:pPr>
            <w:r>
              <w:rPr>
                <w:rFonts w:hint="eastAsia" w:ascii="仿宋_GB2312" w:eastAsia="仿宋_GB2312"/>
                <w:color w:val="000000"/>
                <w:sz w:val="24"/>
              </w:rPr>
              <w:t>13.17%</w:t>
            </w:r>
          </w:p>
        </w:tc>
      </w:tr>
      <w:tr w14:paraId="1701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055" w:type="dxa"/>
            <w:noWrap w:val="0"/>
            <w:vAlign w:val="top"/>
          </w:tcPr>
          <w:p w14:paraId="56516ABF">
            <w:pPr>
              <w:jc w:val="center"/>
              <w:rPr>
                <w:rFonts w:ascii="仿宋_GB2312" w:eastAsia="仿宋_GB2312"/>
                <w:color w:val="000000"/>
                <w:sz w:val="24"/>
              </w:rPr>
            </w:pPr>
            <w:r>
              <w:rPr>
                <w:rFonts w:hint="eastAsia" w:ascii="仿宋_GB2312" w:eastAsia="仿宋_GB2312"/>
                <w:color w:val="000000"/>
                <w:sz w:val="24"/>
              </w:rPr>
              <w:t>合计</w:t>
            </w:r>
          </w:p>
        </w:tc>
        <w:tc>
          <w:tcPr>
            <w:tcW w:w="2022" w:type="dxa"/>
            <w:noWrap w:val="0"/>
            <w:vAlign w:val="top"/>
          </w:tcPr>
          <w:p w14:paraId="3983DB73">
            <w:pPr>
              <w:jc w:val="center"/>
              <w:rPr>
                <w:rFonts w:ascii="仿宋_GB2312" w:eastAsia="仿宋_GB2312"/>
                <w:color w:val="000000"/>
                <w:sz w:val="24"/>
              </w:rPr>
            </w:pPr>
            <w:r>
              <w:rPr>
                <w:rFonts w:hint="eastAsia" w:ascii="仿宋_GB2312" w:eastAsia="仿宋_GB2312"/>
                <w:color w:val="000000"/>
                <w:sz w:val="24"/>
              </w:rPr>
              <w:t>7682</w:t>
            </w:r>
          </w:p>
        </w:tc>
        <w:tc>
          <w:tcPr>
            <w:tcW w:w="1843" w:type="dxa"/>
            <w:noWrap w:val="0"/>
            <w:vAlign w:val="top"/>
          </w:tcPr>
          <w:p w14:paraId="73B0A1CC">
            <w:pPr>
              <w:jc w:val="center"/>
              <w:rPr>
                <w:rFonts w:ascii="仿宋_GB2312" w:eastAsia="仿宋_GB2312"/>
                <w:color w:val="000000"/>
                <w:sz w:val="24"/>
              </w:rPr>
            </w:pPr>
            <w:r>
              <w:rPr>
                <w:rFonts w:hint="eastAsia" w:ascii="仿宋_GB2312" w:eastAsia="仿宋_GB2312"/>
                <w:color w:val="000000"/>
                <w:sz w:val="24"/>
              </w:rPr>
              <w:t>3014</w:t>
            </w:r>
          </w:p>
        </w:tc>
        <w:tc>
          <w:tcPr>
            <w:tcW w:w="1276" w:type="dxa"/>
            <w:noWrap w:val="0"/>
            <w:vAlign w:val="top"/>
          </w:tcPr>
          <w:p w14:paraId="399D2B8A">
            <w:pPr>
              <w:jc w:val="center"/>
              <w:rPr>
                <w:rFonts w:ascii="仿宋_GB2312" w:eastAsia="仿宋_GB2312"/>
                <w:color w:val="000000"/>
                <w:sz w:val="24"/>
              </w:rPr>
            </w:pPr>
            <w:r>
              <w:rPr>
                <w:rFonts w:hint="eastAsia" w:ascii="仿宋_GB2312" w:eastAsia="仿宋_GB2312"/>
                <w:color w:val="000000"/>
                <w:sz w:val="24"/>
              </w:rPr>
              <w:t>10696</w:t>
            </w:r>
          </w:p>
        </w:tc>
        <w:tc>
          <w:tcPr>
            <w:tcW w:w="1276" w:type="dxa"/>
            <w:noWrap w:val="0"/>
            <w:vAlign w:val="top"/>
          </w:tcPr>
          <w:p w14:paraId="5E41C7A6">
            <w:pPr>
              <w:jc w:val="right"/>
              <w:rPr>
                <w:rFonts w:ascii="仿宋_GB2312" w:eastAsia="仿宋_GB2312"/>
                <w:color w:val="000000"/>
                <w:sz w:val="24"/>
              </w:rPr>
            </w:pPr>
            <w:r>
              <w:rPr>
                <w:rFonts w:hint="eastAsia" w:ascii="仿宋_GB2312" w:eastAsia="仿宋_GB2312"/>
                <w:color w:val="000000"/>
                <w:sz w:val="24"/>
              </w:rPr>
              <w:t>100.00%</w:t>
            </w:r>
          </w:p>
        </w:tc>
      </w:tr>
      <w:tr w14:paraId="0783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6" w:hRule="atLeast"/>
        </w:trPr>
        <w:tc>
          <w:tcPr>
            <w:tcW w:w="2055" w:type="dxa"/>
            <w:noWrap w:val="0"/>
            <w:vAlign w:val="center"/>
          </w:tcPr>
          <w:p w14:paraId="7795BDAF">
            <w:pPr>
              <w:spacing w:line="34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所占比例</w:t>
            </w:r>
          </w:p>
        </w:tc>
        <w:tc>
          <w:tcPr>
            <w:tcW w:w="2022" w:type="dxa"/>
            <w:noWrap w:val="0"/>
            <w:vAlign w:val="center"/>
          </w:tcPr>
          <w:p w14:paraId="0DDD6909">
            <w:pPr>
              <w:jc w:val="center"/>
              <w:rPr>
                <w:rFonts w:ascii="仿宋_GB2312" w:eastAsia="仿宋_GB2312"/>
                <w:color w:val="000000"/>
                <w:sz w:val="24"/>
              </w:rPr>
            </w:pPr>
            <w:r>
              <w:rPr>
                <w:rFonts w:hint="eastAsia" w:ascii="仿宋_GB2312" w:eastAsia="仿宋_GB2312"/>
                <w:color w:val="000000"/>
                <w:sz w:val="24"/>
              </w:rPr>
              <w:t>71.82%</w:t>
            </w:r>
          </w:p>
        </w:tc>
        <w:tc>
          <w:tcPr>
            <w:tcW w:w="1843" w:type="dxa"/>
            <w:noWrap w:val="0"/>
            <w:vAlign w:val="center"/>
          </w:tcPr>
          <w:p w14:paraId="354DAD85">
            <w:pPr>
              <w:jc w:val="center"/>
              <w:rPr>
                <w:rFonts w:ascii="仿宋_GB2312" w:eastAsia="仿宋_GB2312"/>
                <w:color w:val="000000"/>
                <w:sz w:val="24"/>
              </w:rPr>
            </w:pPr>
            <w:r>
              <w:rPr>
                <w:rFonts w:hint="eastAsia" w:ascii="仿宋_GB2312" w:eastAsia="仿宋_GB2312"/>
                <w:color w:val="000000"/>
                <w:sz w:val="24"/>
              </w:rPr>
              <w:t>28.18%</w:t>
            </w:r>
          </w:p>
        </w:tc>
        <w:tc>
          <w:tcPr>
            <w:tcW w:w="1276" w:type="dxa"/>
            <w:noWrap w:val="0"/>
            <w:vAlign w:val="center"/>
          </w:tcPr>
          <w:p w14:paraId="454DA4DD">
            <w:pPr>
              <w:spacing w:line="340" w:lineRule="exact"/>
              <w:jc w:val="center"/>
              <w:rPr>
                <w:rFonts w:hint="eastAsia" w:ascii="仿宋_GB2312" w:eastAsia="仿宋_GB2312"/>
                <w:color w:val="000000"/>
                <w:sz w:val="24"/>
              </w:rPr>
            </w:pPr>
            <w:r>
              <w:rPr>
                <w:rFonts w:hint="eastAsia" w:ascii="仿宋_GB2312" w:eastAsia="仿宋_GB2312"/>
                <w:color w:val="000000"/>
                <w:sz w:val="24"/>
              </w:rPr>
              <w:t>100.00%</w:t>
            </w:r>
          </w:p>
        </w:tc>
        <w:tc>
          <w:tcPr>
            <w:tcW w:w="1276" w:type="dxa"/>
            <w:tcBorders>
              <w:tl2br w:val="single" w:color="auto" w:sz="4" w:space="0"/>
            </w:tcBorders>
            <w:noWrap w:val="0"/>
            <w:vAlign w:val="top"/>
          </w:tcPr>
          <w:p w14:paraId="272C28FE">
            <w:pPr>
              <w:spacing w:line="340" w:lineRule="exact"/>
              <w:jc w:val="center"/>
              <w:rPr>
                <w:rFonts w:hint="eastAsia" w:ascii="仿宋_GB2312" w:hAnsi="仿宋_GB2312" w:eastAsia="仿宋_GB2312" w:cs="仿宋_GB2312"/>
                <w:color w:val="000000"/>
                <w:sz w:val="24"/>
              </w:rPr>
            </w:pPr>
          </w:p>
        </w:tc>
      </w:tr>
    </w:tbl>
    <w:p w14:paraId="5BB8F040">
      <w:pPr>
        <w:spacing w:line="560" w:lineRule="exact"/>
        <w:jc w:val="left"/>
        <w:rPr>
          <w:rFonts w:hint="eastAsia" w:ascii="黑体" w:hAnsi="黑体" w:eastAsia="黑体" w:cs="楷体_GB2312"/>
          <w:color w:val="000000"/>
          <w:sz w:val="32"/>
          <w:szCs w:val="32"/>
        </w:rPr>
      </w:pPr>
    </w:p>
    <w:p w14:paraId="66BBEC2E">
      <w:pPr>
        <w:spacing w:line="560" w:lineRule="exact"/>
        <w:jc w:val="left"/>
        <w:rPr>
          <w:rFonts w:hint="eastAsia" w:ascii="楷体_GB2312" w:hAnsi="楷体_GB2312" w:eastAsia="楷体_GB2312" w:cs="楷体_GB2312"/>
          <w:color w:val="000000"/>
          <w:sz w:val="32"/>
          <w:szCs w:val="32"/>
        </w:rPr>
      </w:pPr>
      <w:r>
        <w:rPr>
          <w:rFonts w:hint="eastAsia" w:ascii="黑体" w:hAnsi="黑体" w:eastAsia="黑体" w:cs="楷体_GB2312"/>
          <w:color w:val="000000"/>
          <w:sz w:val="32"/>
          <w:szCs w:val="32"/>
        </w:rPr>
        <w:t>图二</w:t>
      </w:r>
      <w:r>
        <w:rPr>
          <w:rFonts w:hint="eastAsia" w:ascii="楷体_GB2312" w:hAnsi="楷体_GB2312" w:eastAsia="楷体_GB2312" w:cs="楷体_GB2312"/>
          <w:color w:val="000000"/>
          <w:sz w:val="32"/>
          <w:szCs w:val="32"/>
        </w:rPr>
        <w:t>：</w:t>
      </w:r>
    </w:p>
    <w:p w14:paraId="4778DACF">
      <w:pPr>
        <w:jc w:val="center"/>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lang/>
        </w:rPr>
        <w:drawing>
          <wp:inline distT="0" distB="0" distL="114300" distR="114300">
            <wp:extent cx="5076825" cy="3079750"/>
            <wp:effectExtent l="4445" t="4445" r="5080" b="20955"/>
            <wp:docPr id="1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8E441A5">
      <w:pPr>
        <w:spacing w:line="560" w:lineRule="exact"/>
        <w:rPr>
          <w:rFonts w:hint="eastAsia" w:ascii="仿宋" w:hAnsi="仿宋" w:eastAsia="仿宋" w:cs="仿宋_GB2312"/>
          <w:color w:val="000000"/>
          <w:sz w:val="32"/>
          <w:szCs w:val="32"/>
        </w:rPr>
      </w:pPr>
      <w:r>
        <w:rPr>
          <w:rFonts w:hint="eastAsia" w:ascii="仿宋" w:hAnsi="仿宋" w:eastAsia="仿宋" w:cs="仿宋_GB2312"/>
          <w:color w:val="000000"/>
          <w:sz w:val="32"/>
          <w:szCs w:val="32"/>
        </w:rPr>
        <w:t xml:space="preserve">    </w:t>
      </w:r>
    </w:p>
    <w:p w14:paraId="1BAB0345">
      <w:pPr>
        <w:spacing w:line="560" w:lineRule="exac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 xml:space="preserve">    </w:t>
      </w:r>
      <w:r>
        <w:rPr>
          <w:rFonts w:ascii="Times New Roman" w:hAnsi="Times New Roman" w:eastAsia="仿宋_GB2312"/>
          <w:color w:val="000000"/>
          <w:sz w:val="32"/>
          <w:szCs w:val="32"/>
        </w:rPr>
        <w:t>依照此配比图分析，处于五华区商业繁华区域的护国、大观、丰宁片区是消费投诉热点区域，消费投诉数量偏多，比重大。今年投诉举报数量较2019年均呈大幅上涨趋势。尤其举报数量较去年同期近翻了一番，今年红云、莲华、普吉的投诉量超过了二环内的龙翔，说明随着片区经济的发展，在红云、莲华、普吉均形成了片区形式的商圈，人流的激增，随之而来的就是消费者的维权量的增加，这就意味着，我局工作人员需增强日常监管和对商家的宣传教育，让经营户自觉守法，诚信经营，以此来减少投诉纠纷。</w:t>
      </w:r>
    </w:p>
    <w:p w14:paraId="02F34985">
      <w:pPr>
        <w:spacing w:line="560" w:lineRule="exact"/>
        <w:ind w:firstLine="480" w:firstLineChars="150"/>
        <w:rPr>
          <w:rFonts w:hint="eastAsia" w:ascii="黑体" w:hAnsi="Times New Roman" w:eastAsia="黑体"/>
          <w:color w:val="000000"/>
          <w:sz w:val="32"/>
          <w:szCs w:val="32"/>
        </w:rPr>
      </w:pPr>
      <w:r>
        <w:rPr>
          <w:rFonts w:hint="eastAsia" w:ascii="黑体" w:hAnsi="Times New Roman" w:eastAsia="黑体"/>
          <w:color w:val="000000"/>
          <w:sz w:val="32"/>
          <w:szCs w:val="32"/>
        </w:rPr>
        <w:t>（三）咨询分析</w:t>
      </w:r>
    </w:p>
    <w:p w14:paraId="4A7FB13B">
      <w:pPr>
        <w:spacing w:line="560" w:lineRule="exact"/>
        <w:rPr>
          <w:rFonts w:ascii="Times New Roman" w:hAnsi="Times New Roman" w:eastAsia="仿宋_GB2312"/>
          <w:b/>
          <w:color w:val="000000"/>
          <w:sz w:val="32"/>
          <w:szCs w:val="32"/>
        </w:rPr>
      </w:pPr>
      <w:r>
        <w:rPr>
          <w:rFonts w:ascii="Times New Roman" w:hAnsi="Times New Roman" w:eastAsia="仿宋_GB2312"/>
          <w:color w:val="000000"/>
          <w:sz w:val="32"/>
          <w:szCs w:val="32"/>
        </w:rPr>
        <w:t xml:space="preserve">    年截止至12月15日，五华区12315消费者投诉举报中心共接受消费者咨询5193件，咨询数量小幅下降，其中来电咨询5172件，现场来访21件。咨询问题中涉及日常生活消费的咨询主要集中在食品安全、价格公示、价格监督、物价、知识产权、商标广告上。市场监管系统的咨询主要集中在企业注册监管、服务消费监管、特种设备注册登记和商品质量监管上。在市管业务咨询中，登记注册、合同、质量和售后服务这四类问题是消费者最为关注的，所占比重最大，随着登记注册制度改革深入推进，企业年检、企业信用公示等方面的咨询量明显上升，合同类咨询增幅最为明显，超过质量类跃居咨询量第一位。</w:t>
      </w:r>
    </w:p>
    <w:p w14:paraId="3F44A6E1">
      <w:pPr>
        <w:spacing w:line="560" w:lineRule="exact"/>
        <w:rPr>
          <w:rFonts w:hint="eastAsia" w:ascii="黑体" w:hAnsi="Times New Roman" w:eastAsia="黑体"/>
          <w:color w:val="000000"/>
          <w:sz w:val="32"/>
          <w:szCs w:val="32"/>
        </w:rPr>
      </w:pPr>
      <w:r>
        <w:rPr>
          <w:rFonts w:hint="eastAsia" w:ascii="黑体" w:hAnsi="Times New Roman" w:eastAsia="黑体"/>
          <w:color w:val="000000"/>
          <w:sz w:val="32"/>
          <w:szCs w:val="32"/>
        </w:rPr>
        <w:t xml:space="preserve">   （四）投诉举报客体类别分析</w:t>
      </w:r>
    </w:p>
    <w:p w14:paraId="0E684FBB">
      <w:pPr>
        <w:spacing w:line="560" w:lineRule="exact"/>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 xml:space="preserve">    </w:t>
      </w:r>
      <w:r>
        <w:rPr>
          <w:rFonts w:ascii="Times New Roman" w:hAnsi="Times New Roman" w:eastAsia="仿宋_GB2312"/>
          <w:color w:val="000000"/>
          <w:sz w:val="32"/>
          <w:szCs w:val="32"/>
        </w:rPr>
        <w:t>五华区接转的10696件投诉举报件中，商品类投诉举报5001件，占投诉总量的46.76%，服务类投诉举报5695件，占投诉总量的53.24%，见下图。</w:t>
      </w:r>
    </w:p>
    <w:p w14:paraId="6AE249F9">
      <w:pPr>
        <w:widowControl/>
        <w:rPr>
          <w:rFonts w:hint="eastAsia" w:ascii="楷体_GB2312" w:hAnsi="楷体_GB2312" w:eastAsia="楷体_GB2312" w:cs="楷体_GB2312"/>
          <w:color w:val="000000"/>
          <w:sz w:val="32"/>
          <w:szCs w:val="32"/>
        </w:rPr>
      </w:pPr>
      <w:r>
        <w:rPr>
          <w:rFonts w:hint="eastAsia" w:ascii="黑体" w:hAnsi="黑体" w:eastAsia="黑体" w:cs="楷体_GB2312"/>
          <w:color w:val="000000"/>
          <w:sz w:val="32"/>
          <w:szCs w:val="32"/>
        </w:rPr>
        <w:t>图三</w:t>
      </w:r>
      <w:r>
        <w:rPr>
          <w:rFonts w:hint="eastAsia" w:ascii="楷体_GB2312" w:hAnsi="楷体_GB2312" w:eastAsia="楷体_GB2312" w:cs="楷体_GB2312"/>
          <w:color w:val="000000"/>
          <w:sz w:val="32"/>
          <w:szCs w:val="32"/>
        </w:rPr>
        <w:t>：</w:t>
      </w:r>
    </w:p>
    <w:tbl>
      <w:tblPr>
        <w:tblStyle w:val="13"/>
        <w:tblW w:w="8414" w:type="dxa"/>
        <w:tblInd w:w="108" w:type="dxa"/>
        <w:tblLayout w:type="autofit"/>
        <w:tblCellMar>
          <w:top w:w="0" w:type="dxa"/>
          <w:left w:w="108" w:type="dxa"/>
          <w:bottom w:w="0" w:type="dxa"/>
          <w:right w:w="108" w:type="dxa"/>
        </w:tblCellMar>
      </w:tblPr>
      <w:tblGrid>
        <w:gridCol w:w="1014"/>
        <w:gridCol w:w="1796"/>
        <w:gridCol w:w="2069"/>
        <w:gridCol w:w="1768"/>
        <w:gridCol w:w="1767"/>
      </w:tblGrid>
      <w:tr w14:paraId="250FFB08">
        <w:tblPrEx>
          <w:tblCellMar>
            <w:top w:w="0" w:type="dxa"/>
            <w:left w:w="108" w:type="dxa"/>
            <w:bottom w:w="0" w:type="dxa"/>
            <w:right w:w="108" w:type="dxa"/>
          </w:tblCellMar>
        </w:tblPrEx>
        <w:trPr>
          <w:wBefore w:w="0" w:type="dxa"/>
          <w:wAfter w:w="0" w:type="dxa"/>
          <w:trHeight w:val="375" w:hRule="atLeast"/>
        </w:trPr>
        <w:tc>
          <w:tcPr>
            <w:tcW w:w="8414" w:type="dxa"/>
            <w:gridSpan w:val="5"/>
            <w:tcBorders>
              <w:top w:val="nil"/>
              <w:left w:val="nil"/>
              <w:bottom w:val="nil"/>
              <w:right w:val="nil"/>
            </w:tcBorders>
            <w:noWrap w:val="0"/>
            <w:vAlign w:val="center"/>
          </w:tcPr>
          <w:p w14:paraId="7CCD16DA">
            <w:pPr>
              <w:widowControl/>
              <w:jc w:val="center"/>
              <w:rPr>
                <w:rFonts w:hint="eastAsia"/>
                <w:color w:val="000000"/>
              </w:rPr>
            </w:pPr>
            <w:r>
              <w:rPr>
                <w:rFonts w:ascii="方正小标宋简体" w:hAnsi="宋体" w:eastAsia="方正小标宋简体" w:cs="宋体"/>
                <w:color w:val="000000"/>
                <w:kern w:val="0"/>
                <w:sz w:val="28"/>
                <w:szCs w:val="28"/>
                <w:lang/>
              </w:rPr>
              <w:drawing>
                <wp:inline distT="0" distB="0" distL="114300" distR="114300">
                  <wp:extent cx="5219700" cy="2633345"/>
                  <wp:effectExtent l="4445" t="4445" r="14605" b="10160"/>
                  <wp:docPr id="1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hint="eastAsia"/>
                <w:color w:val="000000"/>
              </w:rPr>
              <w:t xml:space="preserve"> </w:t>
            </w:r>
          </w:p>
          <w:p w14:paraId="39D524C8">
            <w:pPr>
              <w:widowControl/>
              <w:rPr>
                <w:rFonts w:hint="eastAsia" w:ascii="黑体" w:hAnsi="黑体" w:eastAsia="黑体" w:cs="楷体_GB2312"/>
                <w:color w:val="000000"/>
                <w:sz w:val="32"/>
                <w:szCs w:val="32"/>
              </w:rPr>
            </w:pPr>
          </w:p>
          <w:p w14:paraId="41EFEB75">
            <w:pPr>
              <w:widowControl/>
              <w:rPr>
                <w:rFonts w:hint="eastAsia" w:ascii="黑体" w:hAnsi="黑体" w:eastAsia="黑体"/>
                <w:color w:val="000000"/>
              </w:rPr>
            </w:pPr>
            <w:r>
              <w:rPr>
                <w:rFonts w:hint="eastAsia" w:ascii="黑体" w:hAnsi="黑体" w:eastAsia="黑体" w:cs="楷体_GB2312"/>
                <w:color w:val="000000"/>
                <w:sz w:val="32"/>
                <w:szCs w:val="32"/>
              </w:rPr>
              <w:t>表三：</w:t>
            </w:r>
          </w:p>
          <w:p w14:paraId="1B032AB1">
            <w:pPr>
              <w:widowControl/>
              <w:jc w:val="center"/>
              <w:rPr>
                <w:rFonts w:ascii="方正小标宋简体" w:hAnsi="宋体" w:eastAsia="方正小标宋简体" w:cs="宋体"/>
                <w:color w:val="000000"/>
                <w:kern w:val="0"/>
                <w:sz w:val="28"/>
                <w:szCs w:val="28"/>
              </w:rPr>
            </w:pPr>
            <w:r>
              <w:rPr>
                <w:rFonts w:hint="eastAsia" w:ascii="方正小标宋简体" w:hAnsi="宋体" w:eastAsia="方正小标宋简体" w:cs="宋体"/>
                <w:color w:val="000000"/>
                <w:kern w:val="0"/>
                <w:sz w:val="28"/>
                <w:szCs w:val="28"/>
              </w:rPr>
              <w:t>年全年投诉举报客体类别占比表</w:t>
            </w:r>
          </w:p>
        </w:tc>
      </w:tr>
      <w:tr w14:paraId="2607008E">
        <w:tblPrEx>
          <w:tblCellMar>
            <w:top w:w="0" w:type="dxa"/>
            <w:left w:w="108" w:type="dxa"/>
            <w:bottom w:w="0" w:type="dxa"/>
            <w:right w:w="108" w:type="dxa"/>
          </w:tblCellMar>
        </w:tblPrEx>
        <w:trPr>
          <w:wBefore w:w="0" w:type="dxa"/>
          <w:wAfter w:w="0" w:type="dxa"/>
          <w:trHeight w:val="375" w:hRule="atLeast"/>
        </w:trPr>
        <w:tc>
          <w:tcPr>
            <w:tcW w:w="8414" w:type="dxa"/>
            <w:gridSpan w:val="5"/>
            <w:tcBorders>
              <w:top w:val="nil"/>
              <w:left w:val="nil"/>
              <w:bottom w:val="nil"/>
              <w:right w:val="nil"/>
            </w:tcBorders>
            <w:noWrap w:val="0"/>
            <w:vAlign w:val="center"/>
          </w:tcPr>
          <w:p w14:paraId="43B01FF3">
            <w:pPr>
              <w:widowControl/>
              <w:jc w:val="center"/>
              <w:rPr>
                <w:rFonts w:ascii="方正小标宋简体" w:hAnsi="宋体" w:eastAsia="方正小标宋简体" w:cs="宋体"/>
                <w:color w:val="000000"/>
                <w:kern w:val="0"/>
                <w:sz w:val="28"/>
                <w:szCs w:val="28"/>
                <w:lang/>
              </w:rPr>
            </w:pPr>
          </w:p>
        </w:tc>
      </w:tr>
      <w:tr w14:paraId="7B29D318">
        <w:tblPrEx>
          <w:tblCellMar>
            <w:top w:w="0" w:type="dxa"/>
            <w:left w:w="108" w:type="dxa"/>
            <w:bottom w:w="0" w:type="dxa"/>
            <w:right w:w="108" w:type="dxa"/>
          </w:tblCellMar>
        </w:tblPrEx>
        <w:trPr>
          <w:wBefore w:w="0" w:type="dxa"/>
          <w:wAfter w:w="0" w:type="dxa"/>
          <w:trHeight w:val="570" w:hRule="atLeast"/>
        </w:trPr>
        <w:tc>
          <w:tcPr>
            <w:tcW w:w="1077" w:type="dxa"/>
            <w:tcBorders>
              <w:top w:val="single" w:color="auto" w:sz="4" w:space="0"/>
              <w:left w:val="single" w:color="auto" w:sz="4" w:space="0"/>
              <w:bottom w:val="single" w:color="auto" w:sz="4" w:space="0"/>
              <w:right w:val="single" w:color="auto" w:sz="4" w:space="0"/>
            </w:tcBorders>
            <w:noWrap w:val="0"/>
            <w:vAlign w:val="center"/>
          </w:tcPr>
          <w:p w14:paraId="43E9808B">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类  别</w:t>
            </w:r>
          </w:p>
        </w:tc>
        <w:tc>
          <w:tcPr>
            <w:tcW w:w="1782" w:type="dxa"/>
            <w:tcBorders>
              <w:top w:val="single" w:color="auto" w:sz="4" w:space="0"/>
              <w:left w:val="nil"/>
              <w:bottom w:val="single" w:color="auto" w:sz="4" w:space="0"/>
              <w:right w:val="single" w:color="auto" w:sz="4" w:space="0"/>
            </w:tcBorders>
            <w:noWrap w:val="0"/>
            <w:vAlign w:val="center"/>
          </w:tcPr>
          <w:p w14:paraId="69D89664">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受理数量（件）</w:t>
            </w:r>
          </w:p>
        </w:tc>
        <w:tc>
          <w:tcPr>
            <w:tcW w:w="2075" w:type="dxa"/>
            <w:tcBorders>
              <w:top w:val="single" w:color="auto" w:sz="4" w:space="0"/>
              <w:left w:val="nil"/>
              <w:bottom w:val="single" w:color="auto" w:sz="4" w:space="0"/>
              <w:right w:val="single" w:color="auto" w:sz="4" w:space="0"/>
            </w:tcBorders>
            <w:noWrap w:val="0"/>
            <w:vAlign w:val="center"/>
          </w:tcPr>
          <w:p w14:paraId="4BC0F6DF">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所占比重</w:t>
            </w:r>
          </w:p>
        </w:tc>
        <w:tc>
          <w:tcPr>
            <w:tcW w:w="1740" w:type="dxa"/>
            <w:tcBorders>
              <w:top w:val="single" w:color="auto" w:sz="4" w:space="0"/>
              <w:left w:val="nil"/>
              <w:bottom w:val="single" w:color="auto" w:sz="4" w:space="0"/>
              <w:right w:val="single" w:color="auto" w:sz="4" w:space="0"/>
            </w:tcBorders>
            <w:noWrap w:val="0"/>
            <w:vAlign w:val="center"/>
          </w:tcPr>
          <w:p w14:paraId="2A673723">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投诉（件）</w:t>
            </w:r>
          </w:p>
        </w:tc>
        <w:tc>
          <w:tcPr>
            <w:tcW w:w="1740" w:type="dxa"/>
            <w:tcBorders>
              <w:top w:val="single" w:color="auto" w:sz="4" w:space="0"/>
              <w:left w:val="nil"/>
              <w:bottom w:val="single" w:color="auto" w:sz="4" w:space="0"/>
              <w:right w:val="single" w:color="auto" w:sz="4" w:space="0"/>
            </w:tcBorders>
            <w:noWrap w:val="0"/>
            <w:vAlign w:val="center"/>
          </w:tcPr>
          <w:p w14:paraId="1F264B38">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举报（件）</w:t>
            </w:r>
          </w:p>
        </w:tc>
      </w:tr>
      <w:tr w14:paraId="61D55313">
        <w:tblPrEx>
          <w:tblCellMar>
            <w:top w:w="0" w:type="dxa"/>
            <w:left w:w="108" w:type="dxa"/>
            <w:bottom w:w="0" w:type="dxa"/>
            <w:right w:w="108" w:type="dxa"/>
          </w:tblCellMar>
        </w:tblPrEx>
        <w:trPr>
          <w:wBefore w:w="0" w:type="dxa"/>
          <w:wAfter w:w="0" w:type="dxa"/>
          <w:trHeight w:val="439" w:hRule="atLeast"/>
        </w:trPr>
        <w:tc>
          <w:tcPr>
            <w:tcW w:w="1077" w:type="dxa"/>
            <w:tcBorders>
              <w:top w:val="nil"/>
              <w:left w:val="single" w:color="auto" w:sz="4" w:space="0"/>
              <w:bottom w:val="single" w:color="auto" w:sz="4" w:space="0"/>
              <w:right w:val="single" w:color="auto" w:sz="4" w:space="0"/>
            </w:tcBorders>
            <w:noWrap w:val="0"/>
            <w:vAlign w:val="center"/>
          </w:tcPr>
          <w:p w14:paraId="15A31D4B">
            <w:pPr>
              <w:jc w:val="center"/>
              <w:rPr>
                <w:rFonts w:ascii="仿宋_GB2312" w:hAnsi="宋体" w:eastAsia="仿宋_GB2312" w:cs="宋体"/>
                <w:color w:val="000000"/>
                <w:sz w:val="24"/>
              </w:rPr>
            </w:pPr>
            <w:r>
              <w:rPr>
                <w:rFonts w:hint="eastAsia" w:ascii="仿宋_GB2312" w:eastAsia="仿宋_GB2312"/>
                <w:color w:val="000000"/>
              </w:rPr>
              <w:t>商品类</w:t>
            </w:r>
          </w:p>
        </w:tc>
        <w:tc>
          <w:tcPr>
            <w:tcW w:w="1782" w:type="dxa"/>
            <w:tcBorders>
              <w:top w:val="nil"/>
              <w:left w:val="nil"/>
              <w:bottom w:val="single" w:color="auto" w:sz="4" w:space="0"/>
              <w:right w:val="single" w:color="auto" w:sz="4" w:space="0"/>
            </w:tcBorders>
            <w:noWrap w:val="0"/>
            <w:vAlign w:val="center"/>
          </w:tcPr>
          <w:p w14:paraId="33631C43">
            <w:pPr>
              <w:jc w:val="center"/>
              <w:rPr>
                <w:rFonts w:ascii="仿宋_GB2312" w:hAnsi="宋体" w:eastAsia="仿宋_GB2312" w:cs="宋体"/>
                <w:color w:val="000000"/>
                <w:sz w:val="24"/>
              </w:rPr>
            </w:pPr>
            <w:r>
              <w:rPr>
                <w:rFonts w:hint="eastAsia" w:ascii="仿宋_GB2312" w:eastAsia="仿宋_GB2312"/>
                <w:color w:val="000000"/>
              </w:rPr>
              <w:t>5001</w:t>
            </w:r>
          </w:p>
        </w:tc>
        <w:tc>
          <w:tcPr>
            <w:tcW w:w="2075" w:type="dxa"/>
            <w:tcBorders>
              <w:top w:val="nil"/>
              <w:left w:val="nil"/>
              <w:bottom w:val="single" w:color="auto" w:sz="4" w:space="0"/>
              <w:right w:val="single" w:color="auto" w:sz="4" w:space="0"/>
            </w:tcBorders>
            <w:noWrap w:val="0"/>
            <w:vAlign w:val="center"/>
          </w:tcPr>
          <w:p w14:paraId="3712B9CA">
            <w:pPr>
              <w:jc w:val="center"/>
              <w:rPr>
                <w:rFonts w:ascii="仿宋_GB2312" w:hAnsi="宋体" w:eastAsia="仿宋_GB2312" w:cs="宋体"/>
                <w:color w:val="000000"/>
                <w:sz w:val="24"/>
              </w:rPr>
            </w:pPr>
            <w:r>
              <w:rPr>
                <w:rFonts w:hint="eastAsia" w:ascii="仿宋_GB2312" w:eastAsia="仿宋_GB2312"/>
                <w:color w:val="000000"/>
              </w:rPr>
              <w:t>46.76%</w:t>
            </w:r>
          </w:p>
        </w:tc>
        <w:tc>
          <w:tcPr>
            <w:tcW w:w="1740" w:type="dxa"/>
            <w:tcBorders>
              <w:top w:val="nil"/>
              <w:left w:val="nil"/>
              <w:bottom w:val="single" w:color="auto" w:sz="4" w:space="0"/>
              <w:right w:val="single" w:color="auto" w:sz="4" w:space="0"/>
            </w:tcBorders>
            <w:noWrap w:val="0"/>
            <w:vAlign w:val="center"/>
          </w:tcPr>
          <w:p w14:paraId="07ECF8B7">
            <w:pPr>
              <w:jc w:val="center"/>
              <w:rPr>
                <w:rFonts w:ascii="仿宋_GB2312" w:hAnsi="宋体" w:eastAsia="仿宋_GB2312" w:cs="宋体"/>
                <w:color w:val="000000"/>
                <w:sz w:val="24"/>
              </w:rPr>
            </w:pPr>
            <w:r>
              <w:rPr>
                <w:rFonts w:hint="eastAsia" w:ascii="仿宋_GB2312" w:eastAsia="仿宋_GB2312"/>
                <w:color w:val="000000"/>
              </w:rPr>
              <w:t>3120</w:t>
            </w:r>
          </w:p>
        </w:tc>
        <w:tc>
          <w:tcPr>
            <w:tcW w:w="1740" w:type="dxa"/>
            <w:tcBorders>
              <w:top w:val="nil"/>
              <w:left w:val="nil"/>
              <w:bottom w:val="single" w:color="auto" w:sz="4" w:space="0"/>
              <w:right w:val="single" w:color="auto" w:sz="4" w:space="0"/>
            </w:tcBorders>
            <w:noWrap w:val="0"/>
            <w:vAlign w:val="center"/>
          </w:tcPr>
          <w:p w14:paraId="6AA6B941">
            <w:pPr>
              <w:jc w:val="center"/>
              <w:rPr>
                <w:rFonts w:ascii="仿宋_GB2312" w:hAnsi="宋体" w:eastAsia="仿宋_GB2312" w:cs="宋体"/>
                <w:color w:val="000000"/>
                <w:sz w:val="24"/>
              </w:rPr>
            </w:pPr>
            <w:r>
              <w:rPr>
                <w:rFonts w:hint="eastAsia" w:ascii="仿宋_GB2312" w:eastAsia="仿宋_GB2312"/>
                <w:color w:val="000000"/>
              </w:rPr>
              <w:t>1881</w:t>
            </w:r>
          </w:p>
        </w:tc>
      </w:tr>
      <w:tr w14:paraId="540328A1">
        <w:tblPrEx>
          <w:tblCellMar>
            <w:top w:w="0" w:type="dxa"/>
            <w:left w:w="108" w:type="dxa"/>
            <w:bottom w:w="0" w:type="dxa"/>
            <w:right w:w="108" w:type="dxa"/>
          </w:tblCellMar>
        </w:tblPrEx>
        <w:trPr>
          <w:wBefore w:w="0" w:type="dxa"/>
          <w:wAfter w:w="0" w:type="dxa"/>
          <w:trHeight w:val="439" w:hRule="atLeast"/>
        </w:trPr>
        <w:tc>
          <w:tcPr>
            <w:tcW w:w="1077" w:type="dxa"/>
            <w:tcBorders>
              <w:top w:val="nil"/>
              <w:left w:val="single" w:color="auto" w:sz="4" w:space="0"/>
              <w:bottom w:val="single" w:color="auto" w:sz="4" w:space="0"/>
              <w:right w:val="single" w:color="auto" w:sz="4" w:space="0"/>
            </w:tcBorders>
            <w:noWrap w:val="0"/>
            <w:vAlign w:val="center"/>
          </w:tcPr>
          <w:p w14:paraId="3433E46A">
            <w:pPr>
              <w:jc w:val="center"/>
              <w:rPr>
                <w:rFonts w:ascii="仿宋_GB2312" w:hAnsi="宋体" w:eastAsia="仿宋_GB2312" w:cs="宋体"/>
                <w:color w:val="000000"/>
                <w:sz w:val="24"/>
              </w:rPr>
            </w:pPr>
            <w:r>
              <w:rPr>
                <w:rFonts w:hint="eastAsia" w:ascii="仿宋_GB2312" w:eastAsia="仿宋_GB2312"/>
                <w:color w:val="000000"/>
              </w:rPr>
              <w:t>服务类</w:t>
            </w:r>
          </w:p>
        </w:tc>
        <w:tc>
          <w:tcPr>
            <w:tcW w:w="1782" w:type="dxa"/>
            <w:tcBorders>
              <w:top w:val="nil"/>
              <w:left w:val="nil"/>
              <w:bottom w:val="single" w:color="auto" w:sz="4" w:space="0"/>
              <w:right w:val="single" w:color="auto" w:sz="4" w:space="0"/>
            </w:tcBorders>
            <w:noWrap w:val="0"/>
            <w:vAlign w:val="center"/>
          </w:tcPr>
          <w:p w14:paraId="5CBEB9CD">
            <w:pPr>
              <w:jc w:val="center"/>
              <w:rPr>
                <w:rFonts w:ascii="仿宋_GB2312" w:hAnsi="宋体" w:eastAsia="仿宋_GB2312" w:cs="宋体"/>
                <w:color w:val="000000"/>
                <w:sz w:val="24"/>
              </w:rPr>
            </w:pPr>
            <w:r>
              <w:rPr>
                <w:rFonts w:hint="eastAsia" w:ascii="仿宋_GB2312" w:eastAsia="仿宋_GB2312"/>
                <w:color w:val="000000"/>
              </w:rPr>
              <w:t>5695</w:t>
            </w:r>
          </w:p>
        </w:tc>
        <w:tc>
          <w:tcPr>
            <w:tcW w:w="2075" w:type="dxa"/>
            <w:tcBorders>
              <w:top w:val="nil"/>
              <w:left w:val="nil"/>
              <w:bottom w:val="single" w:color="auto" w:sz="4" w:space="0"/>
              <w:right w:val="single" w:color="auto" w:sz="4" w:space="0"/>
            </w:tcBorders>
            <w:noWrap w:val="0"/>
            <w:vAlign w:val="center"/>
          </w:tcPr>
          <w:p w14:paraId="22BF6DA9">
            <w:pPr>
              <w:jc w:val="center"/>
              <w:rPr>
                <w:rFonts w:ascii="仿宋_GB2312" w:hAnsi="宋体" w:eastAsia="仿宋_GB2312" w:cs="宋体"/>
                <w:color w:val="000000"/>
                <w:sz w:val="24"/>
              </w:rPr>
            </w:pPr>
            <w:r>
              <w:rPr>
                <w:rFonts w:hint="eastAsia" w:ascii="仿宋_GB2312" w:eastAsia="仿宋_GB2312"/>
                <w:color w:val="000000"/>
              </w:rPr>
              <w:t>53.24%</w:t>
            </w:r>
          </w:p>
        </w:tc>
        <w:tc>
          <w:tcPr>
            <w:tcW w:w="1740" w:type="dxa"/>
            <w:tcBorders>
              <w:top w:val="nil"/>
              <w:left w:val="nil"/>
              <w:bottom w:val="single" w:color="auto" w:sz="4" w:space="0"/>
              <w:right w:val="single" w:color="auto" w:sz="4" w:space="0"/>
            </w:tcBorders>
            <w:noWrap w:val="0"/>
            <w:vAlign w:val="center"/>
          </w:tcPr>
          <w:p w14:paraId="49B2B060">
            <w:pPr>
              <w:jc w:val="center"/>
              <w:rPr>
                <w:rFonts w:ascii="仿宋_GB2312" w:hAnsi="宋体" w:eastAsia="仿宋_GB2312" w:cs="宋体"/>
                <w:color w:val="000000"/>
                <w:sz w:val="24"/>
              </w:rPr>
            </w:pPr>
            <w:r>
              <w:rPr>
                <w:rFonts w:hint="eastAsia" w:ascii="仿宋_GB2312" w:eastAsia="仿宋_GB2312"/>
                <w:color w:val="000000"/>
              </w:rPr>
              <w:t>4562</w:t>
            </w:r>
          </w:p>
        </w:tc>
        <w:tc>
          <w:tcPr>
            <w:tcW w:w="1740" w:type="dxa"/>
            <w:tcBorders>
              <w:top w:val="nil"/>
              <w:left w:val="nil"/>
              <w:bottom w:val="single" w:color="auto" w:sz="4" w:space="0"/>
              <w:right w:val="single" w:color="auto" w:sz="4" w:space="0"/>
            </w:tcBorders>
            <w:noWrap w:val="0"/>
            <w:vAlign w:val="center"/>
          </w:tcPr>
          <w:p w14:paraId="6B582C68">
            <w:pPr>
              <w:jc w:val="center"/>
              <w:rPr>
                <w:rFonts w:ascii="仿宋_GB2312" w:hAnsi="宋体" w:eastAsia="仿宋_GB2312" w:cs="宋体"/>
                <w:color w:val="000000"/>
                <w:sz w:val="24"/>
              </w:rPr>
            </w:pPr>
            <w:r>
              <w:rPr>
                <w:rFonts w:hint="eastAsia" w:ascii="仿宋_GB2312" w:eastAsia="仿宋_GB2312"/>
                <w:color w:val="000000"/>
              </w:rPr>
              <w:t>1133</w:t>
            </w:r>
          </w:p>
        </w:tc>
      </w:tr>
      <w:tr w14:paraId="31AE96C2">
        <w:tblPrEx>
          <w:tblCellMar>
            <w:top w:w="0" w:type="dxa"/>
            <w:left w:w="108" w:type="dxa"/>
            <w:bottom w:w="0" w:type="dxa"/>
            <w:right w:w="108" w:type="dxa"/>
          </w:tblCellMar>
        </w:tblPrEx>
        <w:trPr>
          <w:wBefore w:w="0" w:type="dxa"/>
          <w:wAfter w:w="0" w:type="dxa"/>
          <w:trHeight w:val="439" w:hRule="atLeast"/>
        </w:trPr>
        <w:tc>
          <w:tcPr>
            <w:tcW w:w="1077" w:type="dxa"/>
            <w:tcBorders>
              <w:top w:val="nil"/>
              <w:left w:val="single" w:color="auto" w:sz="4" w:space="0"/>
              <w:bottom w:val="single" w:color="auto" w:sz="4" w:space="0"/>
              <w:right w:val="single" w:color="auto" w:sz="4" w:space="0"/>
            </w:tcBorders>
            <w:noWrap w:val="0"/>
            <w:vAlign w:val="top"/>
          </w:tcPr>
          <w:p w14:paraId="41D2FDC9">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782" w:type="dxa"/>
            <w:tcBorders>
              <w:top w:val="nil"/>
              <w:left w:val="nil"/>
              <w:bottom w:val="single" w:color="auto" w:sz="4" w:space="0"/>
              <w:right w:val="single" w:color="auto" w:sz="4" w:space="0"/>
            </w:tcBorders>
            <w:noWrap w:val="0"/>
            <w:vAlign w:val="top"/>
          </w:tcPr>
          <w:p w14:paraId="4C44D0DA">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10696</w:t>
            </w:r>
          </w:p>
        </w:tc>
        <w:tc>
          <w:tcPr>
            <w:tcW w:w="2075" w:type="dxa"/>
            <w:tcBorders>
              <w:top w:val="nil"/>
              <w:left w:val="nil"/>
              <w:bottom w:val="single" w:color="auto" w:sz="4" w:space="0"/>
              <w:right w:val="single" w:color="auto" w:sz="4" w:space="0"/>
            </w:tcBorders>
            <w:noWrap w:val="0"/>
            <w:vAlign w:val="top"/>
          </w:tcPr>
          <w:p w14:paraId="585B1C7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100.00%</w:t>
            </w:r>
          </w:p>
        </w:tc>
        <w:tc>
          <w:tcPr>
            <w:tcW w:w="1740" w:type="dxa"/>
            <w:tcBorders>
              <w:top w:val="nil"/>
              <w:left w:val="nil"/>
              <w:bottom w:val="single" w:color="auto" w:sz="4" w:space="0"/>
              <w:right w:val="single" w:color="auto" w:sz="4" w:space="0"/>
            </w:tcBorders>
            <w:noWrap w:val="0"/>
            <w:vAlign w:val="top"/>
          </w:tcPr>
          <w:p w14:paraId="27E63AEF">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7682</w:t>
            </w:r>
          </w:p>
        </w:tc>
        <w:tc>
          <w:tcPr>
            <w:tcW w:w="1740" w:type="dxa"/>
            <w:tcBorders>
              <w:top w:val="nil"/>
              <w:left w:val="nil"/>
              <w:bottom w:val="single" w:color="auto" w:sz="4" w:space="0"/>
              <w:right w:val="single" w:color="auto" w:sz="4" w:space="0"/>
            </w:tcBorders>
            <w:noWrap w:val="0"/>
            <w:vAlign w:val="top"/>
          </w:tcPr>
          <w:p w14:paraId="26F09B07">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3014</w:t>
            </w:r>
          </w:p>
        </w:tc>
      </w:tr>
    </w:tbl>
    <w:p w14:paraId="2615E25E">
      <w:pPr>
        <w:spacing w:line="560" w:lineRule="exact"/>
        <w:rPr>
          <w:rFonts w:hint="eastAsia" w:ascii="Times New Roman" w:hAnsi="Times New Roman" w:eastAsia="仿宋_GB2312"/>
          <w:color w:val="000000"/>
          <w:sz w:val="32"/>
          <w:szCs w:val="32"/>
        </w:rPr>
      </w:pPr>
    </w:p>
    <w:p w14:paraId="612DE0DA">
      <w:pPr>
        <w:spacing w:line="560" w:lineRule="exact"/>
        <w:rPr>
          <w:rFonts w:hint="eastAsia" w:ascii="楷体_GB2312" w:hAnsi="Times New Roman" w:eastAsia="楷体_GB2312"/>
          <w:color w:val="000000"/>
          <w:sz w:val="32"/>
          <w:szCs w:val="32"/>
        </w:rPr>
      </w:pPr>
      <w:r>
        <w:rPr>
          <w:rFonts w:hint="eastAsia" w:ascii="Times New Roman" w:hAnsi="Times New Roman" w:eastAsia="仿宋_GB2312"/>
          <w:color w:val="000000"/>
          <w:sz w:val="32"/>
          <w:szCs w:val="32"/>
        </w:rPr>
        <w:t xml:space="preserve">    </w:t>
      </w:r>
      <w:r>
        <w:rPr>
          <w:rFonts w:hint="eastAsia" w:ascii="楷体_GB2312" w:hAnsi="Times New Roman" w:eastAsia="楷体_GB2312"/>
          <w:color w:val="000000"/>
          <w:sz w:val="32"/>
          <w:szCs w:val="32"/>
        </w:rPr>
        <w:t>1、商品类型投诉举报分析</w:t>
      </w:r>
    </w:p>
    <w:p w14:paraId="6F238FE8">
      <w:pPr>
        <w:spacing w:line="560" w:lineRule="exac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 xml:space="preserve">    2020</w:t>
      </w:r>
      <w:r>
        <w:rPr>
          <w:rFonts w:ascii="Times New Roman" w:hAnsi="Times New Roman" w:eastAsia="仿宋_GB2312"/>
          <w:color w:val="000000"/>
          <w:sz w:val="32"/>
          <w:szCs w:val="32"/>
        </w:rPr>
        <w:t>年商品类投诉举报共5001件，投诉占3120件，举报占1881件，具体类型分别是：一般食品1077件，烟、酒、饮料260件，保健食品43件，药品162件，医疗器械297件，化妆品93件，服装、鞋帽455件，布料、毛线3件，家居用品378件，儿童用品40件，家用电器130件，计算机产品484件，通讯产品360件，房屋270件，装修建材29件，照摄像产品15件，卫生用品45件，出版物11件，文化、运动用品78件，宠物及宠物用品38件，首饰133件，五金交电37件，交通工具343件，燃料20件，殡葬用品1件，农资用品97件，消防用品2件，金融及贸易结算电子设备15件，特种设备25件，计量器具18件，救身设备4件，纤维及其制品10件，智能设备6件，婴幼儿配方食品6件，特殊医学用途配方食品5件，其他商品11件。</w:t>
      </w:r>
    </w:p>
    <w:p w14:paraId="15C68C78">
      <w:pPr>
        <w:spacing w:line="560" w:lineRule="exact"/>
        <w:rPr>
          <w:rFonts w:hint="eastAsia" w:ascii="楷体_GB2312" w:hAnsi="Times New Roman" w:eastAsia="楷体_GB2312"/>
          <w:color w:val="000000"/>
          <w:sz w:val="32"/>
          <w:szCs w:val="32"/>
        </w:rPr>
      </w:pPr>
      <w:r>
        <w:rPr>
          <w:rFonts w:hint="eastAsia" w:ascii="Times New Roman" w:hAnsi="Times New Roman" w:eastAsia="仿宋_GB2312"/>
          <w:color w:val="000000"/>
          <w:sz w:val="32"/>
          <w:szCs w:val="32"/>
        </w:rPr>
        <w:t xml:space="preserve">    </w:t>
      </w:r>
      <w:r>
        <w:rPr>
          <w:rFonts w:hint="eastAsia" w:ascii="楷体_GB2312" w:hAnsi="Times New Roman" w:eastAsia="楷体_GB2312"/>
          <w:color w:val="000000"/>
          <w:sz w:val="32"/>
          <w:szCs w:val="32"/>
        </w:rPr>
        <w:t>2、服务类型投诉举报分析</w:t>
      </w:r>
    </w:p>
    <w:p w14:paraId="591354B7">
      <w:pPr>
        <w:spacing w:line="560" w:lineRule="exac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 xml:space="preserve">    2020</w:t>
      </w:r>
      <w:r>
        <w:rPr>
          <w:rFonts w:ascii="Times New Roman" w:hAnsi="Times New Roman" w:eastAsia="仿宋_GB2312"/>
          <w:color w:val="000000"/>
          <w:sz w:val="32"/>
          <w:szCs w:val="32"/>
        </w:rPr>
        <w:t>年服务类投诉举报共5695件，投诉占4562件，举报占1133件，具体类型分别是：餐饮和住宿服务1089件，旅游服务72件，电信服务263件，互联网服务100件，美容、美发、洗浴服务707件，卫生保健、社会福利158件，房屋装修服务45件，物业服务52件，教育、培训服务376件，文化、娱乐、体育服务504件，制作、保养和修理服务288件，租赁服务632件，邮政服务33件，交通运输服务66件，公用事业服务16件，洗涤、染色服务66件，社会服务68件，传媒业服务16件，专业技术服务221件，中介服务277件，金融服务103件，销售服务263件，农、林、牧、渔服务3件，停车服务197件，行政事业性服务9件，社会团体服务16件，其他服务55件。</w:t>
      </w:r>
    </w:p>
    <w:p w14:paraId="15597F1D">
      <w:pPr>
        <w:spacing w:line="560" w:lineRule="exact"/>
        <w:rPr>
          <w:rFonts w:hint="eastAsia" w:ascii="黑体" w:hAnsi="Times New Roman" w:eastAsia="黑体"/>
          <w:color w:val="000000"/>
          <w:sz w:val="32"/>
          <w:szCs w:val="32"/>
        </w:rPr>
      </w:pPr>
      <w:r>
        <w:rPr>
          <w:rFonts w:hint="eastAsia" w:ascii="Times New Roman" w:hAnsi="Times New Roman" w:eastAsia="仿宋_GB2312"/>
          <w:color w:val="000000"/>
          <w:sz w:val="32"/>
          <w:szCs w:val="32"/>
        </w:rPr>
        <w:t xml:space="preserve">   </w:t>
      </w:r>
      <w:r>
        <w:rPr>
          <w:rFonts w:hint="eastAsia" w:ascii="黑体" w:hAnsi="Times New Roman" w:eastAsia="黑体"/>
          <w:color w:val="000000"/>
          <w:sz w:val="32"/>
          <w:szCs w:val="32"/>
        </w:rPr>
        <w:t>（五）投诉问题类别分析</w:t>
      </w:r>
    </w:p>
    <w:p w14:paraId="2C7405D8">
      <w:pPr>
        <w:spacing w:line="560" w:lineRule="exact"/>
        <w:ind w:firstLine="63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2020</w:t>
      </w:r>
      <w:r>
        <w:rPr>
          <w:rFonts w:ascii="Times New Roman" w:hAnsi="Times New Roman" w:eastAsia="仿宋_GB2312"/>
          <w:color w:val="000000"/>
          <w:sz w:val="32"/>
          <w:szCs w:val="32"/>
        </w:rPr>
        <w:t>年共受理消费者投诉7682件，投诉问题类别排名如下表所示：其中前三名依次是排在第一的合同类4320件，占投诉总量的56.24％；第二名售后服务类1122件，占投诉总量的14.61％；第三名质量类504件，占投诉总量的6.56％。</w:t>
      </w:r>
    </w:p>
    <w:p w14:paraId="2F6C1458">
      <w:pPr>
        <w:spacing w:line="560" w:lineRule="exact"/>
        <w:rPr>
          <w:rFonts w:ascii="Times New Roman" w:hAnsi="Times New Roman" w:eastAsia="仿宋_GB2312"/>
          <w:color w:val="000000"/>
          <w:sz w:val="32"/>
          <w:szCs w:val="32"/>
        </w:rPr>
      </w:pPr>
    </w:p>
    <w:tbl>
      <w:tblPr>
        <w:tblStyle w:val="13"/>
        <w:tblW w:w="5000" w:type="pct"/>
        <w:jc w:val="center"/>
        <w:tblLayout w:type="autofit"/>
        <w:tblCellMar>
          <w:top w:w="0" w:type="dxa"/>
          <w:left w:w="108" w:type="dxa"/>
          <w:bottom w:w="0" w:type="dxa"/>
          <w:right w:w="108" w:type="dxa"/>
        </w:tblCellMar>
      </w:tblPr>
      <w:tblGrid>
        <w:gridCol w:w="2248"/>
        <w:gridCol w:w="2248"/>
        <w:gridCol w:w="2013"/>
        <w:gridCol w:w="2013"/>
      </w:tblGrid>
      <w:tr w14:paraId="7CC60C77">
        <w:tblPrEx>
          <w:tblCellMar>
            <w:top w:w="0" w:type="dxa"/>
            <w:left w:w="108" w:type="dxa"/>
            <w:bottom w:w="0" w:type="dxa"/>
            <w:right w:w="108" w:type="dxa"/>
          </w:tblCellMar>
        </w:tblPrEx>
        <w:trPr>
          <w:wBefore w:w="0" w:type="dxa"/>
          <w:wAfter w:w="0" w:type="dxa"/>
          <w:trHeight w:val="375" w:hRule="atLeast"/>
          <w:jc w:val="center"/>
        </w:trPr>
        <w:tc>
          <w:tcPr>
            <w:tcW w:w="5000" w:type="pct"/>
            <w:gridSpan w:val="4"/>
            <w:tcBorders>
              <w:top w:val="nil"/>
              <w:left w:val="nil"/>
              <w:bottom w:val="nil"/>
              <w:right w:val="nil"/>
            </w:tcBorders>
            <w:noWrap w:val="0"/>
            <w:vAlign w:val="center"/>
          </w:tcPr>
          <w:p w14:paraId="5DE96A05">
            <w:pPr>
              <w:widowControl/>
              <w:spacing w:line="560" w:lineRule="exact"/>
              <w:rPr>
                <w:rFonts w:hint="eastAsia" w:ascii="黑体" w:hAnsi="黑体" w:eastAsia="黑体"/>
                <w:color w:val="000000"/>
                <w:sz w:val="32"/>
                <w:szCs w:val="32"/>
                <w:lang/>
              </w:rPr>
            </w:pPr>
            <w:r>
              <w:rPr>
                <w:rFonts w:hint="eastAsia" w:ascii="黑体" w:hAnsi="黑体" w:eastAsia="黑体"/>
                <w:color w:val="000000"/>
                <w:sz w:val="32"/>
                <w:szCs w:val="32"/>
                <w:lang/>
              </w:rPr>
              <w:t>表四：</w:t>
            </w:r>
          </w:p>
          <w:p w14:paraId="4ACFC944">
            <w:pPr>
              <w:widowControl/>
              <w:spacing w:line="560" w:lineRule="exact"/>
              <w:jc w:val="center"/>
              <w:rPr>
                <w:rFonts w:ascii="方正小标宋简体" w:hAnsi="宋体" w:eastAsia="方正小标宋简体" w:cs="宋体"/>
                <w:color w:val="000000"/>
                <w:kern w:val="0"/>
                <w:sz w:val="28"/>
                <w:szCs w:val="28"/>
              </w:rPr>
            </w:pPr>
            <w:r>
              <w:rPr>
                <w:rFonts w:hint="eastAsia" w:ascii="方正小标宋简体" w:hAnsi="宋体" w:eastAsia="方正小标宋简体" w:cs="宋体"/>
                <w:color w:val="000000"/>
                <w:kern w:val="0"/>
                <w:sz w:val="28"/>
                <w:szCs w:val="28"/>
              </w:rPr>
              <w:t>年全年投诉问题类别排名表</w:t>
            </w:r>
          </w:p>
        </w:tc>
      </w:tr>
      <w:tr w14:paraId="4129F9B8">
        <w:tblPrEx>
          <w:tblCellMar>
            <w:top w:w="0" w:type="dxa"/>
            <w:left w:w="108" w:type="dxa"/>
            <w:bottom w:w="0" w:type="dxa"/>
            <w:right w:w="108" w:type="dxa"/>
          </w:tblCellMar>
        </w:tblPrEx>
        <w:trPr>
          <w:wBefore w:w="0" w:type="dxa"/>
          <w:wAfter w:w="0" w:type="dxa"/>
          <w:trHeight w:val="570" w:hRule="atLeast"/>
          <w:jc w:val="center"/>
        </w:trPr>
        <w:tc>
          <w:tcPr>
            <w:tcW w:w="1319" w:type="pct"/>
            <w:tcBorders>
              <w:top w:val="single" w:color="auto" w:sz="4" w:space="0"/>
              <w:left w:val="single" w:color="auto" w:sz="4" w:space="0"/>
              <w:bottom w:val="single" w:color="auto" w:sz="4" w:space="0"/>
              <w:right w:val="single" w:color="auto" w:sz="4" w:space="0"/>
            </w:tcBorders>
            <w:noWrap w:val="0"/>
            <w:vAlign w:val="center"/>
          </w:tcPr>
          <w:p w14:paraId="20CB8486">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类  别</w:t>
            </w:r>
          </w:p>
        </w:tc>
        <w:tc>
          <w:tcPr>
            <w:tcW w:w="1319" w:type="pct"/>
            <w:tcBorders>
              <w:top w:val="single" w:color="auto" w:sz="4" w:space="0"/>
              <w:left w:val="nil"/>
              <w:bottom w:val="single" w:color="auto" w:sz="4" w:space="0"/>
              <w:right w:val="single" w:color="auto" w:sz="4" w:space="0"/>
            </w:tcBorders>
            <w:noWrap w:val="0"/>
            <w:vAlign w:val="center"/>
          </w:tcPr>
          <w:p w14:paraId="1EBA667E">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受理数量（件）</w:t>
            </w:r>
          </w:p>
        </w:tc>
        <w:tc>
          <w:tcPr>
            <w:tcW w:w="1181" w:type="pct"/>
            <w:tcBorders>
              <w:top w:val="single" w:color="auto" w:sz="4" w:space="0"/>
              <w:left w:val="nil"/>
              <w:bottom w:val="single" w:color="auto" w:sz="4" w:space="0"/>
              <w:right w:val="single" w:color="auto" w:sz="4" w:space="0"/>
            </w:tcBorders>
            <w:noWrap w:val="0"/>
            <w:vAlign w:val="center"/>
          </w:tcPr>
          <w:p w14:paraId="5DC05E43">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所占比重（%）</w:t>
            </w:r>
          </w:p>
        </w:tc>
        <w:tc>
          <w:tcPr>
            <w:tcW w:w="1181" w:type="pct"/>
            <w:tcBorders>
              <w:top w:val="single" w:color="auto" w:sz="4" w:space="0"/>
              <w:left w:val="nil"/>
              <w:bottom w:val="single" w:color="auto" w:sz="4" w:space="0"/>
              <w:right w:val="single" w:color="auto" w:sz="4" w:space="0"/>
            </w:tcBorders>
            <w:noWrap w:val="0"/>
            <w:vAlign w:val="center"/>
          </w:tcPr>
          <w:p w14:paraId="4F29F62C">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排  名</w:t>
            </w:r>
          </w:p>
        </w:tc>
      </w:tr>
      <w:tr w14:paraId="20BDDEC3">
        <w:tblPrEx>
          <w:tblCellMar>
            <w:top w:w="0" w:type="dxa"/>
            <w:left w:w="108" w:type="dxa"/>
            <w:bottom w:w="0" w:type="dxa"/>
            <w:right w:w="108" w:type="dxa"/>
          </w:tblCellMar>
        </w:tblPrEx>
        <w:trPr>
          <w:wBefore w:w="0" w:type="dxa"/>
          <w:wAfter w:w="0" w:type="dxa"/>
          <w:trHeight w:val="439" w:hRule="atLeast"/>
          <w:jc w:val="center"/>
        </w:trPr>
        <w:tc>
          <w:tcPr>
            <w:tcW w:w="1319" w:type="pct"/>
            <w:tcBorders>
              <w:top w:val="nil"/>
              <w:left w:val="single" w:color="auto" w:sz="4" w:space="0"/>
              <w:bottom w:val="single" w:color="auto" w:sz="4" w:space="0"/>
              <w:right w:val="single" w:color="auto" w:sz="4" w:space="0"/>
            </w:tcBorders>
            <w:noWrap w:val="0"/>
            <w:vAlign w:val="center"/>
          </w:tcPr>
          <w:p w14:paraId="37F9A0E1">
            <w:pPr>
              <w:jc w:val="center"/>
              <w:rPr>
                <w:rFonts w:ascii="仿宋_GB2312" w:hAnsi="宋体" w:eastAsia="仿宋_GB2312" w:cs="宋体"/>
                <w:color w:val="000000"/>
                <w:szCs w:val="21"/>
              </w:rPr>
            </w:pPr>
            <w:r>
              <w:rPr>
                <w:rFonts w:hint="eastAsia" w:ascii="仿宋_GB2312" w:eastAsia="仿宋_GB2312"/>
                <w:color w:val="000000"/>
                <w:szCs w:val="21"/>
              </w:rPr>
              <w:t>合同</w:t>
            </w:r>
          </w:p>
        </w:tc>
        <w:tc>
          <w:tcPr>
            <w:tcW w:w="1319" w:type="pct"/>
            <w:tcBorders>
              <w:top w:val="nil"/>
              <w:left w:val="nil"/>
              <w:bottom w:val="single" w:color="auto" w:sz="4" w:space="0"/>
              <w:right w:val="single" w:color="auto" w:sz="4" w:space="0"/>
            </w:tcBorders>
            <w:noWrap w:val="0"/>
            <w:vAlign w:val="center"/>
          </w:tcPr>
          <w:p w14:paraId="7E8ECC63">
            <w:pPr>
              <w:jc w:val="center"/>
              <w:rPr>
                <w:rFonts w:ascii="仿宋_GB2312" w:hAnsi="宋体" w:eastAsia="仿宋_GB2312" w:cs="宋体"/>
                <w:color w:val="000000"/>
                <w:szCs w:val="21"/>
              </w:rPr>
            </w:pPr>
            <w:r>
              <w:rPr>
                <w:rFonts w:hint="eastAsia" w:ascii="仿宋_GB2312" w:eastAsia="仿宋_GB2312"/>
                <w:color w:val="000000"/>
                <w:szCs w:val="21"/>
              </w:rPr>
              <w:t>4320</w:t>
            </w:r>
          </w:p>
        </w:tc>
        <w:tc>
          <w:tcPr>
            <w:tcW w:w="1181" w:type="pct"/>
            <w:tcBorders>
              <w:top w:val="nil"/>
              <w:left w:val="nil"/>
              <w:bottom w:val="single" w:color="auto" w:sz="4" w:space="0"/>
              <w:right w:val="single" w:color="auto" w:sz="4" w:space="0"/>
            </w:tcBorders>
            <w:noWrap w:val="0"/>
            <w:vAlign w:val="center"/>
          </w:tcPr>
          <w:p w14:paraId="78EF6C75">
            <w:pPr>
              <w:jc w:val="center"/>
              <w:rPr>
                <w:rFonts w:ascii="仿宋_GB2312" w:hAnsi="宋体" w:eastAsia="仿宋_GB2312" w:cs="宋体"/>
                <w:color w:val="000000"/>
                <w:szCs w:val="21"/>
              </w:rPr>
            </w:pPr>
            <w:r>
              <w:rPr>
                <w:rFonts w:hint="eastAsia" w:ascii="仿宋_GB2312" w:eastAsia="仿宋_GB2312"/>
                <w:color w:val="000000"/>
                <w:szCs w:val="21"/>
              </w:rPr>
              <w:t>56.24%</w:t>
            </w:r>
          </w:p>
        </w:tc>
        <w:tc>
          <w:tcPr>
            <w:tcW w:w="1181" w:type="pct"/>
            <w:tcBorders>
              <w:top w:val="nil"/>
              <w:left w:val="nil"/>
              <w:bottom w:val="single" w:color="auto" w:sz="4" w:space="0"/>
              <w:right w:val="single" w:color="auto" w:sz="4" w:space="0"/>
            </w:tcBorders>
            <w:noWrap w:val="0"/>
            <w:vAlign w:val="center"/>
          </w:tcPr>
          <w:p w14:paraId="297D26D0">
            <w:pPr>
              <w:jc w:val="center"/>
              <w:rPr>
                <w:rFonts w:ascii="仿宋_GB2312" w:hAnsi="宋体" w:eastAsia="仿宋_GB2312" w:cs="宋体"/>
                <w:color w:val="000000"/>
                <w:szCs w:val="21"/>
              </w:rPr>
            </w:pPr>
            <w:r>
              <w:rPr>
                <w:rFonts w:hint="eastAsia" w:ascii="仿宋_GB2312" w:eastAsia="仿宋_GB2312"/>
                <w:color w:val="000000"/>
                <w:szCs w:val="21"/>
              </w:rPr>
              <w:t>1</w:t>
            </w:r>
          </w:p>
        </w:tc>
      </w:tr>
      <w:tr w14:paraId="36DF9BE4">
        <w:tblPrEx>
          <w:tblCellMar>
            <w:top w:w="0" w:type="dxa"/>
            <w:left w:w="108" w:type="dxa"/>
            <w:bottom w:w="0" w:type="dxa"/>
            <w:right w:w="108" w:type="dxa"/>
          </w:tblCellMar>
        </w:tblPrEx>
        <w:trPr>
          <w:wBefore w:w="0" w:type="dxa"/>
          <w:wAfter w:w="0" w:type="dxa"/>
          <w:trHeight w:val="439" w:hRule="atLeast"/>
          <w:jc w:val="center"/>
        </w:trPr>
        <w:tc>
          <w:tcPr>
            <w:tcW w:w="1319" w:type="pct"/>
            <w:tcBorders>
              <w:top w:val="nil"/>
              <w:left w:val="single" w:color="auto" w:sz="4" w:space="0"/>
              <w:bottom w:val="single" w:color="auto" w:sz="4" w:space="0"/>
              <w:right w:val="single" w:color="auto" w:sz="4" w:space="0"/>
            </w:tcBorders>
            <w:noWrap w:val="0"/>
            <w:vAlign w:val="center"/>
          </w:tcPr>
          <w:p w14:paraId="08825F6F">
            <w:pPr>
              <w:jc w:val="center"/>
              <w:rPr>
                <w:rFonts w:ascii="仿宋_GB2312" w:hAnsi="宋体" w:eastAsia="仿宋_GB2312" w:cs="宋体"/>
                <w:color w:val="000000"/>
                <w:szCs w:val="21"/>
              </w:rPr>
            </w:pPr>
            <w:r>
              <w:rPr>
                <w:rFonts w:hint="eastAsia" w:ascii="仿宋_GB2312" w:eastAsia="仿宋_GB2312"/>
                <w:color w:val="000000"/>
                <w:szCs w:val="21"/>
              </w:rPr>
              <w:t>售后服务</w:t>
            </w:r>
          </w:p>
        </w:tc>
        <w:tc>
          <w:tcPr>
            <w:tcW w:w="1319" w:type="pct"/>
            <w:tcBorders>
              <w:top w:val="nil"/>
              <w:left w:val="nil"/>
              <w:bottom w:val="single" w:color="auto" w:sz="4" w:space="0"/>
              <w:right w:val="single" w:color="auto" w:sz="4" w:space="0"/>
            </w:tcBorders>
            <w:noWrap w:val="0"/>
            <w:vAlign w:val="center"/>
          </w:tcPr>
          <w:p w14:paraId="5783ECFD">
            <w:pPr>
              <w:jc w:val="center"/>
              <w:rPr>
                <w:rFonts w:ascii="仿宋_GB2312" w:hAnsi="宋体" w:eastAsia="仿宋_GB2312" w:cs="宋体"/>
                <w:color w:val="000000"/>
                <w:szCs w:val="21"/>
              </w:rPr>
            </w:pPr>
            <w:r>
              <w:rPr>
                <w:rFonts w:hint="eastAsia" w:ascii="仿宋_GB2312" w:eastAsia="仿宋_GB2312"/>
                <w:color w:val="000000"/>
                <w:szCs w:val="21"/>
              </w:rPr>
              <w:t>1122</w:t>
            </w:r>
          </w:p>
        </w:tc>
        <w:tc>
          <w:tcPr>
            <w:tcW w:w="1181" w:type="pct"/>
            <w:tcBorders>
              <w:top w:val="nil"/>
              <w:left w:val="nil"/>
              <w:bottom w:val="single" w:color="auto" w:sz="4" w:space="0"/>
              <w:right w:val="single" w:color="auto" w:sz="4" w:space="0"/>
            </w:tcBorders>
            <w:noWrap w:val="0"/>
            <w:vAlign w:val="center"/>
          </w:tcPr>
          <w:p w14:paraId="57FE338E">
            <w:pPr>
              <w:jc w:val="center"/>
              <w:rPr>
                <w:rFonts w:ascii="仿宋_GB2312" w:hAnsi="宋体" w:eastAsia="仿宋_GB2312" w:cs="宋体"/>
                <w:color w:val="000000"/>
                <w:szCs w:val="21"/>
              </w:rPr>
            </w:pPr>
            <w:r>
              <w:rPr>
                <w:rFonts w:hint="eastAsia" w:ascii="仿宋_GB2312" w:eastAsia="仿宋_GB2312"/>
                <w:color w:val="000000"/>
                <w:szCs w:val="21"/>
              </w:rPr>
              <w:t>14.61%</w:t>
            </w:r>
          </w:p>
        </w:tc>
        <w:tc>
          <w:tcPr>
            <w:tcW w:w="1181" w:type="pct"/>
            <w:tcBorders>
              <w:top w:val="nil"/>
              <w:left w:val="nil"/>
              <w:bottom w:val="single" w:color="auto" w:sz="4" w:space="0"/>
              <w:right w:val="single" w:color="auto" w:sz="4" w:space="0"/>
            </w:tcBorders>
            <w:noWrap w:val="0"/>
            <w:vAlign w:val="center"/>
          </w:tcPr>
          <w:p w14:paraId="0D8E3749">
            <w:pPr>
              <w:jc w:val="center"/>
              <w:rPr>
                <w:rFonts w:ascii="仿宋_GB2312" w:hAnsi="宋体" w:eastAsia="仿宋_GB2312" w:cs="宋体"/>
                <w:color w:val="000000"/>
                <w:szCs w:val="21"/>
              </w:rPr>
            </w:pPr>
            <w:r>
              <w:rPr>
                <w:rFonts w:hint="eastAsia" w:ascii="仿宋_GB2312" w:eastAsia="仿宋_GB2312"/>
                <w:color w:val="000000"/>
                <w:szCs w:val="21"/>
              </w:rPr>
              <w:t>2</w:t>
            </w:r>
          </w:p>
        </w:tc>
      </w:tr>
      <w:tr w14:paraId="788C8B47">
        <w:tblPrEx>
          <w:tblCellMar>
            <w:top w:w="0" w:type="dxa"/>
            <w:left w:w="108" w:type="dxa"/>
            <w:bottom w:w="0" w:type="dxa"/>
            <w:right w:w="108" w:type="dxa"/>
          </w:tblCellMar>
        </w:tblPrEx>
        <w:trPr>
          <w:wBefore w:w="0" w:type="dxa"/>
          <w:wAfter w:w="0" w:type="dxa"/>
          <w:trHeight w:val="679" w:hRule="atLeast"/>
          <w:jc w:val="center"/>
        </w:trPr>
        <w:tc>
          <w:tcPr>
            <w:tcW w:w="1319" w:type="pct"/>
            <w:tcBorders>
              <w:top w:val="nil"/>
              <w:left w:val="single" w:color="auto" w:sz="4" w:space="0"/>
              <w:bottom w:val="single" w:color="auto" w:sz="4" w:space="0"/>
              <w:right w:val="single" w:color="auto" w:sz="4" w:space="0"/>
            </w:tcBorders>
            <w:noWrap w:val="0"/>
            <w:vAlign w:val="center"/>
          </w:tcPr>
          <w:p w14:paraId="73B8C755">
            <w:pPr>
              <w:jc w:val="center"/>
              <w:rPr>
                <w:rFonts w:ascii="仿宋_GB2312" w:hAnsi="宋体" w:eastAsia="仿宋_GB2312" w:cs="宋体"/>
                <w:color w:val="000000"/>
                <w:szCs w:val="21"/>
              </w:rPr>
            </w:pPr>
            <w:r>
              <w:rPr>
                <w:rFonts w:hint="eastAsia" w:ascii="仿宋_GB2312" w:eastAsia="仿宋_GB2312"/>
                <w:color w:val="000000"/>
                <w:szCs w:val="21"/>
              </w:rPr>
              <w:t>质量</w:t>
            </w:r>
          </w:p>
        </w:tc>
        <w:tc>
          <w:tcPr>
            <w:tcW w:w="1319" w:type="pct"/>
            <w:tcBorders>
              <w:top w:val="nil"/>
              <w:left w:val="nil"/>
              <w:bottom w:val="single" w:color="auto" w:sz="4" w:space="0"/>
              <w:right w:val="single" w:color="auto" w:sz="4" w:space="0"/>
            </w:tcBorders>
            <w:noWrap w:val="0"/>
            <w:vAlign w:val="center"/>
          </w:tcPr>
          <w:p w14:paraId="2AECF988">
            <w:pPr>
              <w:jc w:val="center"/>
              <w:rPr>
                <w:rFonts w:ascii="仿宋_GB2312" w:hAnsi="宋体" w:eastAsia="仿宋_GB2312" w:cs="宋体"/>
                <w:color w:val="000000"/>
                <w:szCs w:val="21"/>
              </w:rPr>
            </w:pPr>
            <w:r>
              <w:rPr>
                <w:rFonts w:hint="eastAsia" w:ascii="仿宋_GB2312" w:eastAsia="仿宋_GB2312"/>
                <w:color w:val="000000"/>
                <w:szCs w:val="21"/>
              </w:rPr>
              <w:t>504</w:t>
            </w:r>
          </w:p>
        </w:tc>
        <w:tc>
          <w:tcPr>
            <w:tcW w:w="1181" w:type="pct"/>
            <w:tcBorders>
              <w:top w:val="nil"/>
              <w:left w:val="nil"/>
              <w:bottom w:val="single" w:color="auto" w:sz="4" w:space="0"/>
              <w:right w:val="single" w:color="auto" w:sz="4" w:space="0"/>
            </w:tcBorders>
            <w:noWrap w:val="0"/>
            <w:vAlign w:val="center"/>
          </w:tcPr>
          <w:p w14:paraId="33078044">
            <w:pPr>
              <w:jc w:val="center"/>
              <w:rPr>
                <w:rFonts w:ascii="仿宋_GB2312" w:hAnsi="宋体" w:eastAsia="仿宋_GB2312" w:cs="宋体"/>
                <w:color w:val="000000"/>
                <w:szCs w:val="21"/>
              </w:rPr>
            </w:pPr>
            <w:r>
              <w:rPr>
                <w:rFonts w:hint="eastAsia" w:ascii="仿宋_GB2312" w:eastAsia="仿宋_GB2312"/>
                <w:color w:val="000000"/>
                <w:szCs w:val="21"/>
              </w:rPr>
              <w:t>6.56%</w:t>
            </w:r>
          </w:p>
        </w:tc>
        <w:tc>
          <w:tcPr>
            <w:tcW w:w="1181" w:type="pct"/>
            <w:tcBorders>
              <w:top w:val="nil"/>
              <w:left w:val="nil"/>
              <w:bottom w:val="single" w:color="auto" w:sz="4" w:space="0"/>
              <w:right w:val="single" w:color="auto" w:sz="4" w:space="0"/>
            </w:tcBorders>
            <w:noWrap w:val="0"/>
            <w:vAlign w:val="center"/>
          </w:tcPr>
          <w:p w14:paraId="6F3CC956">
            <w:pPr>
              <w:jc w:val="center"/>
              <w:rPr>
                <w:rFonts w:ascii="仿宋_GB2312" w:hAnsi="宋体" w:eastAsia="仿宋_GB2312" w:cs="宋体"/>
                <w:color w:val="000000"/>
                <w:szCs w:val="21"/>
              </w:rPr>
            </w:pPr>
            <w:r>
              <w:rPr>
                <w:rFonts w:hint="eastAsia" w:ascii="仿宋_GB2312" w:eastAsia="仿宋_GB2312"/>
                <w:color w:val="000000"/>
                <w:szCs w:val="21"/>
              </w:rPr>
              <w:t>3</w:t>
            </w:r>
          </w:p>
        </w:tc>
      </w:tr>
      <w:tr w14:paraId="0CA0CBDC">
        <w:tblPrEx>
          <w:tblCellMar>
            <w:top w:w="0" w:type="dxa"/>
            <w:left w:w="108" w:type="dxa"/>
            <w:bottom w:w="0" w:type="dxa"/>
            <w:right w:w="108" w:type="dxa"/>
          </w:tblCellMar>
        </w:tblPrEx>
        <w:trPr>
          <w:wBefore w:w="0" w:type="dxa"/>
          <w:wAfter w:w="0" w:type="dxa"/>
          <w:trHeight w:val="439" w:hRule="atLeast"/>
          <w:jc w:val="center"/>
        </w:trPr>
        <w:tc>
          <w:tcPr>
            <w:tcW w:w="1319" w:type="pct"/>
            <w:tcBorders>
              <w:top w:val="nil"/>
              <w:left w:val="single" w:color="auto" w:sz="4" w:space="0"/>
              <w:bottom w:val="single" w:color="auto" w:sz="4" w:space="0"/>
              <w:right w:val="single" w:color="auto" w:sz="4" w:space="0"/>
            </w:tcBorders>
            <w:noWrap w:val="0"/>
            <w:vAlign w:val="center"/>
          </w:tcPr>
          <w:p w14:paraId="199B34ED">
            <w:pPr>
              <w:jc w:val="center"/>
              <w:rPr>
                <w:rFonts w:ascii="仿宋_GB2312" w:hAnsi="宋体" w:eastAsia="仿宋_GB2312" w:cs="宋体"/>
                <w:color w:val="000000"/>
                <w:szCs w:val="21"/>
              </w:rPr>
            </w:pPr>
            <w:r>
              <w:rPr>
                <w:rFonts w:hint="eastAsia" w:ascii="仿宋_GB2312" w:eastAsia="仿宋_GB2312"/>
                <w:color w:val="000000"/>
                <w:szCs w:val="21"/>
              </w:rPr>
              <w:t>其他</w:t>
            </w:r>
          </w:p>
        </w:tc>
        <w:tc>
          <w:tcPr>
            <w:tcW w:w="1319" w:type="pct"/>
            <w:tcBorders>
              <w:top w:val="nil"/>
              <w:left w:val="nil"/>
              <w:bottom w:val="single" w:color="auto" w:sz="4" w:space="0"/>
              <w:right w:val="single" w:color="auto" w:sz="4" w:space="0"/>
            </w:tcBorders>
            <w:noWrap w:val="0"/>
            <w:vAlign w:val="center"/>
          </w:tcPr>
          <w:p w14:paraId="2F92FC76">
            <w:pPr>
              <w:jc w:val="center"/>
              <w:rPr>
                <w:rFonts w:ascii="仿宋_GB2312" w:hAnsi="宋体" w:eastAsia="仿宋_GB2312" w:cs="宋体"/>
                <w:color w:val="000000"/>
                <w:szCs w:val="21"/>
              </w:rPr>
            </w:pPr>
            <w:r>
              <w:rPr>
                <w:rFonts w:hint="eastAsia" w:ascii="仿宋_GB2312" w:eastAsia="仿宋_GB2312"/>
                <w:color w:val="000000"/>
                <w:szCs w:val="21"/>
              </w:rPr>
              <w:t>469</w:t>
            </w:r>
          </w:p>
        </w:tc>
        <w:tc>
          <w:tcPr>
            <w:tcW w:w="1181" w:type="pct"/>
            <w:tcBorders>
              <w:top w:val="nil"/>
              <w:left w:val="nil"/>
              <w:bottom w:val="single" w:color="auto" w:sz="4" w:space="0"/>
              <w:right w:val="single" w:color="auto" w:sz="4" w:space="0"/>
            </w:tcBorders>
            <w:noWrap w:val="0"/>
            <w:vAlign w:val="center"/>
          </w:tcPr>
          <w:p w14:paraId="60384EDD">
            <w:pPr>
              <w:jc w:val="center"/>
              <w:rPr>
                <w:rFonts w:ascii="仿宋_GB2312" w:hAnsi="宋体" w:eastAsia="仿宋_GB2312" w:cs="宋体"/>
                <w:color w:val="000000"/>
                <w:szCs w:val="21"/>
              </w:rPr>
            </w:pPr>
            <w:r>
              <w:rPr>
                <w:rFonts w:hint="eastAsia" w:ascii="仿宋_GB2312" w:eastAsia="仿宋_GB2312"/>
                <w:color w:val="000000"/>
                <w:szCs w:val="21"/>
              </w:rPr>
              <w:t>6.11%</w:t>
            </w:r>
          </w:p>
        </w:tc>
        <w:tc>
          <w:tcPr>
            <w:tcW w:w="1181" w:type="pct"/>
            <w:tcBorders>
              <w:top w:val="nil"/>
              <w:left w:val="nil"/>
              <w:bottom w:val="single" w:color="auto" w:sz="4" w:space="0"/>
              <w:right w:val="single" w:color="auto" w:sz="4" w:space="0"/>
            </w:tcBorders>
            <w:noWrap w:val="0"/>
            <w:vAlign w:val="center"/>
          </w:tcPr>
          <w:p w14:paraId="26AA59E4">
            <w:pPr>
              <w:jc w:val="center"/>
              <w:rPr>
                <w:rFonts w:ascii="仿宋_GB2312" w:hAnsi="宋体" w:eastAsia="仿宋_GB2312" w:cs="宋体"/>
                <w:color w:val="000000"/>
                <w:szCs w:val="21"/>
              </w:rPr>
            </w:pPr>
            <w:r>
              <w:rPr>
                <w:rFonts w:hint="eastAsia" w:ascii="仿宋_GB2312" w:eastAsia="仿宋_GB2312"/>
                <w:color w:val="000000"/>
                <w:szCs w:val="21"/>
              </w:rPr>
              <w:t>4</w:t>
            </w:r>
          </w:p>
        </w:tc>
      </w:tr>
      <w:tr w14:paraId="2B7786AF">
        <w:tblPrEx>
          <w:tblCellMar>
            <w:top w:w="0" w:type="dxa"/>
            <w:left w:w="108" w:type="dxa"/>
            <w:bottom w:w="0" w:type="dxa"/>
            <w:right w:w="108" w:type="dxa"/>
          </w:tblCellMar>
        </w:tblPrEx>
        <w:trPr>
          <w:wBefore w:w="0" w:type="dxa"/>
          <w:wAfter w:w="0" w:type="dxa"/>
          <w:trHeight w:val="439" w:hRule="atLeast"/>
          <w:jc w:val="center"/>
        </w:trPr>
        <w:tc>
          <w:tcPr>
            <w:tcW w:w="1319" w:type="pct"/>
            <w:tcBorders>
              <w:top w:val="nil"/>
              <w:left w:val="single" w:color="auto" w:sz="4" w:space="0"/>
              <w:bottom w:val="single" w:color="auto" w:sz="4" w:space="0"/>
              <w:right w:val="single" w:color="auto" w:sz="4" w:space="0"/>
            </w:tcBorders>
            <w:noWrap w:val="0"/>
            <w:vAlign w:val="center"/>
          </w:tcPr>
          <w:p w14:paraId="2015F58C">
            <w:pPr>
              <w:jc w:val="center"/>
              <w:rPr>
                <w:rFonts w:ascii="仿宋_GB2312" w:hAnsi="宋体" w:eastAsia="仿宋_GB2312" w:cs="宋体"/>
                <w:color w:val="000000"/>
                <w:szCs w:val="21"/>
              </w:rPr>
            </w:pPr>
            <w:r>
              <w:rPr>
                <w:rFonts w:hint="eastAsia" w:ascii="仿宋_GB2312" w:eastAsia="仿宋_GB2312"/>
                <w:color w:val="000000"/>
                <w:szCs w:val="21"/>
              </w:rPr>
              <w:t>食品安全</w:t>
            </w:r>
          </w:p>
        </w:tc>
        <w:tc>
          <w:tcPr>
            <w:tcW w:w="1319" w:type="pct"/>
            <w:tcBorders>
              <w:top w:val="nil"/>
              <w:left w:val="nil"/>
              <w:bottom w:val="single" w:color="auto" w:sz="4" w:space="0"/>
              <w:right w:val="single" w:color="auto" w:sz="4" w:space="0"/>
            </w:tcBorders>
            <w:noWrap w:val="0"/>
            <w:vAlign w:val="center"/>
          </w:tcPr>
          <w:p w14:paraId="310938C6">
            <w:pPr>
              <w:jc w:val="center"/>
              <w:rPr>
                <w:rFonts w:ascii="仿宋_GB2312" w:hAnsi="宋体" w:eastAsia="仿宋_GB2312" w:cs="宋体"/>
                <w:color w:val="000000"/>
                <w:szCs w:val="21"/>
              </w:rPr>
            </w:pPr>
            <w:r>
              <w:rPr>
                <w:rFonts w:hint="eastAsia" w:ascii="仿宋_GB2312" w:eastAsia="仿宋_GB2312"/>
                <w:color w:val="000000"/>
                <w:szCs w:val="21"/>
              </w:rPr>
              <w:t>420</w:t>
            </w:r>
          </w:p>
        </w:tc>
        <w:tc>
          <w:tcPr>
            <w:tcW w:w="1181" w:type="pct"/>
            <w:tcBorders>
              <w:top w:val="nil"/>
              <w:left w:val="nil"/>
              <w:bottom w:val="single" w:color="auto" w:sz="4" w:space="0"/>
              <w:right w:val="single" w:color="auto" w:sz="4" w:space="0"/>
            </w:tcBorders>
            <w:noWrap w:val="0"/>
            <w:vAlign w:val="center"/>
          </w:tcPr>
          <w:p w14:paraId="404740D2">
            <w:pPr>
              <w:jc w:val="center"/>
              <w:rPr>
                <w:rFonts w:ascii="仿宋_GB2312" w:hAnsi="宋体" w:eastAsia="仿宋_GB2312" w:cs="宋体"/>
                <w:color w:val="000000"/>
                <w:szCs w:val="21"/>
              </w:rPr>
            </w:pPr>
            <w:r>
              <w:rPr>
                <w:rFonts w:hint="eastAsia" w:ascii="仿宋_GB2312" w:eastAsia="仿宋_GB2312"/>
                <w:color w:val="000000"/>
                <w:szCs w:val="21"/>
              </w:rPr>
              <w:t>5.47%</w:t>
            </w:r>
          </w:p>
        </w:tc>
        <w:tc>
          <w:tcPr>
            <w:tcW w:w="1181" w:type="pct"/>
            <w:tcBorders>
              <w:top w:val="nil"/>
              <w:left w:val="nil"/>
              <w:bottom w:val="single" w:color="auto" w:sz="4" w:space="0"/>
              <w:right w:val="single" w:color="auto" w:sz="4" w:space="0"/>
            </w:tcBorders>
            <w:noWrap w:val="0"/>
            <w:vAlign w:val="center"/>
          </w:tcPr>
          <w:p w14:paraId="71BC8DDB">
            <w:pPr>
              <w:jc w:val="center"/>
              <w:rPr>
                <w:rFonts w:ascii="仿宋_GB2312" w:hAnsi="宋体" w:eastAsia="仿宋_GB2312" w:cs="宋体"/>
                <w:color w:val="000000"/>
                <w:szCs w:val="21"/>
              </w:rPr>
            </w:pPr>
            <w:r>
              <w:rPr>
                <w:rFonts w:hint="eastAsia" w:ascii="仿宋_GB2312" w:eastAsia="仿宋_GB2312"/>
                <w:color w:val="000000"/>
                <w:szCs w:val="21"/>
              </w:rPr>
              <w:t>5</w:t>
            </w:r>
          </w:p>
        </w:tc>
      </w:tr>
      <w:tr w14:paraId="2ECCF216">
        <w:tblPrEx>
          <w:tblCellMar>
            <w:top w:w="0" w:type="dxa"/>
            <w:left w:w="108" w:type="dxa"/>
            <w:bottom w:w="0" w:type="dxa"/>
            <w:right w:w="108" w:type="dxa"/>
          </w:tblCellMar>
        </w:tblPrEx>
        <w:trPr>
          <w:wBefore w:w="0" w:type="dxa"/>
          <w:wAfter w:w="0" w:type="dxa"/>
          <w:trHeight w:val="420" w:hRule="atLeast"/>
          <w:jc w:val="center"/>
        </w:trPr>
        <w:tc>
          <w:tcPr>
            <w:tcW w:w="1319" w:type="pct"/>
            <w:tcBorders>
              <w:top w:val="nil"/>
              <w:left w:val="single" w:color="auto" w:sz="4" w:space="0"/>
              <w:bottom w:val="single" w:color="auto" w:sz="4" w:space="0"/>
              <w:right w:val="single" w:color="auto" w:sz="4" w:space="0"/>
            </w:tcBorders>
            <w:noWrap w:val="0"/>
            <w:vAlign w:val="center"/>
          </w:tcPr>
          <w:p w14:paraId="34DDBC1E">
            <w:pPr>
              <w:jc w:val="center"/>
              <w:rPr>
                <w:rFonts w:ascii="仿宋_GB2312" w:hAnsi="宋体" w:eastAsia="仿宋_GB2312" w:cs="宋体"/>
                <w:color w:val="000000"/>
                <w:szCs w:val="21"/>
              </w:rPr>
            </w:pPr>
            <w:r>
              <w:rPr>
                <w:rFonts w:hint="eastAsia" w:ascii="仿宋_GB2312" w:eastAsia="仿宋_GB2312"/>
                <w:color w:val="000000"/>
                <w:szCs w:val="21"/>
              </w:rPr>
              <w:t>广告</w:t>
            </w:r>
          </w:p>
        </w:tc>
        <w:tc>
          <w:tcPr>
            <w:tcW w:w="1319" w:type="pct"/>
            <w:tcBorders>
              <w:top w:val="nil"/>
              <w:left w:val="nil"/>
              <w:bottom w:val="single" w:color="auto" w:sz="4" w:space="0"/>
              <w:right w:val="single" w:color="auto" w:sz="4" w:space="0"/>
            </w:tcBorders>
            <w:noWrap w:val="0"/>
            <w:vAlign w:val="center"/>
          </w:tcPr>
          <w:p w14:paraId="7F912303">
            <w:pPr>
              <w:jc w:val="center"/>
              <w:rPr>
                <w:rFonts w:ascii="仿宋_GB2312" w:hAnsi="宋体" w:eastAsia="仿宋_GB2312" w:cs="宋体"/>
                <w:color w:val="000000"/>
                <w:szCs w:val="21"/>
              </w:rPr>
            </w:pPr>
            <w:r>
              <w:rPr>
                <w:rFonts w:hint="eastAsia" w:ascii="仿宋_GB2312" w:eastAsia="仿宋_GB2312"/>
                <w:color w:val="000000"/>
                <w:szCs w:val="21"/>
              </w:rPr>
              <w:t>217</w:t>
            </w:r>
          </w:p>
        </w:tc>
        <w:tc>
          <w:tcPr>
            <w:tcW w:w="1181" w:type="pct"/>
            <w:tcBorders>
              <w:top w:val="nil"/>
              <w:left w:val="nil"/>
              <w:bottom w:val="single" w:color="auto" w:sz="4" w:space="0"/>
              <w:right w:val="single" w:color="auto" w:sz="4" w:space="0"/>
            </w:tcBorders>
            <w:noWrap w:val="0"/>
            <w:vAlign w:val="center"/>
          </w:tcPr>
          <w:p w14:paraId="1AF0B221">
            <w:pPr>
              <w:jc w:val="center"/>
              <w:rPr>
                <w:rFonts w:ascii="仿宋_GB2312" w:hAnsi="宋体" w:eastAsia="仿宋_GB2312" w:cs="宋体"/>
                <w:color w:val="000000"/>
                <w:szCs w:val="21"/>
              </w:rPr>
            </w:pPr>
            <w:r>
              <w:rPr>
                <w:rFonts w:hint="eastAsia" w:ascii="仿宋_GB2312" w:eastAsia="仿宋_GB2312"/>
                <w:color w:val="000000"/>
                <w:szCs w:val="21"/>
              </w:rPr>
              <w:t>2.82%</w:t>
            </w:r>
          </w:p>
        </w:tc>
        <w:tc>
          <w:tcPr>
            <w:tcW w:w="1181" w:type="pct"/>
            <w:tcBorders>
              <w:top w:val="nil"/>
              <w:left w:val="nil"/>
              <w:bottom w:val="single" w:color="auto" w:sz="4" w:space="0"/>
              <w:right w:val="single" w:color="auto" w:sz="4" w:space="0"/>
            </w:tcBorders>
            <w:noWrap w:val="0"/>
            <w:vAlign w:val="center"/>
          </w:tcPr>
          <w:p w14:paraId="689DF822">
            <w:pPr>
              <w:jc w:val="center"/>
              <w:rPr>
                <w:rFonts w:ascii="仿宋_GB2312" w:hAnsi="宋体" w:eastAsia="仿宋_GB2312" w:cs="宋体"/>
                <w:color w:val="000000"/>
                <w:szCs w:val="21"/>
              </w:rPr>
            </w:pPr>
            <w:r>
              <w:rPr>
                <w:rFonts w:hint="eastAsia" w:ascii="仿宋_GB2312" w:eastAsia="仿宋_GB2312"/>
                <w:color w:val="000000"/>
                <w:szCs w:val="21"/>
              </w:rPr>
              <w:t>6</w:t>
            </w:r>
          </w:p>
        </w:tc>
      </w:tr>
      <w:tr w14:paraId="42E3AFDA">
        <w:tblPrEx>
          <w:tblCellMar>
            <w:top w:w="0" w:type="dxa"/>
            <w:left w:w="108" w:type="dxa"/>
            <w:bottom w:w="0" w:type="dxa"/>
            <w:right w:w="108" w:type="dxa"/>
          </w:tblCellMar>
        </w:tblPrEx>
        <w:trPr>
          <w:wBefore w:w="0" w:type="dxa"/>
          <w:wAfter w:w="0" w:type="dxa"/>
          <w:trHeight w:val="420" w:hRule="atLeast"/>
          <w:jc w:val="center"/>
        </w:trPr>
        <w:tc>
          <w:tcPr>
            <w:tcW w:w="1319" w:type="pct"/>
            <w:tcBorders>
              <w:top w:val="nil"/>
              <w:left w:val="single" w:color="auto" w:sz="4" w:space="0"/>
              <w:bottom w:val="single" w:color="auto" w:sz="4" w:space="0"/>
              <w:right w:val="single" w:color="auto" w:sz="4" w:space="0"/>
            </w:tcBorders>
            <w:noWrap w:val="0"/>
            <w:vAlign w:val="center"/>
          </w:tcPr>
          <w:p w14:paraId="1C6B4B4E">
            <w:pPr>
              <w:jc w:val="center"/>
              <w:rPr>
                <w:rFonts w:ascii="仿宋_GB2312" w:hAnsi="宋体" w:eastAsia="仿宋_GB2312" w:cs="宋体"/>
                <w:color w:val="000000"/>
                <w:szCs w:val="21"/>
              </w:rPr>
            </w:pPr>
            <w:r>
              <w:rPr>
                <w:rFonts w:hint="eastAsia" w:ascii="仿宋_GB2312" w:eastAsia="仿宋_GB2312"/>
                <w:color w:val="000000"/>
                <w:szCs w:val="21"/>
              </w:rPr>
              <w:t>安全</w:t>
            </w:r>
          </w:p>
        </w:tc>
        <w:tc>
          <w:tcPr>
            <w:tcW w:w="1319" w:type="pct"/>
            <w:tcBorders>
              <w:top w:val="nil"/>
              <w:left w:val="nil"/>
              <w:bottom w:val="single" w:color="auto" w:sz="4" w:space="0"/>
              <w:right w:val="single" w:color="auto" w:sz="4" w:space="0"/>
            </w:tcBorders>
            <w:noWrap w:val="0"/>
            <w:vAlign w:val="center"/>
          </w:tcPr>
          <w:p w14:paraId="6857A514">
            <w:pPr>
              <w:jc w:val="center"/>
              <w:rPr>
                <w:rFonts w:ascii="仿宋_GB2312" w:hAnsi="宋体" w:eastAsia="仿宋_GB2312" w:cs="宋体"/>
                <w:color w:val="000000"/>
                <w:szCs w:val="21"/>
              </w:rPr>
            </w:pPr>
            <w:r>
              <w:rPr>
                <w:rFonts w:hint="eastAsia" w:ascii="仿宋_GB2312" w:eastAsia="仿宋_GB2312"/>
                <w:color w:val="000000"/>
                <w:szCs w:val="21"/>
              </w:rPr>
              <w:t>205</w:t>
            </w:r>
          </w:p>
        </w:tc>
        <w:tc>
          <w:tcPr>
            <w:tcW w:w="1181" w:type="pct"/>
            <w:tcBorders>
              <w:top w:val="nil"/>
              <w:left w:val="nil"/>
              <w:bottom w:val="single" w:color="auto" w:sz="4" w:space="0"/>
              <w:right w:val="single" w:color="auto" w:sz="4" w:space="0"/>
            </w:tcBorders>
            <w:noWrap w:val="0"/>
            <w:vAlign w:val="center"/>
          </w:tcPr>
          <w:p w14:paraId="3049290E">
            <w:pPr>
              <w:jc w:val="center"/>
              <w:rPr>
                <w:rFonts w:ascii="仿宋_GB2312" w:hAnsi="宋体" w:eastAsia="仿宋_GB2312" w:cs="宋体"/>
                <w:color w:val="000000"/>
                <w:szCs w:val="21"/>
              </w:rPr>
            </w:pPr>
            <w:r>
              <w:rPr>
                <w:rFonts w:hint="eastAsia" w:ascii="仿宋_GB2312" w:eastAsia="仿宋_GB2312"/>
                <w:color w:val="000000"/>
                <w:szCs w:val="21"/>
              </w:rPr>
              <w:t>2.67%</w:t>
            </w:r>
          </w:p>
        </w:tc>
        <w:tc>
          <w:tcPr>
            <w:tcW w:w="1181" w:type="pct"/>
            <w:tcBorders>
              <w:top w:val="nil"/>
              <w:left w:val="nil"/>
              <w:bottom w:val="single" w:color="auto" w:sz="4" w:space="0"/>
              <w:right w:val="single" w:color="auto" w:sz="4" w:space="0"/>
            </w:tcBorders>
            <w:noWrap w:val="0"/>
            <w:vAlign w:val="center"/>
          </w:tcPr>
          <w:p w14:paraId="2620BCFD">
            <w:pPr>
              <w:jc w:val="center"/>
              <w:rPr>
                <w:rFonts w:ascii="仿宋_GB2312" w:hAnsi="宋体" w:eastAsia="仿宋_GB2312" w:cs="宋体"/>
                <w:color w:val="000000"/>
                <w:szCs w:val="21"/>
              </w:rPr>
            </w:pPr>
            <w:r>
              <w:rPr>
                <w:rFonts w:hint="eastAsia" w:ascii="仿宋_GB2312" w:eastAsia="仿宋_GB2312"/>
                <w:color w:val="000000"/>
                <w:szCs w:val="21"/>
              </w:rPr>
              <w:t>7</w:t>
            </w:r>
          </w:p>
        </w:tc>
      </w:tr>
      <w:tr w14:paraId="2AC0A91E">
        <w:tblPrEx>
          <w:tblCellMar>
            <w:top w:w="0" w:type="dxa"/>
            <w:left w:w="108" w:type="dxa"/>
            <w:bottom w:w="0" w:type="dxa"/>
            <w:right w:w="108" w:type="dxa"/>
          </w:tblCellMar>
        </w:tblPrEx>
        <w:trPr>
          <w:wBefore w:w="0" w:type="dxa"/>
          <w:wAfter w:w="0" w:type="dxa"/>
          <w:trHeight w:val="420" w:hRule="atLeast"/>
          <w:jc w:val="center"/>
        </w:trPr>
        <w:tc>
          <w:tcPr>
            <w:tcW w:w="1319" w:type="pct"/>
            <w:tcBorders>
              <w:top w:val="nil"/>
              <w:left w:val="single" w:color="auto" w:sz="4" w:space="0"/>
              <w:bottom w:val="single" w:color="auto" w:sz="4" w:space="0"/>
              <w:right w:val="single" w:color="auto" w:sz="4" w:space="0"/>
            </w:tcBorders>
            <w:noWrap w:val="0"/>
            <w:vAlign w:val="center"/>
          </w:tcPr>
          <w:p w14:paraId="1764E99A">
            <w:pPr>
              <w:jc w:val="center"/>
              <w:rPr>
                <w:rFonts w:ascii="仿宋_GB2312" w:hAnsi="宋体" w:eastAsia="仿宋_GB2312" w:cs="宋体"/>
                <w:color w:val="000000"/>
                <w:szCs w:val="21"/>
              </w:rPr>
            </w:pPr>
            <w:r>
              <w:rPr>
                <w:rFonts w:hint="eastAsia" w:ascii="仿宋_GB2312" w:eastAsia="仿宋_GB2312"/>
                <w:color w:val="000000"/>
                <w:szCs w:val="21"/>
              </w:rPr>
              <w:t>价格投诉</w:t>
            </w:r>
          </w:p>
        </w:tc>
        <w:tc>
          <w:tcPr>
            <w:tcW w:w="1319" w:type="pct"/>
            <w:tcBorders>
              <w:top w:val="nil"/>
              <w:left w:val="nil"/>
              <w:bottom w:val="single" w:color="auto" w:sz="4" w:space="0"/>
              <w:right w:val="single" w:color="auto" w:sz="4" w:space="0"/>
            </w:tcBorders>
            <w:noWrap w:val="0"/>
            <w:vAlign w:val="center"/>
          </w:tcPr>
          <w:p w14:paraId="116D495E">
            <w:pPr>
              <w:jc w:val="center"/>
              <w:rPr>
                <w:rFonts w:ascii="仿宋_GB2312" w:hAnsi="宋体" w:eastAsia="仿宋_GB2312" w:cs="宋体"/>
                <w:color w:val="000000"/>
                <w:szCs w:val="21"/>
              </w:rPr>
            </w:pPr>
            <w:r>
              <w:rPr>
                <w:rFonts w:hint="eastAsia" w:ascii="仿宋_GB2312" w:eastAsia="仿宋_GB2312"/>
                <w:color w:val="000000"/>
                <w:szCs w:val="21"/>
              </w:rPr>
              <w:t>139</w:t>
            </w:r>
          </w:p>
        </w:tc>
        <w:tc>
          <w:tcPr>
            <w:tcW w:w="1181" w:type="pct"/>
            <w:tcBorders>
              <w:top w:val="nil"/>
              <w:left w:val="nil"/>
              <w:bottom w:val="single" w:color="auto" w:sz="4" w:space="0"/>
              <w:right w:val="single" w:color="auto" w:sz="4" w:space="0"/>
            </w:tcBorders>
            <w:noWrap w:val="0"/>
            <w:vAlign w:val="center"/>
          </w:tcPr>
          <w:p w14:paraId="6757574D">
            <w:pPr>
              <w:jc w:val="center"/>
              <w:rPr>
                <w:rFonts w:ascii="仿宋_GB2312" w:hAnsi="宋体" w:eastAsia="仿宋_GB2312" w:cs="宋体"/>
                <w:color w:val="000000"/>
                <w:szCs w:val="21"/>
              </w:rPr>
            </w:pPr>
            <w:r>
              <w:rPr>
                <w:rFonts w:hint="eastAsia" w:ascii="仿宋_GB2312" w:eastAsia="仿宋_GB2312"/>
                <w:color w:val="000000"/>
                <w:szCs w:val="21"/>
              </w:rPr>
              <w:t>1.80%</w:t>
            </w:r>
          </w:p>
        </w:tc>
        <w:tc>
          <w:tcPr>
            <w:tcW w:w="1181" w:type="pct"/>
            <w:tcBorders>
              <w:top w:val="nil"/>
              <w:left w:val="nil"/>
              <w:bottom w:val="single" w:color="auto" w:sz="4" w:space="0"/>
              <w:right w:val="single" w:color="auto" w:sz="4" w:space="0"/>
            </w:tcBorders>
            <w:noWrap w:val="0"/>
            <w:vAlign w:val="center"/>
          </w:tcPr>
          <w:p w14:paraId="13CA5650">
            <w:pPr>
              <w:jc w:val="center"/>
              <w:rPr>
                <w:rFonts w:ascii="仿宋_GB2312" w:hAnsi="宋体" w:eastAsia="仿宋_GB2312" w:cs="宋体"/>
                <w:color w:val="000000"/>
                <w:szCs w:val="21"/>
              </w:rPr>
            </w:pPr>
            <w:r>
              <w:rPr>
                <w:rFonts w:hint="eastAsia" w:ascii="仿宋_GB2312" w:eastAsia="仿宋_GB2312"/>
                <w:color w:val="000000"/>
                <w:szCs w:val="21"/>
              </w:rPr>
              <w:t>8</w:t>
            </w:r>
          </w:p>
        </w:tc>
      </w:tr>
      <w:tr w14:paraId="33831443">
        <w:tblPrEx>
          <w:tblCellMar>
            <w:top w:w="0" w:type="dxa"/>
            <w:left w:w="108" w:type="dxa"/>
            <w:bottom w:w="0" w:type="dxa"/>
            <w:right w:w="108" w:type="dxa"/>
          </w:tblCellMar>
        </w:tblPrEx>
        <w:trPr>
          <w:wBefore w:w="0" w:type="dxa"/>
          <w:wAfter w:w="0" w:type="dxa"/>
          <w:trHeight w:val="420" w:hRule="atLeast"/>
          <w:jc w:val="center"/>
        </w:trPr>
        <w:tc>
          <w:tcPr>
            <w:tcW w:w="1319" w:type="pct"/>
            <w:tcBorders>
              <w:top w:val="nil"/>
              <w:left w:val="single" w:color="auto" w:sz="4" w:space="0"/>
              <w:bottom w:val="single" w:color="auto" w:sz="4" w:space="0"/>
              <w:right w:val="single" w:color="auto" w:sz="4" w:space="0"/>
            </w:tcBorders>
            <w:noWrap w:val="0"/>
            <w:vAlign w:val="center"/>
          </w:tcPr>
          <w:p w14:paraId="1DC8FC83">
            <w:pPr>
              <w:jc w:val="center"/>
              <w:rPr>
                <w:rFonts w:ascii="仿宋_GB2312" w:hAnsi="宋体" w:eastAsia="仿宋_GB2312" w:cs="宋体"/>
                <w:color w:val="000000"/>
                <w:szCs w:val="21"/>
              </w:rPr>
            </w:pPr>
            <w:r>
              <w:rPr>
                <w:rFonts w:hint="eastAsia" w:ascii="仿宋_GB2312" w:eastAsia="仿宋_GB2312"/>
                <w:color w:val="000000"/>
                <w:szCs w:val="21"/>
              </w:rPr>
              <w:t>人身权利</w:t>
            </w:r>
          </w:p>
        </w:tc>
        <w:tc>
          <w:tcPr>
            <w:tcW w:w="1319" w:type="pct"/>
            <w:tcBorders>
              <w:top w:val="nil"/>
              <w:left w:val="nil"/>
              <w:bottom w:val="single" w:color="auto" w:sz="4" w:space="0"/>
              <w:right w:val="single" w:color="auto" w:sz="4" w:space="0"/>
            </w:tcBorders>
            <w:noWrap w:val="0"/>
            <w:vAlign w:val="center"/>
          </w:tcPr>
          <w:p w14:paraId="63F74511">
            <w:pPr>
              <w:jc w:val="center"/>
              <w:rPr>
                <w:rFonts w:ascii="仿宋_GB2312" w:hAnsi="宋体" w:eastAsia="仿宋_GB2312" w:cs="宋体"/>
                <w:color w:val="000000"/>
                <w:szCs w:val="21"/>
              </w:rPr>
            </w:pPr>
            <w:r>
              <w:rPr>
                <w:rFonts w:hint="eastAsia" w:ascii="仿宋_GB2312" w:eastAsia="仿宋_GB2312"/>
                <w:color w:val="000000"/>
                <w:szCs w:val="21"/>
              </w:rPr>
              <w:t>128</w:t>
            </w:r>
          </w:p>
        </w:tc>
        <w:tc>
          <w:tcPr>
            <w:tcW w:w="1181" w:type="pct"/>
            <w:tcBorders>
              <w:top w:val="nil"/>
              <w:left w:val="nil"/>
              <w:bottom w:val="single" w:color="auto" w:sz="4" w:space="0"/>
              <w:right w:val="single" w:color="auto" w:sz="4" w:space="0"/>
            </w:tcBorders>
            <w:noWrap w:val="0"/>
            <w:vAlign w:val="center"/>
          </w:tcPr>
          <w:p w14:paraId="1C69C8B4">
            <w:pPr>
              <w:jc w:val="center"/>
              <w:rPr>
                <w:rFonts w:ascii="仿宋_GB2312" w:hAnsi="宋体" w:eastAsia="仿宋_GB2312" w:cs="宋体"/>
                <w:color w:val="000000"/>
                <w:szCs w:val="21"/>
              </w:rPr>
            </w:pPr>
            <w:r>
              <w:rPr>
                <w:rFonts w:hint="eastAsia" w:ascii="仿宋_GB2312" w:eastAsia="仿宋_GB2312"/>
                <w:color w:val="000000"/>
                <w:szCs w:val="21"/>
              </w:rPr>
              <w:t>1.67%</w:t>
            </w:r>
          </w:p>
        </w:tc>
        <w:tc>
          <w:tcPr>
            <w:tcW w:w="1181" w:type="pct"/>
            <w:tcBorders>
              <w:top w:val="nil"/>
              <w:left w:val="nil"/>
              <w:bottom w:val="single" w:color="auto" w:sz="4" w:space="0"/>
              <w:right w:val="single" w:color="auto" w:sz="4" w:space="0"/>
            </w:tcBorders>
            <w:noWrap w:val="0"/>
            <w:vAlign w:val="center"/>
          </w:tcPr>
          <w:p w14:paraId="19CE26A8">
            <w:pPr>
              <w:jc w:val="center"/>
              <w:rPr>
                <w:rFonts w:ascii="仿宋_GB2312" w:hAnsi="宋体" w:eastAsia="仿宋_GB2312" w:cs="宋体"/>
                <w:color w:val="000000"/>
                <w:szCs w:val="21"/>
              </w:rPr>
            </w:pPr>
            <w:r>
              <w:rPr>
                <w:rFonts w:hint="eastAsia" w:ascii="仿宋_GB2312" w:eastAsia="仿宋_GB2312"/>
                <w:color w:val="000000"/>
                <w:szCs w:val="21"/>
              </w:rPr>
              <w:t>9</w:t>
            </w:r>
          </w:p>
        </w:tc>
      </w:tr>
      <w:tr w14:paraId="057620B2">
        <w:tblPrEx>
          <w:tblCellMar>
            <w:top w:w="0" w:type="dxa"/>
            <w:left w:w="108" w:type="dxa"/>
            <w:bottom w:w="0" w:type="dxa"/>
            <w:right w:w="108" w:type="dxa"/>
          </w:tblCellMar>
        </w:tblPrEx>
        <w:trPr>
          <w:wBefore w:w="0" w:type="dxa"/>
          <w:wAfter w:w="0" w:type="dxa"/>
          <w:trHeight w:val="420" w:hRule="atLeast"/>
          <w:jc w:val="center"/>
        </w:trPr>
        <w:tc>
          <w:tcPr>
            <w:tcW w:w="1319" w:type="pct"/>
            <w:tcBorders>
              <w:top w:val="nil"/>
              <w:left w:val="single" w:color="auto" w:sz="4" w:space="0"/>
              <w:bottom w:val="single" w:color="auto" w:sz="4" w:space="0"/>
              <w:right w:val="single" w:color="auto" w:sz="4" w:space="0"/>
            </w:tcBorders>
            <w:noWrap w:val="0"/>
            <w:vAlign w:val="center"/>
          </w:tcPr>
          <w:p w14:paraId="00EC844B">
            <w:pPr>
              <w:jc w:val="center"/>
              <w:rPr>
                <w:rFonts w:ascii="仿宋_GB2312" w:hAnsi="宋体" w:eastAsia="仿宋_GB2312" w:cs="宋体"/>
                <w:color w:val="000000"/>
                <w:szCs w:val="21"/>
              </w:rPr>
            </w:pPr>
            <w:r>
              <w:rPr>
                <w:rFonts w:hint="eastAsia" w:ascii="仿宋_GB2312" w:eastAsia="仿宋_GB2312"/>
                <w:color w:val="000000"/>
                <w:szCs w:val="21"/>
              </w:rPr>
              <w:t>不正当竞争</w:t>
            </w:r>
          </w:p>
        </w:tc>
        <w:tc>
          <w:tcPr>
            <w:tcW w:w="1319" w:type="pct"/>
            <w:tcBorders>
              <w:top w:val="nil"/>
              <w:left w:val="nil"/>
              <w:bottom w:val="single" w:color="auto" w:sz="4" w:space="0"/>
              <w:right w:val="single" w:color="auto" w:sz="4" w:space="0"/>
            </w:tcBorders>
            <w:noWrap w:val="0"/>
            <w:vAlign w:val="center"/>
          </w:tcPr>
          <w:p w14:paraId="1AFC26A3">
            <w:pPr>
              <w:jc w:val="center"/>
              <w:rPr>
                <w:rFonts w:ascii="仿宋_GB2312" w:hAnsi="宋体" w:eastAsia="仿宋_GB2312" w:cs="宋体"/>
                <w:color w:val="000000"/>
                <w:szCs w:val="21"/>
              </w:rPr>
            </w:pPr>
            <w:r>
              <w:rPr>
                <w:rFonts w:hint="eastAsia" w:ascii="仿宋_GB2312" w:eastAsia="仿宋_GB2312"/>
                <w:color w:val="000000"/>
                <w:szCs w:val="21"/>
              </w:rPr>
              <w:t>108</w:t>
            </w:r>
          </w:p>
        </w:tc>
        <w:tc>
          <w:tcPr>
            <w:tcW w:w="1181" w:type="pct"/>
            <w:tcBorders>
              <w:top w:val="nil"/>
              <w:left w:val="nil"/>
              <w:bottom w:val="single" w:color="auto" w:sz="4" w:space="0"/>
              <w:right w:val="single" w:color="auto" w:sz="4" w:space="0"/>
            </w:tcBorders>
            <w:noWrap w:val="0"/>
            <w:vAlign w:val="center"/>
          </w:tcPr>
          <w:p w14:paraId="28DF5834">
            <w:pPr>
              <w:jc w:val="center"/>
              <w:rPr>
                <w:rFonts w:ascii="仿宋_GB2312" w:hAnsi="宋体" w:eastAsia="仿宋_GB2312" w:cs="宋体"/>
                <w:color w:val="000000"/>
                <w:szCs w:val="21"/>
              </w:rPr>
            </w:pPr>
            <w:r>
              <w:rPr>
                <w:rFonts w:hint="eastAsia" w:ascii="仿宋_GB2312" w:eastAsia="仿宋_GB2312"/>
                <w:color w:val="000000"/>
                <w:szCs w:val="21"/>
              </w:rPr>
              <w:t>1.40%</w:t>
            </w:r>
          </w:p>
        </w:tc>
        <w:tc>
          <w:tcPr>
            <w:tcW w:w="1181" w:type="pct"/>
            <w:tcBorders>
              <w:top w:val="nil"/>
              <w:left w:val="nil"/>
              <w:bottom w:val="single" w:color="auto" w:sz="4" w:space="0"/>
              <w:right w:val="single" w:color="auto" w:sz="4" w:space="0"/>
            </w:tcBorders>
            <w:noWrap w:val="0"/>
            <w:vAlign w:val="center"/>
          </w:tcPr>
          <w:p w14:paraId="269CF972">
            <w:pPr>
              <w:jc w:val="center"/>
              <w:rPr>
                <w:rFonts w:ascii="仿宋_GB2312" w:hAnsi="宋体" w:eastAsia="仿宋_GB2312" w:cs="宋体"/>
                <w:color w:val="000000"/>
                <w:szCs w:val="21"/>
              </w:rPr>
            </w:pPr>
            <w:r>
              <w:rPr>
                <w:rFonts w:hint="eastAsia" w:ascii="仿宋_GB2312" w:eastAsia="仿宋_GB2312"/>
                <w:color w:val="000000"/>
                <w:szCs w:val="21"/>
              </w:rPr>
              <w:t>10</w:t>
            </w:r>
          </w:p>
        </w:tc>
      </w:tr>
      <w:tr w14:paraId="68C281C4">
        <w:tblPrEx>
          <w:tblCellMar>
            <w:top w:w="0" w:type="dxa"/>
            <w:left w:w="108" w:type="dxa"/>
            <w:bottom w:w="0" w:type="dxa"/>
            <w:right w:w="108" w:type="dxa"/>
          </w:tblCellMar>
        </w:tblPrEx>
        <w:trPr>
          <w:wBefore w:w="0" w:type="dxa"/>
          <w:wAfter w:w="0" w:type="dxa"/>
          <w:trHeight w:val="420" w:hRule="atLeast"/>
          <w:jc w:val="center"/>
        </w:trPr>
        <w:tc>
          <w:tcPr>
            <w:tcW w:w="1319" w:type="pct"/>
            <w:tcBorders>
              <w:top w:val="nil"/>
              <w:left w:val="single" w:color="auto" w:sz="4" w:space="0"/>
              <w:bottom w:val="single" w:color="auto" w:sz="4" w:space="0"/>
              <w:right w:val="single" w:color="auto" w:sz="4" w:space="0"/>
            </w:tcBorders>
            <w:noWrap w:val="0"/>
            <w:vAlign w:val="center"/>
          </w:tcPr>
          <w:p w14:paraId="00145E49">
            <w:pPr>
              <w:jc w:val="center"/>
              <w:rPr>
                <w:rFonts w:ascii="仿宋_GB2312" w:hAnsi="宋体" w:eastAsia="仿宋_GB2312" w:cs="宋体"/>
                <w:color w:val="000000"/>
                <w:szCs w:val="21"/>
              </w:rPr>
            </w:pPr>
            <w:r>
              <w:rPr>
                <w:rFonts w:hint="eastAsia" w:ascii="仿宋_GB2312" w:eastAsia="仿宋_GB2312"/>
                <w:color w:val="000000"/>
                <w:szCs w:val="21"/>
              </w:rPr>
              <w:t>计量</w:t>
            </w:r>
          </w:p>
        </w:tc>
        <w:tc>
          <w:tcPr>
            <w:tcW w:w="1319" w:type="pct"/>
            <w:tcBorders>
              <w:top w:val="nil"/>
              <w:left w:val="nil"/>
              <w:bottom w:val="single" w:color="auto" w:sz="4" w:space="0"/>
              <w:right w:val="single" w:color="auto" w:sz="4" w:space="0"/>
            </w:tcBorders>
            <w:noWrap w:val="0"/>
            <w:vAlign w:val="center"/>
          </w:tcPr>
          <w:p w14:paraId="0AB75C55">
            <w:pPr>
              <w:jc w:val="center"/>
              <w:rPr>
                <w:rFonts w:ascii="仿宋_GB2312" w:hAnsi="宋体" w:eastAsia="仿宋_GB2312" w:cs="宋体"/>
                <w:color w:val="000000"/>
                <w:szCs w:val="21"/>
              </w:rPr>
            </w:pPr>
            <w:r>
              <w:rPr>
                <w:rFonts w:hint="eastAsia" w:ascii="仿宋_GB2312" w:eastAsia="仿宋_GB2312"/>
                <w:color w:val="000000"/>
                <w:szCs w:val="21"/>
              </w:rPr>
              <w:t>27</w:t>
            </w:r>
          </w:p>
        </w:tc>
        <w:tc>
          <w:tcPr>
            <w:tcW w:w="1181" w:type="pct"/>
            <w:tcBorders>
              <w:top w:val="nil"/>
              <w:left w:val="nil"/>
              <w:bottom w:val="single" w:color="auto" w:sz="4" w:space="0"/>
              <w:right w:val="single" w:color="auto" w:sz="4" w:space="0"/>
            </w:tcBorders>
            <w:noWrap w:val="0"/>
            <w:vAlign w:val="center"/>
          </w:tcPr>
          <w:p w14:paraId="7592BEB0">
            <w:pPr>
              <w:jc w:val="center"/>
              <w:rPr>
                <w:rFonts w:ascii="仿宋_GB2312" w:hAnsi="宋体" w:eastAsia="仿宋_GB2312" w:cs="宋体"/>
                <w:color w:val="000000"/>
                <w:szCs w:val="21"/>
              </w:rPr>
            </w:pPr>
            <w:r>
              <w:rPr>
                <w:rFonts w:hint="eastAsia" w:ascii="仿宋_GB2312" w:eastAsia="仿宋_GB2312"/>
                <w:color w:val="000000"/>
                <w:szCs w:val="21"/>
              </w:rPr>
              <w:t>0.35%</w:t>
            </w:r>
          </w:p>
        </w:tc>
        <w:tc>
          <w:tcPr>
            <w:tcW w:w="1181" w:type="pct"/>
            <w:tcBorders>
              <w:top w:val="nil"/>
              <w:left w:val="nil"/>
              <w:bottom w:val="single" w:color="auto" w:sz="4" w:space="0"/>
              <w:right w:val="single" w:color="auto" w:sz="4" w:space="0"/>
            </w:tcBorders>
            <w:noWrap w:val="0"/>
            <w:vAlign w:val="center"/>
          </w:tcPr>
          <w:p w14:paraId="2D28009C">
            <w:pPr>
              <w:jc w:val="center"/>
              <w:rPr>
                <w:rFonts w:ascii="仿宋_GB2312" w:hAnsi="宋体" w:eastAsia="仿宋_GB2312" w:cs="宋体"/>
                <w:color w:val="000000"/>
                <w:szCs w:val="21"/>
              </w:rPr>
            </w:pPr>
            <w:r>
              <w:rPr>
                <w:rFonts w:hint="eastAsia" w:ascii="仿宋_GB2312" w:eastAsia="仿宋_GB2312"/>
                <w:color w:val="000000"/>
                <w:szCs w:val="21"/>
              </w:rPr>
              <w:t>11</w:t>
            </w:r>
          </w:p>
        </w:tc>
      </w:tr>
      <w:tr w14:paraId="3568B1B5">
        <w:tblPrEx>
          <w:tblCellMar>
            <w:top w:w="0" w:type="dxa"/>
            <w:left w:w="108" w:type="dxa"/>
            <w:bottom w:w="0" w:type="dxa"/>
            <w:right w:w="108" w:type="dxa"/>
          </w:tblCellMar>
        </w:tblPrEx>
        <w:trPr>
          <w:wBefore w:w="0" w:type="dxa"/>
          <w:wAfter w:w="0" w:type="dxa"/>
          <w:trHeight w:val="420" w:hRule="atLeast"/>
          <w:jc w:val="center"/>
        </w:trPr>
        <w:tc>
          <w:tcPr>
            <w:tcW w:w="1319" w:type="pct"/>
            <w:tcBorders>
              <w:top w:val="nil"/>
              <w:left w:val="single" w:color="auto" w:sz="4" w:space="0"/>
              <w:bottom w:val="single" w:color="auto" w:sz="4" w:space="0"/>
              <w:right w:val="single" w:color="auto" w:sz="4" w:space="0"/>
            </w:tcBorders>
            <w:noWrap w:val="0"/>
            <w:vAlign w:val="center"/>
          </w:tcPr>
          <w:p w14:paraId="749A2D78">
            <w:pPr>
              <w:jc w:val="center"/>
              <w:rPr>
                <w:rFonts w:ascii="仿宋_GB2312" w:hAnsi="宋体" w:eastAsia="仿宋_GB2312" w:cs="宋体"/>
                <w:color w:val="000000"/>
                <w:szCs w:val="21"/>
              </w:rPr>
            </w:pPr>
            <w:r>
              <w:rPr>
                <w:rFonts w:hint="eastAsia" w:ascii="仿宋_GB2312" w:eastAsia="仿宋_GB2312"/>
                <w:color w:val="000000"/>
                <w:szCs w:val="21"/>
              </w:rPr>
              <w:t>标准化</w:t>
            </w:r>
          </w:p>
        </w:tc>
        <w:tc>
          <w:tcPr>
            <w:tcW w:w="1319" w:type="pct"/>
            <w:tcBorders>
              <w:top w:val="nil"/>
              <w:left w:val="nil"/>
              <w:bottom w:val="single" w:color="auto" w:sz="4" w:space="0"/>
              <w:right w:val="single" w:color="auto" w:sz="4" w:space="0"/>
            </w:tcBorders>
            <w:noWrap w:val="0"/>
            <w:vAlign w:val="center"/>
          </w:tcPr>
          <w:p w14:paraId="6721F58A">
            <w:pPr>
              <w:jc w:val="center"/>
              <w:rPr>
                <w:rFonts w:ascii="仿宋_GB2312" w:hAnsi="宋体" w:eastAsia="仿宋_GB2312" w:cs="宋体"/>
                <w:color w:val="000000"/>
                <w:szCs w:val="21"/>
              </w:rPr>
            </w:pPr>
            <w:r>
              <w:rPr>
                <w:rFonts w:hint="eastAsia" w:ascii="仿宋_GB2312" w:eastAsia="仿宋_GB2312"/>
                <w:color w:val="000000"/>
                <w:szCs w:val="21"/>
              </w:rPr>
              <w:t>8</w:t>
            </w:r>
          </w:p>
        </w:tc>
        <w:tc>
          <w:tcPr>
            <w:tcW w:w="1181" w:type="pct"/>
            <w:tcBorders>
              <w:top w:val="nil"/>
              <w:left w:val="nil"/>
              <w:bottom w:val="single" w:color="auto" w:sz="4" w:space="0"/>
              <w:right w:val="single" w:color="auto" w:sz="4" w:space="0"/>
            </w:tcBorders>
            <w:noWrap w:val="0"/>
            <w:vAlign w:val="center"/>
          </w:tcPr>
          <w:p w14:paraId="5C6FF665">
            <w:pPr>
              <w:jc w:val="center"/>
              <w:rPr>
                <w:rFonts w:ascii="仿宋_GB2312" w:hAnsi="宋体" w:eastAsia="仿宋_GB2312" w:cs="宋体"/>
                <w:color w:val="000000"/>
                <w:szCs w:val="21"/>
              </w:rPr>
            </w:pPr>
            <w:r>
              <w:rPr>
                <w:rFonts w:hint="eastAsia" w:ascii="仿宋_GB2312" w:eastAsia="仿宋_GB2312"/>
                <w:color w:val="000000"/>
                <w:szCs w:val="21"/>
              </w:rPr>
              <w:t>0.11%</w:t>
            </w:r>
          </w:p>
        </w:tc>
        <w:tc>
          <w:tcPr>
            <w:tcW w:w="1181" w:type="pct"/>
            <w:tcBorders>
              <w:top w:val="nil"/>
              <w:left w:val="nil"/>
              <w:bottom w:val="single" w:color="auto" w:sz="4" w:space="0"/>
              <w:right w:val="single" w:color="auto" w:sz="4" w:space="0"/>
            </w:tcBorders>
            <w:noWrap w:val="0"/>
            <w:vAlign w:val="center"/>
          </w:tcPr>
          <w:p w14:paraId="6F9C29DB">
            <w:pPr>
              <w:jc w:val="center"/>
              <w:rPr>
                <w:rFonts w:ascii="仿宋_GB2312" w:hAnsi="宋体" w:eastAsia="仿宋_GB2312" w:cs="宋体"/>
                <w:color w:val="000000"/>
                <w:szCs w:val="21"/>
              </w:rPr>
            </w:pPr>
            <w:r>
              <w:rPr>
                <w:rFonts w:hint="eastAsia" w:ascii="仿宋_GB2312" w:eastAsia="仿宋_GB2312"/>
                <w:color w:val="000000"/>
                <w:szCs w:val="21"/>
              </w:rPr>
              <w:t>12</w:t>
            </w:r>
          </w:p>
        </w:tc>
      </w:tr>
      <w:tr w14:paraId="4E8CBE6A">
        <w:tblPrEx>
          <w:tblCellMar>
            <w:top w:w="0" w:type="dxa"/>
            <w:left w:w="108" w:type="dxa"/>
            <w:bottom w:w="0" w:type="dxa"/>
            <w:right w:w="108" w:type="dxa"/>
          </w:tblCellMar>
        </w:tblPrEx>
        <w:trPr>
          <w:wBefore w:w="0" w:type="dxa"/>
          <w:wAfter w:w="0" w:type="dxa"/>
          <w:trHeight w:val="420" w:hRule="atLeast"/>
          <w:jc w:val="center"/>
        </w:trPr>
        <w:tc>
          <w:tcPr>
            <w:tcW w:w="1319" w:type="pct"/>
            <w:tcBorders>
              <w:top w:val="nil"/>
              <w:left w:val="single" w:color="auto" w:sz="4" w:space="0"/>
              <w:bottom w:val="single" w:color="auto" w:sz="4" w:space="0"/>
              <w:right w:val="single" w:color="auto" w:sz="4" w:space="0"/>
            </w:tcBorders>
            <w:noWrap w:val="0"/>
            <w:vAlign w:val="center"/>
          </w:tcPr>
          <w:p w14:paraId="069E52BB">
            <w:pPr>
              <w:jc w:val="center"/>
              <w:rPr>
                <w:rFonts w:ascii="仿宋_GB2312" w:hAnsi="宋体" w:eastAsia="仿宋_GB2312" w:cs="宋体"/>
                <w:color w:val="000000"/>
                <w:szCs w:val="21"/>
              </w:rPr>
            </w:pPr>
            <w:r>
              <w:rPr>
                <w:rFonts w:hint="eastAsia" w:ascii="仿宋_GB2312" w:eastAsia="仿宋_GB2312"/>
                <w:color w:val="000000"/>
                <w:szCs w:val="21"/>
              </w:rPr>
              <w:t>认证认可</w:t>
            </w:r>
          </w:p>
        </w:tc>
        <w:tc>
          <w:tcPr>
            <w:tcW w:w="1319" w:type="pct"/>
            <w:tcBorders>
              <w:top w:val="nil"/>
              <w:left w:val="nil"/>
              <w:bottom w:val="single" w:color="auto" w:sz="4" w:space="0"/>
              <w:right w:val="single" w:color="auto" w:sz="4" w:space="0"/>
            </w:tcBorders>
            <w:noWrap w:val="0"/>
            <w:vAlign w:val="center"/>
          </w:tcPr>
          <w:p w14:paraId="25EB065F">
            <w:pPr>
              <w:jc w:val="center"/>
              <w:rPr>
                <w:rFonts w:ascii="仿宋_GB2312" w:hAnsi="宋体" w:eastAsia="仿宋_GB2312" w:cs="宋体"/>
                <w:color w:val="000000"/>
                <w:szCs w:val="21"/>
              </w:rPr>
            </w:pPr>
            <w:r>
              <w:rPr>
                <w:rFonts w:hint="eastAsia" w:ascii="仿宋_GB2312" w:eastAsia="仿宋_GB2312"/>
                <w:color w:val="000000"/>
                <w:szCs w:val="21"/>
              </w:rPr>
              <w:t>7</w:t>
            </w:r>
          </w:p>
        </w:tc>
        <w:tc>
          <w:tcPr>
            <w:tcW w:w="1181" w:type="pct"/>
            <w:tcBorders>
              <w:top w:val="nil"/>
              <w:left w:val="nil"/>
              <w:bottom w:val="single" w:color="auto" w:sz="4" w:space="0"/>
              <w:right w:val="single" w:color="auto" w:sz="4" w:space="0"/>
            </w:tcBorders>
            <w:noWrap w:val="0"/>
            <w:vAlign w:val="center"/>
          </w:tcPr>
          <w:p w14:paraId="057031D4">
            <w:pPr>
              <w:jc w:val="center"/>
              <w:rPr>
                <w:rFonts w:ascii="仿宋_GB2312" w:hAnsi="宋体" w:eastAsia="仿宋_GB2312" w:cs="宋体"/>
                <w:color w:val="000000"/>
                <w:szCs w:val="21"/>
              </w:rPr>
            </w:pPr>
            <w:r>
              <w:rPr>
                <w:rFonts w:hint="eastAsia" w:ascii="仿宋_GB2312" w:eastAsia="仿宋_GB2312"/>
                <w:color w:val="000000"/>
                <w:szCs w:val="21"/>
              </w:rPr>
              <w:t>0.09%</w:t>
            </w:r>
          </w:p>
        </w:tc>
        <w:tc>
          <w:tcPr>
            <w:tcW w:w="1181" w:type="pct"/>
            <w:tcBorders>
              <w:top w:val="nil"/>
              <w:left w:val="nil"/>
              <w:bottom w:val="single" w:color="auto" w:sz="4" w:space="0"/>
              <w:right w:val="single" w:color="auto" w:sz="4" w:space="0"/>
            </w:tcBorders>
            <w:noWrap w:val="0"/>
            <w:vAlign w:val="center"/>
          </w:tcPr>
          <w:p w14:paraId="0611F1D6">
            <w:pPr>
              <w:jc w:val="center"/>
              <w:rPr>
                <w:rFonts w:ascii="仿宋_GB2312" w:hAnsi="宋体" w:eastAsia="仿宋_GB2312" w:cs="宋体"/>
                <w:color w:val="000000"/>
                <w:szCs w:val="21"/>
              </w:rPr>
            </w:pPr>
            <w:r>
              <w:rPr>
                <w:rFonts w:hint="eastAsia" w:ascii="仿宋_GB2312" w:eastAsia="仿宋_GB2312"/>
                <w:color w:val="000000"/>
                <w:szCs w:val="21"/>
              </w:rPr>
              <w:t>13</w:t>
            </w:r>
          </w:p>
        </w:tc>
      </w:tr>
      <w:tr w14:paraId="21AD13B1">
        <w:tblPrEx>
          <w:tblCellMar>
            <w:top w:w="0" w:type="dxa"/>
            <w:left w:w="108" w:type="dxa"/>
            <w:bottom w:w="0" w:type="dxa"/>
            <w:right w:w="108" w:type="dxa"/>
          </w:tblCellMar>
        </w:tblPrEx>
        <w:trPr>
          <w:wBefore w:w="0" w:type="dxa"/>
          <w:wAfter w:w="0" w:type="dxa"/>
          <w:trHeight w:val="420" w:hRule="atLeast"/>
          <w:jc w:val="center"/>
        </w:trPr>
        <w:tc>
          <w:tcPr>
            <w:tcW w:w="1319" w:type="pct"/>
            <w:tcBorders>
              <w:top w:val="nil"/>
              <w:left w:val="single" w:color="auto" w:sz="4" w:space="0"/>
              <w:bottom w:val="single" w:color="auto" w:sz="4" w:space="0"/>
              <w:right w:val="single" w:color="auto" w:sz="4" w:space="0"/>
            </w:tcBorders>
            <w:noWrap w:val="0"/>
            <w:vAlign w:val="center"/>
          </w:tcPr>
          <w:p w14:paraId="094DDD8D">
            <w:pPr>
              <w:jc w:val="center"/>
              <w:rPr>
                <w:rFonts w:ascii="仿宋_GB2312" w:hAnsi="宋体" w:eastAsia="仿宋_GB2312" w:cs="宋体"/>
                <w:color w:val="000000"/>
                <w:szCs w:val="21"/>
              </w:rPr>
            </w:pPr>
            <w:r>
              <w:rPr>
                <w:rFonts w:hint="eastAsia" w:ascii="仿宋_GB2312" w:eastAsia="仿宋_GB2312"/>
                <w:color w:val="000000"/>
                <w:szCs w:val="21"/>
              </w:rPr>
              <w:t>检验检测</w:t>
            </w:r>
          </w:p>
        </w:tc>
        <w:tc>
          <w:tcPr>
            <w:tcW w:w="1319" w:type="pct"/>
            <w:tcBorders>
              <w:top w:val="nil"/>
              <w:left w:val="nil"/>
              <w:bottom w:val="single" w:color="auto" w:sz="4" w:space="0"/>
              <w:right w:val="single" w:color="auto" w:sz="4" w:space="0"/>
            </w:tcBorders>
            <w:noWrap w:val="0"/>
            <w:vAlign w:val="center"/>
          </w:tcPr>
          <w:p w14:paraId="6C2ABB18">
            <w:pPr>
              <w:jc w:val="center"/>
              <w:rPr>
                <w:rFonts w:ascii="仿宋_GB2312" w:hAnsi="宋体" w:eastAsia="仿宋_GB2312" w:cs="宋体"/>
                <w:color w:val="000000"/>
                <w:szCs w:val="21"/>
              </w:rPr>
            </w:pPr>
            <w:r>
              <w:rPr>
                <w:rFonts w:hint="eastAsia" w:ascii="仿宋_GB2312" w:eastAsia="仿宋_GB2312"/>
                <w:color w:val="000000"/>
                <w:szCs w:val="21"/>
              </w:rPr>
              <w:t>3</w:t>
            </w:r>
          </w:p>
        </w:tc>
        <w:tc>
          <w:tcPr>
            <w:tcW w:w="1181" w:type="pct"/>
            <w:tcBorders>
              <w:top w:val="nil"/>
              <w:left w:val="nil"/>
              <w:bottom w:val="single" w:color="auto" w:sz="4" w:space="0"/>
              <w:right w:val="single" w:color="auto" w:sz="4" w:space="0"/>
            </w:tcBorders>
            <w:noWrap w:val="0"/>
            <w:vAlign w:val="center"/>
          </w:tcPr>
          <w:p w14:paraId="4CCBD2C8">
            <w:pPr>
              <w:jc w:val="center"/>
              <w:rPr>
                <w:rFonts w:ascii="仿宋_GB2312" w:hAnsi="宋体" w:eastAsia="仿宋_GB2312" w:cs="宋体"/>
                <w:color w:val="000000"/>
                <w:szCs w:val="21"/>
              </w:rPr>
            </w:pPr>
            <w:r>
              <w:rPr>
                <w:rFonts w:hint="eastAsia" w:ascii="仿宋_GB2312" w:eastAsia="仿宋_GB2312"/>
                <w:color w:val="000000"/>
                <w:szCs w:val="21"/>
              </w:rPr>
              <w:t>0.04%</w:t>
            </w:r>
          </w:p>
        </w:tc>
        <w:tc>
          <w:tcPr>
            <w:tcW w:w="1181" w:type="pct"/>
            <w:tcBorders>
              <w:top w:val="nil"/>
              <w:left w:val="nil"/>
              <w:bottom w:val="single" w:color="auto" w:sz="4" w:space="0"/>
              <w:right w:val="single" w:color="auto" w:sz="4" w:space="0"/>
            </w:tcBorders>
            <w:noWrap w:val="0"/>
            <w:vAlign w:val="center"/>
          </w:tcPr>
          <w:p w14:paraId="61ABFD3B">
            <w:pPr>
              <w:jc w:val="center"/>
              <w:rPr>
                <w:rFonts w:ascii="仿宋_GB2312" w:hAnsi="宋体" w:eastAsia="仿宋_GB2312" w:cs="宋体"/>
                <w:color w:val="000000"/>
                <w:szCs w:val="21"/>
              </w:rPr>
            </w:pPr>
            <w:r>
              <w:rPr>
                <w:rFonts w:hint="eastAsia" w:ascii="仿宋_GB2312" w:eastAsia="仿宋_GB2312"/>
                <w:color w:val="000000"/>
                <w:szCs w:val="21"/>
              </w:rPr>
              <w:t>14</w:t>
            </w:r>
          </w:p>
        </w:tc>
      </w:tr>
      <w:tr w14:paraId="73ACF8D7">
        <w:tblPrEx>
          <w:tblCellMar>
            <w:top w:w="0" w:type="dxa"/>
            <w:left w:w="108" w:type="dxa"/>
            <w:bottom w:w="0" w:type="dxa"/>
            <w:right w:w="108" w:type="dxa"/>
          </w:tblCellMar>
        </w:tblPrEx>
        <w:trPr>
          <w:wBefore w:w="0" w:type="dxa"/>
          <w:wAfter w:w="0" w:type="dxa"/>
          <w:trHeight w:val="420" w:hRule="atLeast"/>
          <w:jc w:val="center"/>
        </w:trPr>
        <w:tc>
          <w:tcPr>
            <w:tcW w:w="1319" w:type="pct"/>
            <w:tcBorders>
              <w:top w:val="nil"/>
              <w:left w:val="single" w:color="auto" w:sz="4" w:space="0"/>
              <w:bottom w:val="single" w:color="auto" w:sz="4" w:space="0"/>
              <w:right w:val="single" w:color="auto" w:sz="4" w:space="0"/>
            </w:tcBorders>
            <w:noWrap w:val="0"/>
            <w:vAlign w:val="center"/>
          </w:tcPr>
          <w:p w14:paraId="20AA0B55">
            <w:pPr>
              <w:jc w:val="center"/>
              <w:rPr>
                <w:rFonts w:ascii="仿宋_GB2312" w:hAnsi="宋体" w:eastAsia="仿宋_GB2312" w:cs="宋体"/>
                <w:color w:val="000000"/>
                <w:szCs w:val="21"/>
              </w:rPr>
            </w:pPr>
            <w:r>
              <w:rPr>
                <w:rFonts w:hint="eastAsia" w:ascii="仿宋_GB2312" w:eastAsia="仿宋_GB2312"/>
                <w:color w:val="000000"/>
                <w:szCs w:val="21"/>
              </w:rPr>
              <w:t>商标</w:t>
            </w:r>
          </w:p>
        </w:tc>
        <w:tc>
          <w:tcPr>
            <w:tcW w:w="1319" w:type="pct"/>
            <w:tcBorders>
              <w:top w:val="nil"/>
              <w:left w:val="nil"/>
              <w:bottom w:val="single" w:color="auto" w:sz="4" w:space="0"/>
              <w:right w:val="single" w:color="auto" w:sz="4" w:space="0"/>
            </w:tcBorders>
            <w:noWrap w:val="0"/>
            <w:vAlign w:val="center"/>
          </w:tcPr>
          <w:p w14:paraId="57C2CA7A">
            <w:pPr>
              <w:jc w:val="center"/>
              <w:rPr>
                <w:rFonts w:ascii="仿宋_GB2312" w:hAnsi="宋体" w:eastAsia="仿宋_GB2312" w:cs="宋体"/>
                <w:color w:val="000000"/>
                <w:szCs w:val="21"/>
              </w:rPr>
            </w:pPr>
            <w:r>
              <w:rPr>
                <w:rFonts w:hint="eastAsia" w:ascii="仿宋_GB2312" w:eastAsia="仿宋_GB2312"/>
                <w:color w:val="000000"/>
                <w:szCs w:val="21"/>
              </w:rPr>
              <w:t>3</w:t>
            </w:r>
          </w:p>
        </w:tc>
        <w:tc>
          <w:tcPr>
            <w:tcW w:w="1181" w:type="pct"/>
            <w:tcBorders>
              <w:top w:val="nil"/>
              <w:left w:val="nil"/>
              <w:bottom w:val="single" w:color="auto" w:sz="4" w:space="0"/>
              <w:right w:val="single" w:color="auto" w:sz="4" w:space="0"/>
            </w:tcBorders>
            <w:noWrap w:val="0"/>
            <w:vAlign w:val="center"/>
          </w:tcPr>
          <w:p w14:paraId="67E7D488">
            <w:pPr>
              <w:jc w:val="center"/>
              <w:rPr>
                <w:rFonts w:ascii="仿宋_GB2312" w:hAnsi="宋体" w:eastAsia="仿宋_GB2312" w:cs="宋体"/>
                <w:color w:val="000000"/>
                <w:szCs w:val="21"/>
              </w:rPr>
            </w:pPr>
            <w:r>
              <w:rPr>
                <w:rFonts w:hint="eastAsia" w:ascii="仿宋_GB2312" w:eastAsia="仿宋_GB2312"/>
                <w:color w:val="000000"/>
                <w:szCs w:val="21"/>
              </w:rPr>
              <w:t>0.04%</w:t>
            </w:r>
          </w:p>
        </w:tc>
        <w:tc>
          <w:tcPr>
            <w:tcW w:w="1181" w:type="pct"/>
            <w:tcBorders>
              <w:top w:val="nil"/>
              <w:left w:val="nil"/>
              <w:bottom w:val="single" w:color="auto" w:sz="4" w:space="0"/>
              <w:right w:val="single" w:color="auto" w:sz="4" w:space="0"/>
            </w:tcBorders>
            <w:noWrap w:val="0"/>
            <w:vAlign w:val="center"/>
          </w:tcPr>
          <w:p w14:paraId="77D06F60">
            <w:pPr>
              <w:jc w:val="center"/>
              <w:rPr>
                <w:rFonts w:ascii="仿宋_GB2312" w:hAnsi="宋体" w:eastAsia="仿宋_GB2312" w:cs="宋体"/>
                <w:color w:val="000000"/>
                <w:szCs w:val="21"/>
              </w:rPr>
            </w:pPr>
            <w:r>
              <w:rPr>
                <w:rFonts w:hint="eastAsia" w:ascii="仿宋_GB2312" w:eastAsia="仿宋_GB2312"/>
                <w:color w:val="000000"/>
                <w:szCs w:val="21"/>
              </w:rPr>
              <w:t>14</w:t>
            </w:r>
          </w:p>
        </w:tc>
      </w:tr>
      <w:tr w14:paraId="4A6A7C5E">
        <w:tblPrEx>
          <w:tblCellMar>
            <w:top w:w="0" w:type="dxa"/>
            <w:left w:w="108" w:type="dxa"/>
            <w:bottom w:w="0" w:type="dxa"/>
            <w:right w:w="108" w:type="dxa"/>
          </w:tblCellMar>
        </w:tblPrEx>
        <w:trPr>
          <w:wBefore w:w="0" w:type="dxa"/>
          <w:wAfter w:w="0" w:type="dxa"/>
          <w:trHeight w:val="421" w:hRule="atLeast"/>
          <w:jc w:val="center"/>
        </w:trPr>
        <w:tc>
          <w:tcPr>
            <w:tcW w:w="1319" w:type="pct"/>
            <w:tcBorders>
              <w:top w:val="nil"/>
              <w:left w:val="single" w:color="auto" w:sz="4" w:space="0"/>
              <w:bottom w:val="single" w:color="auto" w:sz="4" w:space="0"/>
              <w:right w:val="single" w:color="auto" w:sz="4" w:space="0"/>
            </w:tcBorders>
            <w:noWrap w:val="0"/>
            <w:vAlign w:val="center"/>
          </w:tcPr>
          <w:p w14:paraId="3E445E38">
            <w:pPr>
              <w:jc w:val="center"/>
              <w:rPr>
                <w:rFonts w:ascii="仿宋_GB2312" w:hAnsi="宋体" w:eastAsia="仿宋_GB2312" w:cs="宋体"/>
                <w:color w:val="000000"/>
                <w:szCs w:val="21"/>
              </w:rPr>
            </w:pPr>
            <w:r>
              <w:rPr>
                <w:rFonts w:hint="eastAsia" w:ascii="仿宋_GB2312" w:eastAsia="仿宋_GB2312"/>
                <w:color w:val="000000"/>
                <w:szCs w:val="21"/>
              </w:rPr>
              <w:t>地理标志</w:t>
            </w:r>
          </w:p>
        </w:tc>
        <w:tc>
          <w:tcPr>
            <w:tcW w:w="1319" w:type="pct"/>
            <w:tcBorders>
              <w:top w:val="nil"/>
              <w:left w:val="nil"/>
              <w:bottom w:val="single" w:color="auto" w:sz="4" w:space="0"/>
              <w:right w:val="single" w:color="auto" w:sz="4" w:space="0"/>
            </w:tcBorders>
            <w:noWrap w:val="0"/>
            <w:vAlign w:val="center"/>
          </w:tcPr>
          <w:p w14:paraId="627E6E14">
            <w:pPr>
              <w:jc w:val="center"/>
              <w:rPr>
                <w:rFonts w:ascii="仿宋_GB2312" w:hAnsi="宋体" w:eastAsia="仿宋_GB2312" w:cs="宋体"/>
                <w:color w:val="000000"/>
                <w:szCs w:val="21"/>
              </w:rPr>
            </w:pPr>
            <w:r>
              <w:rPr>
                <w:rFonts w:hint="eastAsia" w:ascii="仿宋_GB2312" w:eastAsia="仿宋_GB2312"/>
                <w:color w:val="000000"/>
                <w:szCs w:val="21"/>
              </w:rPr>
              <w:t>2</w:t>
            </w:r>
          </w:p>
        </w:tc>
        <w:tc>
          <w:tcPr>
            <w:tcW w:w="1181" w:type="pct"/>
            <w:tcBorders>
              <w:top w:val="nil"/>
              <w:left w:val="nil"/>
              <w:bottom w:val="single" w:color="auto" w:sz="4" w:space="0"/>
              <w:right w:val="single" w:color="auto" w:sz="4" w:space="0"/>
            </w:tcBorders>
            <w:noWrap w:val="0"/>
            <w:vAlign w:val="center"/>
          </w:tcPr>
          <w:p w14:paraId="4A06D191">
            <w:pPr>
              <w:jc w:val="center"/>
              <w:rPr>
                <w:rFonts w:ascii="仿宋_GB2312" w:hAnsi="宋体" w:eastAsia="仿宋_GB2312" w:cs="宋体"/>
                <w:color w:val="000000"/>
                <w:szCs w:val="21"/>
              </w:rPr>
            </w:pPr>
            <w:r>
              <w:rPr>
                <w:rFonts w:hint="eastAsia" w:ascii="仿宋_GB2312" w:eastAsia="仿宋_GB2312"/>
                <w:color w:val="000000"/>
                <w:szCs w:val="21"/>
              </w:rPr>
              <w:t>0.02%</w:t>
            </w:r>
          </w:p>
        </w:tc>
        <w:tc>
          <w:tcPr>
            <w:tcW w:w="1181" w:type="pct"/>
            <w:tcBorders>
              <w:top w:val="nil"/>
              <w:left w:val="nil"/>
              <w:bottom w:val="single" w:color="auto" w:sz="4" w:space="0"/>
              <w:right w:val="single" w:color="auto" w:sz="4" w:space="0"/>
            </w:tcBorders>
            <w:noWrap w:val="0"/>
            <w:vAlign w:val="center"/>
          </w:tcPr>
          <w:p w14:paraId="051F825D">
            <w:pPr>
              <w:jc w:val="center"/>
              <w:rPr>
                <w:rFonts w:ascii="仿宋_GB2312" w:hAnsi="宋体" w:eastAsia="仿宋_GB2312" w:cs="宋体"/>
                <w:color w:val="000000"/>
                <w:szCs w:val="21"/>
              </w:rPr>
            </w:pPr>
            <w:r>
              <w:rPr>
                <w:rFonts w:hint="eastAsia" w:ascii="仿宋_GB2312" w:eastAsia="仿宋_GB2312"/>
                <w:color w:val="000000"/>
                <w:szCs w:val="21"/>
              </w:rPr>
              <w:t>15</w:t>
            </w:r>
          </w:p>
        </w:tc>
      </w:tr>
      <w:tr w14:paraId="716C77BB">
        <w:tblPrEx>
          <w:tblCellMar>
            <w:top w:w="0" w:type="dxa"/>
            <w:left w:w="108" w:type="dxa"/>
            <w:bottom w:w="0" w:type="dxa"/>
            <w:right w:w="108" w:type="dxa"/>
          </w:tblCellMar>
        </w:tblPrEx>
        <w:trPr>
          <w:wBefore w:w="0" w:type="dxa"/>
          <w:wAfter w:w="0" w:type="dxa"/>
          <w:trHeight w:val="439" w:hRule="atLeast"/>
          <w:jc w:val="center"/>
        </w:trPr>
        <w:tc>
          <w:tcPr>
            <w:tcW w:w="1319" w:type="pct"/>
            <w:tcBorders>
              <w:top w:val="nil"/>
              <w:left w:val="single" w:color="auto" w:sz="4" w:space="0"/>
              <w:bottom w:val="single" w:color="auto" w:sz="4" w:space="0"/>
              <w:right w:val="single" w:color="auto" w:sz="4" w:space="0"/>
            </w:tcBorders>
            <w:noWrap w:val="0"/>
            <w:vAlign w:val="top"/>
          </w:tcPr>
          <w:p w14:paraId="445DACF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319" w:type="pct"/>
            <w:tcBorders>
              <w:top w:val="nil"/>
              <w:left w:val="nil"/>
              <w:bottom w:val="single" w:color="auto" w:sz="4" w:space="0"/>
              <w:right w:val="single" w:color="auto" w:sz="4" w:space="0"/>
            </w:tcBorders>
            <w:noWrap w:val="0"/>
            <w:vAlign w:val="top"/>
          </w:tcPr>
          <w:p w14:paraId="50B29C57">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7682</w:t>
            </w:r>
          </w:p>
        </w:tc>
        <w:tc>
          <w:tcPr>
            <w:tcW w:w="1181" w:type="pct"/>
            <w:tcBorders>
              <w:top w:val="nil"/>
              <w:left w:val="nil"/>
              <w:bottom w:val="single" w:color="auto" w:sz="4" w:space="0"/>
              <w:right w:val="single" w:color="auto" w:sz="4" w:space="0"/>
            </w:tcBorders>
            <w:noWrap w:val="0"/>
            <w:vAlign w:val="top"/>
          </w:tcPr>
          <w:p w14:paraId="30363B98">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100.00%</w:t>
            </w:r>
          </w:p>
        </w:tc>
        <w:tc>
          <w:tcPr>
            <w:tcW w:w="1181" w:type="pct"/>
            <w:tcBorders>
              <w:top w:val="nil"/>
              <w:left w:val="nil"/>
              <w:bottom w:val="single" w:color="auto" w:sz="4" w:space="0"/>
              <w:right w:val="single" w:color="auto" w:sz="4" w:space="0"/>
              <w:tl2br w:val="single" w:color="auto" w:sz="4" w:space="0"/>
            </w:tcBorders>
            <w:noWrap w:val="0"/>
            <w:vAlign w:val="center"/>
          </w:tcPr>
          <w:p w14:paraId="4FA7D239">
            <w:pPr>
              <w:widowControl/>
              <w:jc w:val="center"/>
              <w:rPr>
                <w:rFonts w:hint="eastAsia" w:ascii="仿宋_GB2312" w:hAnsi="宋体" w:eastAsia="仿宋_GB2312" w:cs="宋体"/>
                <w:color w:val="000000"/>
                <w:kern w:val="0"/>
                <w:sz w:val="24"/>
              </w:rPr>
            </w:pPr>
          </w:p>
        </w:tc>
      </w:tr>
    </w:tbl>
    <w:p w14:paraId="355FADB2">
      <w:pPr>
        <w:spacing w:line="520" w:lineRule="exact"/>
        <w:rPr>
          <w:rFonts w:hint="eastAsia" w:ascii="黑体" w:hAnsi="仿宋" w:eastAsia="黑体"/>
          <w:color w:val="000000"/>
          <w:sz w:val="32"/>
          <w:szCs w:val="32"/>
        </w:rPr>
      </w:pPr>
      <w:r>
        <w:rPr>
          <w:color w:val="000000"/>
          <w:lang/>
        </w:rPr>
        <w:drawing>
          <wp:anchor distT="0" distB="0" distL="114300" distR="114300" simplePos="0" relativeHeight="251663360" behindDoc="1" locked="0" layoutInCell="1" allowOverlap="1">
            <wp:simplePos x="0" y="0"/>
            <wp:positionH relativeFrom="column">
              <wp:posOffset>87630</wp:posOffset>
            </wp:positionH>
            <wp:positionV relativeFrom="paragraph">
              <wp:posOffset>428625</wp:posOffset>
            </wp:positionV>
            <wp:extent cx="5173980" cy="3218815"/>
            <wp:effectExtent l="4445" t="4445" r="22225" b="15240"/>
            <wp:wrapTight wrapText="bothSides">
              <wp:wrapPolygon>
                <wp:start x="-39" y="0"/>
                <wp:lineTo x="-39" y="21541"/>
                <wp:lineTo x="21600" y="21541"/>
                <wp:lineTo x="21600" y="0"/>
                <wp:lineTo x="-39" y="0"/>
              </wp:wrapPolygon>
            </wp:wrapTight>
            <wp:docPr id="5"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rFonts w:hint="eastAsia" w:ascii="黑体" w:hAnsi="仿宋" w:eastAsia="黑体"/>
          <w:color w:val="000000"/>
          <w:sz w:val="32"/>
          <w:szCs w:val="32"/>
        </w:rPr>
        <w:t>图四：</w:t>
      </w:r>
    </w:p>
    <w:p w14:paraId="7C3E0C60">
      <w:pPr>
        <w:spacing w:line="560" w:lineRule="exact"/>
        <w:ind w:firstLine="640" w:firstLineChars="200"/>
        <w:rPr>
          <w:rFonts w:hint="eastAsia" w:ascii="楷体_GB2312" w:hAnsi="Times New Roman" w:eastAsia="楷体_GB2312"/>
          <w:color w:val="000000"/>
          <w:sz w:val="32"/>
          <w:szCs w:val="32"/>
        </w:rPr>
      </w:pPr>
      <w:r>
        <w:rPr>
          <w:rFonts w:hint="eastAsia" w:ascii="楷体_GB2312" w:hAnsi="Times New Roman" w:eastAsia="楷体_GB2312"/>
          <w:color w:val="000000"/>
          <w:sz w:val="32"/>
          <w:szCs w:val="32"/>
        </w:rPr>
        <w:t>1、投诉合同相关问题突出。</w:t>
      </w:r>
    </w:p>
    <w:p w14:paraId="55A6F547">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消费者反映的问题主要是四个方面：一是交付定金后无法在约定的时间拿到商品，二是交付定金后要求退还定金，三是商品质量方面的投诉。从我们对消费投诉的处理中分析，难点一是质量问题鉴定难，二是违约责任界定难，目前销售市场上没有统一规范的商品购销合同文本，一旦发生消费纠纷，买卖权利义务难以界定。部分商家在购商品时给予消费者诸多口头承诺，在出现问题时对之前承诺不予认可，而消费者因缺乏书面证据，举证困难。</w:t>
      </w:r>
    </w:p>
    <w:p w14:paraId="478A80FB">
      <w:pPr>
        <w:spacing w:line="560" w:lineRule="exact"/>
        <w:rPr>
          <w:rFonts w:hint="eastAsia" w:ascii="楷体_GB2312" w:hAnsi="Times New Roman" w:eastAsia="楷体_GB2312"/>
          <w:color w:val="000000"/>
          <w:sz w:val="32"/>
          <w:szCs w:val="32"/>
        </w:rPr>
      </w:pPr>
      <w:r>
        <w:rPr>
          <w:rFonts w:ascii="Times New Roman" w:hAnsi="Times New Roman" w:eastAsia="仿宋_GB2312"/>
          <w:color w:val="000000"/>
          <w:sz w:val="32"/>
          <w:szCs w:val="32"/>
        </w:rPr>
        <w:t xml:space="preserve">    </w:t>
      </w:r>
      <w:r>
        <w:rPr>
          <w:rFonts w:hint="eastAsia" w:ascii="楷体_GB2312" w:hAnsi="Times New Roman" w:eastAsia="楷体_GB2312"/>
          <w:color w:val="000000"/>
          <w:sz w:val="32"/>
          <w:szCs w:val="32"/>
        </w:rPr>
        <w:t>2、售后服务问题相关投诉</w:t>
      </w:r>
    </w:p>
    <w:p w14:paraId="217A5905">
      <w:pPr>
        <w:spacing w:line="560" w:lineRule="exact"/>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    其中移动电话和移动电话服务由于消费基数大，一直是投诉热点，在商品类和服务类投诉中比重较大。移动电话的投诉问题主要有：一是部分手机质量本身不够稳定，出现不能充电、死机、黑屏等问题；二是现在的手机多为智能手机，功能多、应用软件更复杂，下载软件与手机系统冲突导致手机不能使用的情况也比比皆是；三是手机产品售后服务跟不上，一旦发生质量问题商家</w:t>
      </w:r>
      <w:r>
        <w:rPr>
          <w:rFonts w:hint="eastAsia" w:ascii="Times New Roman" w:hAnsi="Times New Roman" w:eastAsia="仿宋_GB2312"/>
          <w:color w:val="000000"/>
          <w:sz w:val="32"/>
          <w:szCs w:val="32"/>
          <w:lang w:val="en-US" w:eastAsia="zh-Hans"/>
        </w:rPr>
        <w:t>推脱</w:t>
      </w:r>
      <w:r>
        <w:rPr>
          <w:rFonts w:ascii="Times New Roman" w:hAnsi="Times New Roman" w:eastAsia="仿宋_GB2312"/>
          <w:color w:val="000000"/>
          <w:sz w:val="32"/>
          <w:szCs w:val="32"/>
        </w:rPr>
        <w:t>责任，如未经公司检测，商家无权调换或退货等。移动电话服务投诉反映的主要内容是强制开通保底消费套餐、卡遗失后无法补卡、乱收费、上网被限速、达不到应有的上网速度等。</w:t>
      </w:r>
    </w:p>
    <w:p w14:paraId="2642A08B">
      <w:pPr>
        <w:spacing w:line="560" w:lineRule="exact"/>
        <w:ind w:firstLine="627" w:firstLineChars="196"/>
        <w:rPr>
          <w:rFonts w:hint="eastAsia" w:ascii="楷体_GB2312" w:hAnsi="Times New Roman" w:eastAsia="楷体_GB2312"/>
          <w:color w:val="000000"/>
          <w:sz w:val="32"/>
          <w:szCs w:val="32"/>
        </w:rPr>
      </w:pPr>
      <w:r>
        <w:rPr>
          <w:rFonts w:hint="eastAsia" w:ascii="楷体_GB2312" w:hAnsi="Times New Roman" w:eastAsia="楷体_GB2312"/>
          <w:color w:val="000000"/>
          <w:sz w:val="32"/>
          <w:szCs w:val="32"/>
        </w:rPr>
        <w:t>3、质量相关问题</w:t>
      </w:r>
    </w:p>
    <w:p w14:paraId="0BF3AECB">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近年来，电商的出现网购投诉连续攀升。投诉问题中营销问题最为突出，主要问题虚假夸大产品性能，刻意夸大、虚构商品的功效或性能误导消费者。另外质量问题和退换货问题是网购投诉另外两大热点。质量问题主要有产品存在瑕疵、缺陷、以次充好、假冒伪劣甚至是三无产品等情况。很多质量问题的投诉，不是仅凭判断就可以认定是否存在质量问题，往往需要进行权威科学的鉴定，维权成本的骤增给调解带来相当大的难度。</w:t>
      </w:r>
    </w:p>
    <w:p w14:paraId="7A52A054">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w:t>
      </w:r>
      <w:r>
        <w:rPr>
          <w:rFonts w:ascii="Times New Roman" w:hAnsi="Times New Roman" w:eastAsia="仿宋_GB2312"/>
          <w:color w:val="000000"/>
          <w:sz w:val="32"/>
          <w:szCs w:val="32"/>
        </w:rPr>
        <w:t>电梯投诉问题。存在老旧电梯维护、电梯掉层、困人等现象层出不穷。</w:t>
      </w:r>
    </w:p>
    <w:p w14:paraId="0662B1C6">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食品药品投诉问题。存在问题大多是保健食品类及小餐馆卫生环境差、无证经营、食材存在质量问题等。近年来无论我投诉举报中心接投诉举报或消费者求助还是媒体曝光关于保健食品的投诉量仍然较高，保健食品依旧是存在不法商家通过“赠药”、“免费试用”、“发放小礼品”、“抽奖”等方式，吸引老人参加其组织的健康讲座或体验活动。现场往往气氛热烈，有些活动还会请一些所谓的患者现身说法，雇人制造争先恐后购买产品的假象，给老年人造成不买就没有了、不买就吃亏的心理暗示，不知不觉中被“洗脑”，从而购买产品。一些非法保健食品广告利用国家机关及事业单位、医疗机构、学术机构、行业组织的名义和形象，为产品的功效作说明，以增强产品的权威性和说服力。还有一些广告含有无法证实的所谓“科学或研究发现”、“实验或数据证明”等方面内容，极力宣扬“药到病除”。在广告的诱惑下，在现场气氛的影响下，老年人一次次掏钱购买，等老人回家，情绪稳定，在家人的安抚，开导，分析下，老人往往顿时清醒，认为被骗被忽悠，导致此类投诉剧增。</w:t>
      </w:r>
    </w:p>
    <w:p w14:paraId="15F81CBE">
      <w:pPr>
        <w:spacing w:line="560" w:lineRule="exact"/>
        <w:ind w:firstLine="640" w:firstLineChars="200"/>
        <w:rPr>
          <w:rFonts w:hint="eastAsia" w:ascii="楷体_GB2312" w:hAnsi="Times New Roman" w:eastAsia="楷体_GB2312"/>
          <w:color w:val="000000"/>
          <w:sz w:val="32"/>
          <w:szCs w:val="32"/>
        </w:rPr>
      </w:pPr>
      <w:r>
        <w:rPr>
          <w:rFonts w:hint="eastAsia" w:ascii="楷体_GB2312" w:hAnsi="Times New Roman" w:eastAsia="楷体_GB2312"/>
          <w:color w:val="000000"/>
          <w:sz w:val="32"/>
          <w:szCs w:val="32"/>
        </w:rPr>
        <w:t>4、预付卡消费成维权难点</w:t>
      </w:r>
    </w:p>
    <w:p w14:paraId="7D04B1DB">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近年来，在我区的美容、美发、健身、洗车店、商场超市等众多行业均推出了预付式消费，这种消费形式已逐渐渗透到市民的生活中。办理了预付卡后，不仅省去了现金付账的麻烦，而且还省钱。因为能享受优惠和便捷，众多的消费者选择了预付式消费。但由于宣传虚假、以次充好、老板跑路等问题也造成预付式消费投诉不断，成为近年来消费投诉热点之一。</w:t>
      </w:r>
    </w:p>
    <w:p w14:paraId="0AAEBB27">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消费者反映的主要问题有：1.广告言过其实。不少美容院利用消费者爱美之心，以虚假广告夸大效果骗取消费者信任，实际效果令人失望，甚至发生手术失败等问题。2.各种会员卡、优惠卡利用条款不退剩余金额，过期无效等陷阱，直接侵犯消费者权益，还有些地方发生经营者携款潜逃的事件。3.很多美容美发用品、化妆品打着国外进口的幌子，欺骗消费者，赚取高额利润，其实是“三无”产品。但因与这些新型销售方式相关的法律法规不够健全，部分经营者诚信度不高，针对这方面的消费投诉及纠纷调解成难点。</w:t>
      </w:r>
    </w:p>
    <w:p w14:paraId="117F250B">
      <w:pPr>
        <w:spacing w:line="560" w:lineRule="exact"/>
        <w:ind w:firstLine="640" w:firstLineChars="200"/>
        <w:rPr>
          <w:rFonts w:hint="eastAsia" w:ascii="黑体" w:hAnsi="Times New Roman" w:eastAsia="黑体"/>
          <w:color w:val="000000"/>
          <w:sz w:val="32"/>
          <w:szCs w:val="32"/>
        </w:rPr>
      </w:pPr>
      <w:r>
        <w:rPr>
          <w:rFonts w:hint="eastAsia" w:ascii="黑体" w:hAnsi="Times New Roman" w:eastAsia="黑体"/>
          <w:color w:val="000000"/>
          <w:sz w:val="32"/>
          <w:szCs w:val="32"/>
        </w:rPr>
        <w:t>（六）举报问题类别分析</w:t>
      </w:r>
    </w:p>
    <w:p w14:paraId="214DFD30">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2020</w:t>
      </w:r>
      <w:r>
        <w:rPr>
          <w:rFonts w:ascii="Times New Roman" w:hAnsi="Times New Roman" w:eastAsia="仿宋_GB2312"/>
          <w:color w:val="000000"/>
          <w:sz w:val="32"/>
          <w:szCs w:val="32"/>
        </w:rPr>
        <w:t>年共受理消费者举报3014件，举报问题类别排名如下表所示：其中前三名依次是排在第一的价格违法行为814件，占投诉总量的27％；第二名广告违法行为555件，占投诉总量的18.41％；第三名食品问题406件，占投诉总量的13.47％。受理的举报内容主要涉及无照经营、虚假宣传、发布虚假广告、食品卫生、假冒伪劣，机动车或非机动车停车收费、商品收费、物管收费等问题，反映了群众对社会问题及自身的利益的关注度越来越高。</w:t>
      </w:r>
    </w:p>
    <w:p w14:paraId="182C188C">
      <w:pPr>
        <w:spacing w:line="560" w:lineRule="exact"/>
        <w:rPr>
          <w:rFonts w:hint="eastAsia" w:ascii="黑体" w:hAnsi="黑体" w:eastAsia="黑体"/>
          <w:color w:val="000000"/>
          <w:sz w:val="32"/>
          <w:szCs w:val="32"/>
        </w:rPr>
      </w:pPr>
    </w:p>
    <w:p w14:paraId="2D5C1B30">
      <w:pPr>
        <w:spacing w:line="560" w:lineRule="exact"/>
        <w:rPr>
          <w:rFonts w:hint="eastAsia" w:ascii="黑体" w:hAnsi="黑体" w:eastAsia="黑体"/>
          <w:color w:val="000000"/>
          <w:sz w:val="32"/>
          <w:szCs w:val="28"/>
        </w:rPr>
      </w:pPr>
      <w:r>
        <w:rPr>
          <w:rFonts w:hint="eastAsia" w:ascii="黑体" w:hAnsi="黑体" w:eastAsia="黑体"/>
          <w:color w:val="000000"/>
          <w:sz w:val="32"/>
          <w:szCs w:val="32"/>
        </w:rPr>
        <w:t>表五：</w:t>
      </w:r>
    </w:p>
    <w:tbl>
      <w:tblPr>
        <w:tblStyle w:val="13"/>
        <w:tblW w:w="8460" w:type="dxa"/>
        <w:tblInd w:w="108" w:type="dxa"/>
        <w:tblLayout w:type="autofit"/>
        <w:tblCellMar>
          <w:top w:w="0" w:type="dxa"/>
          <w:left w:w="108" w:type="dxa"/>
          <w:bottom w:w="0" w:type="dxa"/>
          <w:right w:w="108" w:type="dxa"/>
        </w:tblCellMar>
      </w:tblPr>
      <w:tblGrid>
        <w:gridCol w:w="3660"/>
        <w:gridCol w:w="1720"/>
        <w:gridCol w:w="1540"/>
        <w:gridCol w:w="1540"/>
      </w:tblGrid>
      <w:tr w14:paraId="6FE61FAF">
        <w:tblPrEx>
          <w:tblCellMar>
            <w:top w:w="0" w:type="dxa"/>
            <w:left w:w="108" w:type="dxa"/>
            <w:bottom w:w="0" w:type="dxa"/>
            <w:right w:w="108" w:type="dxa"/>
          </w:tblCellMar>
        </w:tblPrEx>
        <w:trPr>
          <w:wBefore w:w="0" w:type="dxa"/>
          <w:wAfter w:w="0" w:type="dxa"/>
          <w:trHeight w:val="375" w:hRule="atLeast"/>
        </w:trPr>
        <w:tc>
          <w:tcPr>
            <w:tcW w:w="8460" w:type="dxa"/>
            <w:gridSpan w:val="4"/>
            <w:tcBorders>
              <w:top w:val="nil"/>
              <w:left w:val="nil"/>
              <w:bottom w:val="nil"/>
              <w:right w:val="nil"/>
            </w:tcBorders>
            <w:noWrap w:val="0"/>
            <w:vAlign w:val="center"/>
          </w:tcPr>
          <w:p w14:paraId="6536B415">
            <w:pPr>
              <w:widowControl/>
              <w:jc w:val="center"/>
              <w:rPr>
                <w:rFonts w:ascii="方正小标宋简体" w:hAnsi="宋体" w:eastAsia="方正小标宋简体" w:cs="宋体"/>
                <w:color w:val="000000"/>
                <w:kern w:val="0"/>
                <w:sz w:val="28"/>
                <w:szCs w:val="28"/>
              </w:rPr>
            </w:pPr>
            <w:r>
              <w:rPr>
                <w:rFonts w:hint="eastAsia" w:ascii="方正小标宋简体" w:hAnsi="宋体" w:eastAsia="方正小标宋简体" w:cs="宋体"/>
                <w:color w:val="000000"/>
                <w:kern w:val="0"/>
                <w:sz w:val="28"/>
                <w:szCs w:val="28"/>
              </w:rPr>
              <w:t>年全年举报问题类别排名表</w:t>
            </w:r>
          </w:p>
        </w:tc>
      </w:tr>
      <w:tr w14:paraId="0AF98B12">
        <w:tblPrEx>
          <w:tblCellMar>
            <w:top w:w="0" w:type="dxa"/>
            <w:left w:w="108" w:type="dxa"/>
            <w:bottom w:w="0" w:type="dxa"/>
            <w:right w:w="108" w:type="dxa"/>
          </w:tblCellMar>
        </w:tblPrEx>
        <w:trPr>
          <w:wBefore w:w="0" w:type="dxa"/>
          <w:wAfter w:w="0" w:type="dxa"/>
          <w:trHeight w:val="570" w:hRule="atLeast"/>
        </w:trPr>
        <w:tc>
          <w:tcPr>
            <w:tcW w:w="3660" w:type="dxa"/>
            <w:tcBorders>
              <w:top w:val="single" w:color="auto" w:sz="4" w:space="0"/>
              <w:left w:val="single" w:color="auto" w:sz="4" w:space="0"/>
              <w:bottom w:val="single" w:color="auto" w:sz="4" w:space="0"/>
              <w:right w:val="single" w:color="auto" w:sz="4" w:space="0"/>
            </w:tcBorders>
            <w:noWrap w:val="0"/>
            <w:vAlign w:val="center"/>
          </w:tcPr>
          <w:p w14:paraId="568B248F">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类  别</w:t>
            </w:r>
          </w:p>
        </w:tc>
        <w:tc>
          <w:tcPr>
            <w:tcW w:w="1720" w:type="dxa"/>
            <w:tcBorders>
              <w:top w:val="single" w:color="auto" w:sz="4" w:space="0"/>
              <w:left w:val="nil"/>
              <w:bottom w:val="single" w:color="auto" w:sz="4" w:space="0"/>
              <w:right w:val="single" w:color="auto" w:sz="4" w:space="0"/>
            </w:tcBorders>
            <w:noWrap w:val="0"/>
            <w:vAlign w:val="center"/>
          </w:tcPr>
          <w:p w14:paraId="4B85889B">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受理数量（件）</w:t>
            </w:r>
          </w:p>
        </w:tc>
        <w:tc>
          <w:tcPr>
            <w:tcW w:w="1540" w:type="dxa"/>
            <w:tcBorders>
              <w:top w:val="single" w:color="auto" w:sz="4" w:space="0"/>
              <w:left w:val="nil"/>
              <w:bottom w:val="single" w:color="auto" w:sz="4" w:space="0"/>
              <w:right w:val="single" w:color="auto" w:sz="4" w:space="0"/>
            </w:tcBorders>
            <w:noWrap w:val="0"/>
            <w:vAlign w:val="center"/>
          </w:tcPr>
          <w:p w14:paraId="27330CFC">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所占比重（%）</w:t>
            </w:r>
          </w:p>
        </w:tc>
        <w:tc>
          <w:tcPr>
            <w:tcW w:w="1540" w:type="dxa"/>
            <w:tcBorders>
              <w:top w:val="single" w:color="auto" w:sz="4" w:space="0"/>
              <w:left w:val="nil"/>
              <w:bottom w:val="single" w:color="auto" w:sz="4" w:space="0"/>
              <w:right w:val="single" w:color="auto" w:sz="4" w:space="0"/>
            </w:tcBorders>
            <w:noWrap w:val="0"/>
            <w:vAlign w:val="center"/>
          </w:tcPr>
          <w:p w14:paraId="41D08D37">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排  名</w:t>
            </w:r>
          </w:p>
        </w:tc>
      </w:tr>
      <w:tr w14:paraId="0A9C67CA">
        <w:tblPrEx>
          <w:tblCellMar>
            <w:top w:w="0" w:type="dxa"/>
            <w:left w:w="108" w:type="dxa"/>
            <w:bottom w:w="0" w:type="dxa"/>
            <w:right w:w="108" w:type="dxa"/>
          </w:tblCellMar>
        </w:tblPrEx>
        <w:trPr>
          <w:wBefore w:w="0" w:type="dxa"/>
          <w:wAfter w:w="0" w:type="dxa"/>
          <w:trHeight w:val="439" w:hRule="atLeast"/>
        </w:trPr>
        <w:tc>
          <w:tcPr>
            <w:tcW w:w="3660" w:type="dxa"/>
            <w:tcBorders>
              <w:top w:val="nil"/>
              <w:left w:val="single" w:color="auto" w:sz="4" w:space="0"/>
              <w:bottom w:val="single" w:color="auto" w:sz="4" w:space="0"/>
              <w:right w:val="single" w:color="auto" w:sz="4" w:space="0"/>
            </w:tcBorders>
            <w:noWrap w:val="0"/>
            <w:vAlign w:val="center"/>
          </w:tcPr>
          <w:p w14:paraId="048081B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价格违法行为</w:t>
            </w:r>
          </w:p>
        </w:tc>
        <w:tc>
          <w:tcPr>
            <w:tcW w:w="1720" w:type="dxa"/>
            <w:tcBorders>
              <w:top w:val="nil"/>
              <w:left w:val="nil"/>
              <w:bottom w:val="single" w:color="auto" w:sz="4" w:space="0"/>
              <w:right w:val="single" w:color="auto" w:sz="4" w:space="0"/>
            </w:tcBorders>
            <w:noWrap w:val="0"/>
            <w:vAlign w:val="center"/>
          </w:tcPr>
          <w:p w14:paraId="10A4924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814</w:t>
            </w:r>
          </w:p>
        </w:tc>
        <w:tc>
          <w:tcPr>
            <w:tcW w:w="1540" w:type="dxa"/>
            <w:tcBorders>
              <w:top w:val="nil"/>
              <w:left w:val="nil"/>
              <w:bottom w:val="single" w:color="auto" w:sz="4" w:space="0"/>
              <w:right w:val="single" w:color="auto" w:sz="4" w:space="0"/>
            </w:tcBorders>
            <w:noWrap w:val="0"/>
            <w:vAlign w:val="center"/>
          </w:tcPr>
          <w:p w14:paraId="7BF7B99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27.00%</w:t>
            </w:r>
          </w:p>
        </w:tc>
        <w:tc>
          <w:tcPr>
            <w:tcW w:w="1540" w:type="dxa"/>
            <w:tcBorders>
              <w:top w:val="nil"/>
              <w:left w:val="nil"/>
              <w:bottom w:val="single" w:color="auto" w:sz="4" w:space="0"/>
              <w:right w:val="single" w:color="auto" w:sz="4" w:space="0"/>
            </w:tcBorders>
            <w:noWrap w:val="0"/>
            <w:vAlign w:val="center"/>
          </w:tcPr>
          <w:p w14:paraId="2AB6056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r>
      <w:tr w14:paraId="05DBC8BE">
        <w:tblPrEx>
          <w:tblCellMar>
            <w:top w:w="0" w:type="dxa"/>
            <w:left w:w="108" w:type="dxa"/>
            <w:bottom w:w="0" w:type="dxa"/>
            <w:right w:w="108" w:type="dxa"/>
          </w:tblCellMar>
        </w:tblPrEx>
        <w:trPr>
          <w:wBefore w:w="0" w:type="dxa"/>
          <w:wAfter w:w="0" w:type="dxa"/>
          <w:trHeight w:val="439" w:hRule="atLeast"/>
        </w:trPr>
        <w:tc>
          <w:tcPr>
            <w:tcW w:w="3660" w:type="dxa"/>
            <w:tcBorders>
              <w:top w:val="nil"/>
              <w:left w:val="single" w:color="auto" w:sz="4" w:space="0"/>
              <w:bottom w:val="single" w:color="auto" w:sz="4" w:space="0"/>
              <w:right w:val="single" w:color="auto" w:sz="4" w:space="0"/>
            </w:tcBorders>
            <w:noWrap w:val="0"/>
            <w:vAlign w:val="center"/>
          </w:tcPr>
          <w:p w14:paraId="1437651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广告违法行为</w:t>
            </w:r>
          </w:p>
        </w:tc>
        <w:tc>
          <w:tcPr>
            <w:tcW w:w="1720" w:type="dxa"/>
            <w:tcBorders>
              <w:top w:val="nil"/>
              <w:left w:val="nil"/>
              <w:bottom w:val="single" w:color="auto" w:sz="4" w:space="0"/>
              <w:right w:val="single" w:color="auto" w:sz="4" w:space="0"/>
            </w:tcBorders>
            <w:noWrap w:val="0"/>
            <w:vAlign w:val="center"/>
          </w:tcPr>
          <w:p w14:paraId="279CD5E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555</w:t>
            </w:r>
          </w:p>
        </w:tc>
        <w:tc>
          <w:tcPr>
            <w:tcW w:w="1540" w:type="dxa"/>
            <w:tcBorders>
              <w:top w:val="nil"/>
              <w:left w:val="nil"/>
              <w:bottom w:val="single" w:color="auto" w:sz="4" w:space="0"/>
              <w:right w:val="single" w:color="auto" w:sz="4" w:space="0"/>
            </w:tcBorders>
            <w:noWrap w:val="0"/>
            <w:vAlign w:val="center"/>
          </w:tcPr>
          <w:p w14:paraId="4F3786E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18.41%</w:t>
            </w:r>
          </w:p>
        </w:tc>
        <w:tc>
          <w:tcPr>
            <w:tcW w:w="1540" w:type="dxa"/>
            <w:tcBorders>
              <w:top w:val="nil"/>
              <w:left w:val="nil"/>
              <w:bottom w:val="single" w:color="auto" w:sz="4" w:space="0"/>
              <w:right w:val="single" w:color="auto" w:sz="4" w:space="0"/>
            </w:tcBorders>
            <w:noWrap w:val="0"/>
            <w:vAlign w:val="center"/>
          </w:tcPr>
          <w:p w14:paraId="13DB6CE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r>
      <w:tr w14:paraId="05F83229">
        <w:tblPrEx>
          <w:tblCellMar>
            <w:top w:w="0" w:type="dxa"/>
            <w:left w:w="108" w:type="dxa"/>
            <w:bottom w:w="0" w:type="dxa"/>
            <w:right w:w="108" w:type="dxa"/>
          </w:tblCellMar>
        </w:tblPrEx>
        <w:trPr>
          <w:wBefore w:w="0" w:type="dxa"/>
          <w:wAfter w:w="0" w:type="dxa"/>
          <w:trHeight w:val="450" w:hRule="atLeast"/>
        </w:trPr>
        <w:tc>
          <w:tcPr>
            <w:tcW w:w="3660" w:type="dxa"/>
            <w:tcBorders>
              <w:top w:val="nil"/>
              <w:left w:val="single" w:color="auto" w:sz="4" w:space="0"/>
              <w:bottom w:val="single" w:color="auto" w:sz="4" w:space="0"/>
              <w:right w:val="single" w:color="auto" w:sz="4" w:space="0"/>
            </w:tcBorders>
            <w:noWrap w:val="0"/>
            <w:vAlign w:val="center"/>
          </w:tcPr>
          <w:p w14:paraId="472A300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食品问题</w:t>
            </w:r>
          </w:p>
        </w:tc>
        <w:tc>
          <w:tcPr>
            <w:tcW w:w="1720" w:type="dxa"/>
            <w:tcBorders>
              <w:top w:val="nil"/>
              <w:left w:val="nil"/>
              <w:bottom w:val="single" w:color="auto" w:sz="4" w:space="0"/>
              <w:right w:val="single" w:color="auto" w:sz="4" w:space="0"/>
            </w:tcBorders>
            <w:noWrap w:val="0"/>
            <w:vAlign w:val="center"/>
          </w:tcPr>
          <w:p w14:paraId="6BAAAAB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406</w:t>
            </w:r>
          </w:p>
        </w:tc>
        <w:tc>
          <w:tcPr>
            <w:tcW w:w="1540" w:type="dxa"/>
            <w:tcBorders>
              <w:top w:val="nil"/>
              <w:left w:val="nil"/>
              <w:bottom w:val="single" w:color="auto" w:sz="4" w:space="0"/>
              <w:right w:val="single" w:color="auto" w:sz="4" w:space="0"/>
            </w:tcBorders>
            <w:noWrap w:val="0"/>
            <w:vAlign w:val="center"/>
          </w:tcPr>
          <w:p w14:paraId="1B334C9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13.47%</w:t>
            </w:r>
          </w:p>
        </w:tc>
        <w:tc>
          <w:tcPr>
            <w:tcW w:w="1540" w:type="dxa"/>
            <w:tcBorders>
              <w:top w:val="nil"/>
              <w:left w:val="nil"/>
              <w:bottom w:val="single" w:color="auto" w:sz="4" w:space="0"/>
              <w:right w:val="single" w:color="auto" w:sz="4" w:space="0"/>
            </w:tcBorders>
            <w:noWrap w:val="0"/>
            <w:vAlign w:val="center"/>
          </w:tcPr>
          <w:p w14:paraId="7BE5F7F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r>
      <w:tr w14:paraId="5DA75541">
        <w:tblPrEx>
          <w:tblCellMar>
            <w:top w:w="0" w:type="dxa"/>
            <w:left w:w="108" w:type="dxa"/>
            <w:bottom w:w="0" w:type="dxa"/>
            <w:right w:w="108" w:type="dxa"/>
          </w:tblCellMar>
        </w:tblPrEx>
        <w:trPr>
          <w:wBefore w:w="0" w:type="dxa"/>
          <w:wAfter w:w="0" w:type="dxa"/>
          <w:trHeight w:val="439" w:hRule="atLeast"/>
        </w:trPr>
        <w:tc>
          <w:tcPr>
            <w:tcW w:w="3660" w:type="dxa"/>
            <w:tcBorders>
              <w:top w:val="nil"/>
              <w:left w:val="single" w:color="auto" w:sz="4" w:space="0"/>
              <w:bottom w:val="single" w:color="auto" w:sz="4" w:space="0"/>
              <w:right w:val="single" w:color="auto" w:sz="4" w:space="0"/>
            </w:tcBorders>
            <w:noWrap w:val="0"/>
            <w:vAlign w:val="center"/>
          </w:tcPr>
          <w:p w14:paraId="58F8E58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侵害消费者权益行为</w:t>
            </w:r>
          </w:p>
        </w:tc>
        <w:tc>
          <w:tcPr>
            <w:tcW w:w="1720" w:type="dxa"/>
            <w:tcBorders>
              <w:top w:val="nil"/>
              <w:left w:val="nil"/>
              <w:bottom w:val="single" w:color="auto" w:sz="4" w:space="0"/>
              <w:right w:val="single" w:color="auto" w:sz="4" w:space="0"/>
            </w:tcBorders>
            <w:noWrap w:val="0"/>
            <w:vAlign w:val="center"/>
          </w:tcPr>
          <w:p w14:paraId="73696B3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315</w:t>
            </w:r>
          </w:p>
        </w:tc>
        <w:tc>
          <w:tcPr>
            <w:tcW w:w="1540" w:type="dxa"/>
            <w:tcBorders>
              <w:top w:val="nil"/>
              <w:left w:val="nil"/>
              <w:bottom w:val="single" w:color="auto" w:sz="4" w:space="0"/>
              <w:right w:val="single" w:color="auto" w:sz="4" w:space="0"/>
            </w:tcBorders>
            <w:noWrap w:val="0"/>
            <w:vAlign w:val="center"/>
          </w:tcPr>
          <w:p w14:paraId="595FF79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10.45%</w:t>
            </w:r>
          </w:p>
        </w:tc>
        <w:tc>
          <w:tcPr>
            <w:tcW w:w="1540" w:type="dxa"/>
            <w:tcBorders>
              <w:top w:val="nil"/>
              <w:left w:val="nil"/>
              <w:bottom w:val="single" w:color="auto" w:sz="4" w:space="0"/>
              <w:right w:val="single" w:color="auto" w:sz="4" w:space="0"/>
            </w:tcBorders>
            <w:noWrap w:val="0"/>
            <w:vAlign w:val="center"/>
          </w:tcPr>
          <w:p w14:paraId="0BFFDB0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r>
      <w:tr w14:paraId="6527807D">
        <w:tblPrEx>
          <w:tblCellMar>
            <w:top w:w="0" w:type="dxa"/>
            <w:left w:w="108" w:type="dxa"/>
            <w:bottom w:w="0" w:type="dxa"/>
            <w:right w:w="108" w:type="dxa"/>
          </w:tblCellMar>
        </w:tblPrEx>
        <w:trPr>
          <w:wBefore w:w="0" w:type="dxa"/>
          <w:wAfter w:w="0" w:type="dxa"/>
          <w:trHeight w:val="439" w:hRule="atLeast"/>
        </w:trPr>
        <w:tc>
          <w:tcPr>
            <w:tcW w:w="3660" w:type="dxa"/>
            <w:tcBorders>
              <w:top w:val="nil"/>
              <w:left w:val="single" w:color="auto" w:sz="4" w:space="0"/>
              <w:bottom w:val="single" w:color="auto" w:sz="4" w:space="0"/>
              <w:right w:val="single" w:color="auto" w:sz="4" w:space="0"/>
            </w:tcBorders>
            <w:noWrap w:val="0"/>
            <w:vAlign w:val="center"/>
          </w:tcPr>
          <w:p w14:paraId="671C0AE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不正当竞争行为</w:t>
            </w:r>
          </w:p>
        </w:tc>
        <w:tc>
          <w:tcPr>
            <w:tcW w:w="1720" w:type="dxa"/>
            <w:tcBorders>
              <w:top w:val="nil"/>
              <w:left w:val="nil"/>
              <w:bottom w:val="single" w:color="auto" w:sz="4" w:space="0"/>
              <w:right w:val="single" w:color="auto" w:sz="4" w:space="0"/>
            </w:tcBorders>
            <w:noWrap w:val="0"/>
            <w:vAlign w:val="center"/>
          </w:tcPr>
          <w:p w14:paraId="38F6C90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198</w:t>
            </w:r>
          </w:p>
        </w:tc>
        <w:tc>
          <w:tcPr>
            <w:tcW w:w="1540" w:type="dxa"/>
            <w:tcBorders>
              <w:top w:val="nil"/>
              <w:left w:val="nil"/>
              <w:bottom w:val="single" w:color="auto" w:sz="4" w:space="0"/>
              <w:right w:val="single" w:color="auto" w:sz="4" w:space="0"/>
            </w:tcBorders>
            <w:noWrap w:val="0"/>
            <w:vAlign w:val="center"/>
          </w:tcPr>
          <w:p w14:paraId="0233B41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6.57%</w:t>
            </w:r>
          </w:p>
        </w:tc>
        <w:tc>
          <w:tcPr>
            <w:tcW w:w="1540" w:type="dxa"/>
            <w:tcBorders>
              <w:top w:val="nil"/>
              <w:left w:val="nil"/>
              <w:bottom w:val="single" w:color="auto" w:sz="4" w:space="0"/>
              <w:right w:val="single" w:color="auto" w:sz="4" w:space="0"/>
            </w:tcBorders>
            <w:noWrap w:val="0"/>
            <w:vAlign w:val="center"/>
          </w:tcPr>
          <w:p w14:paraId="2D35BCC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r>
      <w:tr w14:paraId="5A11FA79">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373EAB1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其他市场监管领域违法行为</w:t>
            </w:r>
          </w:p>
        </w:tc>
        <w:tc>
          <w:tcPr>
            <w:tcW w:w="1720" w:type="dxa"/>
            <w:tcBorders>
              <w:top w:val="nil"/>
              <w:left w:val="nil"/>
              <w:bottom w:val="single" w:color="auto" w:sz="4" w:space="0"/>
              <w:right w:val="single" w:color="auto" w:sz="4" w:space="0"/>
            </w:tcBorders>
            <w:noWrap w:val="0"/>
            <w:vAlign w:val="center"/>
          </w:tcPr>
          <w:p w14:paraId="0AB1347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184</w:t>
            </w:r>
          </w:p>
        </w:tc>
        <w:tc>
          <w:tcPr>
            <w:tcW w:w="1540" w:type="dxa"/>
            <w:tcBorders>
              <w:top w:val="nil"/>
              <w:left w:val="nil"/>
              <w:bottom w:val="single" w:color="auto" w:sz="4" w:space="0"/>
              <w:right w:val="single" w:color="auto" w:sz="4" w:space="0"/>
            </w:tcBorders>
            <w:noWrap w:val="0"/>
            <w:vAlign w:val="center"/>
          </w:tcPr>
          <w:p w14:paraId="221C127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6.10%</w:t>
            </w:r>
          </w:p>
        </w:tc>
        <w:tc>
          <w:tcPr>
            <w:tcW w:w="1540" w:type="dxa"/>
            <w:tcBorders>
              <w:top w:val="nil"/>
              <w:left w:val="nil"/>
              <w:bottom w:val="single" w:color="auto" w:sz="4" w:space="0"/>
              <w:right w:val="single" w:color="auto" w:sz="4" w:space="0"/>
            </w:tcBorders>
            <w:noWrap w:val="0"/>
            <w:vAlign w:val="center"/>
          </w:tcPr>
          <w:p w14:paraId="1F634AF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w:t>
            </w:r>
          </w:p>
        </w:tc>
      </w:tr>
      <w:tr w14:paraId="7E94D1D3">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21E7475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产品质量违法行为</w:t>
            </w:r>
          </w:p>
        </w:tc>
        <w:tc>
          <w:tcPr>
            <w:tcW w:w="1720" w:type="dxa"/>
            <w:tcBorders>
              <w:top w:val="nil"/>
              <w:left w:val="nil"/>
              <w:bottom w:val="single" w:color="auto" w:sz="4" w:space="0"/>
              <w:right w:val="single" w:color="auto" w:sz="4" w:space="0"/>
            </w:tcBorders>
            <w:noWrap w:val="0"/>
            <w:vAlign w:val="center"/>
          </w:tcPr>
          <w:p w14:paraId="509AD08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181</w:t>
            </w:r>
          </w:p>
        </w:tc>
        <w:tc>
          <w:tcPr>
            <w:tcW w:w="1540" w:type="dxa"/>
            <w:tcBorders>
              <w:top w:val="nil"/>
              <w:left w:val="nil"/>
              <w:bottom w:val="single" w:color="auto" w:sz="4" w:space="0"/>
              <w:right w:val="single" w:color="auto" w:sz="4" w:space="0"/>
            </w:tcBorders>
            <w:noWrap w:val="0"/>
            <w:vAlign w:val="center"/>
          </w:tcPr>
          <w:p w14:paraId="0390D9C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6.00%</w:t>
            </w:r>
          </w:p>
        </w:tc>
        <w:tc>
          <w:tcPr>
            <w:tcW w:w="1540" w:type="dxa"/>
            <w:tcBorders>
              <w:top w:val="nil"/>
              <w:left w:val="nil"/>
              <w:bottom w:val="single" w:color="auto" w:sz="4" w:space="0"/>
              <w:right w:val="single" w:color="auto" w:sz="4" w:space="0"/>
            </w:tcBorders>
            <w:noWrap w:val="0"/>
            <w:vAlign w:val="center"/>
          </w:tcPr>
          <w:p w14:paraId="3941BB7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7</w:t>
            </w:r>
          </w:p>
        </w:tc>
      </w:tr>
      <w:tr w14:paraId="4C9BB55E">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1CFE2E0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违法登记管理行为</w:t>
            </w:r>
          </w:p>
        </w:tc>
        <w:tc>
          <w:tcPr>
            <w:tcW w:w="1720" w:type="dxa"/>
            <w:tcBorders>
              <w:top w:val="nil"/>
              <w:left w:val="nil"/>
              <w:bottom w:val="single" w:color="auto" w:sz="4" w:space="0"/>
              <w:right w:val="single" w:color="auto" w:sz="4" w:space="0"/>
            </w:tcBorders>
            <w:noWrap w:val="0"/>
            <w:vAlign w:val="center"/>
          </w:tcPr>
          <w:p w14:paraId="08E47B5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91</w:t>
            </w:r>
          </w:p>
        </w:tc>
        <w:tc>
          <w:tcPr>
            <w:tcW w:w="1540" w:type="dxa"/>
            <w:tcBorders>
              <w:top w:val="nil"/>
              <w:left w:val="nil"/>
              <w:bottom w:val="single" w:color="auto" w:sz="4" w:space="0"/>
              <w:right w:val="single" w:color="auto" w:sz="4" w:space="0"/>
            </w:tcBorders>
            <w:noWrap w:val="0"/>
            <w:vAlign w:val="center"/>
          </w:tcPr>
          <w:p w14:paraId="2357A88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1540" w:type="dxa"/>
            <w:tcBorders>
              <w:top w:val="nil"/>
              <w:left w:val="nil"/>
              <w:bottom w:val="single" w:color="auto" w:sz="4" w:space="0"/>
              <w:right w:val="single" w:color="auto" w:sz="4" w:space="0"/>
            </w:tcBorders>
            <w:noWrap w:val="0"/>
            <w:vAlign w:val="center"/>
          </w:tcPr>
          <w:p w14:paraId="7EE74FD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w:t>
            </w:r>
          </w:p>
        </w:tc>
      </w:tr>
      <w:tr w14:paraId="12C1419E">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098A258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计量违法行为</w:t>
            </w:r>
          </w:p>
        </w:tc>
        <w:tc>
          <w:tcPr>
            <w:tcW w:w="1720" w:type="dxa"/>
            <w:tcBorders>
              <w:top w:val="nil"/>
              <w:left w:val="nil"/>
              <w:bottom w:val="single" w:color="auto" w:sz="4" w:space="0"/>
              <w:right w:val="single" w:color="auto" w:sz="4" w:space="0"/>
            </w:tcBorders>
            <w:noWrap w:val="0"/>
            <w:vAlign w:val="center"/>
          </w:tcPr>
          <w:p w14:paraId="3F34558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58</w:t>
            </w:r>
          </w:p>
        </w:tc>
        <w:tc>
          <w:tcPr>
            <w:tcW w:w="1540" w:type="dxa"/>
            <w:tcBorders>
              <w:top w:val="nil"/>
              <w:left w:val="nil"/>
              <w:bottom w:val="single" w:color="auto" w:sz="4" w:space="0"/>
              <w:right w:val="single" w:color="auto" w:sz="4" w:space="0"/>
            </w:tcBorders>
            <w:noWrap w:val="0"/>
            <w:vAlign w:val="center"/>
          </w:tcPr>
          <w:p w14:paraId="554DE90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1.92%</w:t>
            </w:r>
          </w:p>
        </w:tc>
        <w:tc>
          <w:tcPr>
            <w:tcW w:w="1540" w:type="dxa"/>
            <w:tcBorders>
              <w:top w:val="nil"/>
              <w:left w:val="nil"/>
              <w:bottom w:val="single" w:color="auto" w:sz="4" w:space="0"/>
              <w:right w:val="single" w:color="auto" w:sz="4" w:space="0"/>
            </w:tcBorders>
            <w:noWrap w:val="0"/>
            <w:vAlign w:val="center"/>
          </w:tcPr>
          <w:p w14:paraId="72E2DB0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w:t>
            </w:r>
          </w:p>
        </w:tc>
      </w:tr>
      <w:tr w14:paraId="461530A1">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38FC5C9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违规收费行为</w:t>
            </w:r>
          </w:p>
        </w:tc>
        <w:tc>
          <w:tcPr>
            <w:tcW w:w="1720" w:type="dxa"/>
            <w:tcBorders>
              <w:top w:val="nil"/>
              <w:left w:val="nil"/>
              <w:bottom w:val="single" w:color="auto" w:sz="4" w:space="0"/>
              <w:right w:val="single" w:color="auto" w:sz="4" w:space="0"/>
            </w:tcBorders>
            <w:noWrap w:val="0"/>
            <w:vAlign w:val="center"/>
          </w:tcPr>
          <w:p w14:paraId="7034229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39</w:t>
            </w:r>
          </w:p>
        </w:tc>
        <w:tc>
          <w:tcPr>
            <w:tcW w:w="1540" w:type="dxa"/>
            <w:tcBorders>
              <w:top w:val="nil"/>
              <w:left w:val="nil"/>
              <w:bottom w:val="single" w:color="auto" w:sz="4" w:space="0"/>
              <w:right w:val="single" w:color="auto" w:sz="4" w:space="0"/>
            </w:tcBorders>
            <w:noWrap w:val="0"/>
            <w:vAlign w:val="center"/>
          </w:tcPr>
          <w:p w14:paraId="444415D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1.29%</w:t>
            </w:r>
          </w:p>
        </w:tc>
        <w:tc>
          <w:tcPr>
            <w:tcW w:w="1540" w:type="dxa"/>
            <w:tcBorders>
              <w:top w:val="nil"/>
              <w:left w:val="nil"/>
              <w:bottom w:val="single" w:color="auto" w:sz="4" w:space="0"/>
              <w:right w:val="single" w:color="auto" w:sz="4" w:space="0"/>
            </w:tcBorders>
            <w:noWrap w:val="0"/>
            <w:vAlign w:val="center"/>
          </w:tcPr>
          <w:p w14:paraId="650CF0E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r>
      <w:tr w14:paraId="5407FD4B">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213557B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医疗器械问题</w:t>
            </w:r>
          </w:p>
        </w:tc>
        <w:tc>
          <w:tcPr>
            <w:tcW w:w="1720" w:type="dxa"/>
            <w:tcBorders>
              <w:top w:val="nil"/>
              <w:left w:val="nil"/>
              <w:bottom w:val="single" w:color="auto" w:sz="4" w:space="0"/>
              <w:right w:val="single" w:color="auto" w:sz="4" w:space="0"/>
            </w:tcBorders>
            <w:noWrap w:val="0"/>
            <w:vAlign w:val="center"/>
          </w:tcPr>
          <w:p w14:paraId="6384B69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35</w:t>
            </w:r>
          </w:p>
        </w:tc>
        <w:tc>
          <w:tcPr>
            <w:tcW w:w="1540" w:type="dxa"/>
            <w:tcBorders>
              <w:top w:val="nil"/>
              <w:left w:val="nil"/>
              <w:bottom w:val="single" w:color="auto" w:sz="4" w:space="0"/>
              <w:right w:val="single" w:color="auto" w:sz="4" w:space="0"/>
            </w:tcBorders>
            <w:noWrap w:val="0"/>
            <w:vAlign w:val="center"/>
          </w:tcPr>
          <w:p w14:paraId="3334D1B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1.16%</w:t>
            </w:r>
          </w:p>
        </w:tc>
        <w:tc>
          <w:tcPr>
            <w:tcW w:w="1540" w:type="dxa"/>
            <w:tcBorders>
              <w:top w:val="nil"/>
              <w:left w:val="nil"/>
              <w:bottom w:val="single" w:color="auto" w:sz="4" w:space="0"/>
              <w:right w:val="single" w:color="auto" w:sz="4" w:space="0"/>
            </w:tcBorders>
            <w:noWrap w:val="0"/>
            <w:vAlign w:val="center"/>
          </w:tcPr>
          <w:p w14:paraId="7F78B08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w:t>
            </w:r>
          </w:p>
        </w:tc>
      </w:tr>
      <w:tr w14:paraId="0F30F134">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15D15AA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合同行政违法行为</w:t>
            </w:r>
          </w:p>
        </w:tc>
        <w:tc>
          <w:tcPr>
            <w:tcW w:w="1720" w:type="dxa"/>
            <w:tcBorders>
              <w:top w:val="nil"/>
              <w:left w:val="nil"/>
              <w:bottom w:val="single" w:color="auto" w:sz="4" w:space="0"/>
              <w:right w:val="single" w:color="auto" w:sz="4" w:space="0"/>
            </w:tcBorders>
            <w:noWrap w:val="0"/>
            <w:vAlign w:val="center"/>
          </w:tcPr>
          <w:p w14:paraId="5AD28D9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24</w:t>
            </w:r>
          </w:p>
        </w:tc>
        <w:tc>
          <w:tcPr>
            <w:tcW w:w="1540" w:type="dxa"/>
            <w:tcBorders>
              <w:top w:val="nil"/>
              <w:left w:val="nil"/>
              <w:bottom w:val="single" w:color="auto" w:sz="4" w:space="0"/>
              <w:right w:val="single" w:color="auto" w:sz="4" w:space="0"/>
            </w:tcBorders>
            <w:noWrap w:val="0"/>
            <w:vAlign w:val="center"/>
          </w:tcPr>
          <w:p w14:paraId="6F896E7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0.80%</w:t>
            </w:r>
          </w:p>
        </w:tc>
        <w:tc>
          <w:tcPr>
            <w:tcW w:w="1540" w:type="dxa"/>
            <w:tcBorders>
              <w:top w:val="nil"/>
              <w:left w:val="nil"/>
              <w:bottom w:val="single" w:color="auto" w:sz="4" w:space="0"/>
              <w:right w:val="single" w:color="auto" w:sz="4" w:space="0"/>
            </w:tcBorders>
            <w:noWrap w:val="0"/>
            <w:vAlign w:val="center"/>
          </w:tcPr>
          <w:p w14:paraId="11E712F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w:t>
            </w:r>
          </w:p>
        </w:tc>
      </w:tr>
      <w:tr w14:paraId="7CF2BED2">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2C1B8FF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特种设备违法行为</w:t>
            </w:r>
          </w:p>
        </w:tc>
        <w:tc>
          <w:tcPr>
            <w:tcW w:w="1720" w:type="dxa"/>
            <w:tcBorders>
              <w:top w:val="nil"/>
              <w:left w:val="nil"/>
              <w:bottom w:val="single" w:color="auto" w:sz="4" w:space="0"/>
              <w:right w:val="single" w:color="auto" w:sz="4" w:space="0"/>
            </w:tcBorders>
            <w:noWrap w:val="0"/>
            <w:vAlign w:val="center"/>
          </w:tcPr>
          <w:p w14:paraId="01E7F15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22</w:t>
            </w:r>
          </w:p>
        </w:tc>
        <w:tc>
          <w:tcPr>
            <w:tcW w:w="1540" w:type="dxa"/>
            <w:tcBorders>
              <w:top w:val="nil"/>
              <w:left w:val="nil"/>
              <w:bottom w:val="single" w:color="auto" w:sz="4" w:space="0"/>
              <w:right w:val="single" w:color="auto" w:sz="4" w:space="0"/>
            </w:tcBorders>
            <w:noWrap w:val="0"/>
            <w:vAlign w:val="center"/>
          </w:tcPr>
          <w:p w14:paraId="372624A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0.73%</w:t>
            </w:r>
          </w:p>
        </w:tc>
        <w:tc>
          <w:tcPr>
            <w:tcW w:w="1540" w:type="dxa"/>
            <w:tcBorders>
              <w:top w:val="nil"/>
              <w:left w:val="nil"/>
              <w:bottom w:val="single" w:color="auto" w:sz="4" w:space="0"/>
              <w:right w:val="single" w:color="auto" w:sz="4" w:space="0"/>
            </w:tcBorders>
            <w:noWrap w:val="0"/>
            <w:vAlign w:val="center"/>
          </w:tcPr>
          <w:p w14:paraId="76F876F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w:t>
            </w:r>
          </w:p>
        </w:tc>
      </w:tr>
      <w:tr w14:paraId="75045C1F">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4470575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药品问题</w:t>
            </w:r>
          </w:p>
        </w:tc>
        <w:tc>
          <w:tcPr>
            <w:tcW w:w="1720" w:type="dxa"/>
            <w:tcBorders>
              <w:top w:val="nil"/>
              <w:left w:val="nil"/>
              <w:bottom w:val="single" w:color="auto" w:sz="4" w:space="0"/>
              <w:right w:val="single" w:color="auto" w:sz="4" w:space="0"/>
            </w:tcBorders>
            <w:noWrap w:val="0"/>
            <w:vAlign w:val="center"/>
          </w:tcPr>
          <w:p w14:paraId="6864F07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19</w:t>
            </w:r>
          </w:p>
        </w:tc>
        <w:tc>
          <w:tcPr>
            <w:tcW w:w="1540" w:type="dxa"/>
            <w:tcBorders>
              <w:top w:val="nil"/>
              <w:left w:val="nil"/>
              <w:bottom w:val="single" w:color="auto" w:sz="4" w:space="0"/>
              <w:right w:val="single" w:color="auto" w:sz="4" w:space="0"/>
            </w:tcBorders>
            <w:noWrap w:val="0"/>
            <w:vAlign w:val="center"/>
          </w:tcPr>
          <w:p w14:paraId="54E4C1A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0.63%</w:t>
            </w:r>
          </w:p>
        </w:tc>
        <w:tc>
          <w:tcPr>
            <w:tcW w:w="1540" w:type="dxa"/>
            <w:tcBorders>
              <w:top w:val="nil"/>
              <w:left w:val="nil"/>
              <w:bottom w:val="single" w:color="auto" w:sz="4" w:space="0"/>
              <w:right w:val="single" w:color="auto" w:sz="4" w:space="0"/>
            </w:tcBorders>
            <w:noWrap w:val="0"/>
            <w:vAlign w:val="center"/>
          </w:tcPr>
          <w:p w14:paraId="52E82F0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14</w:t>
            </w:r>
          </w:p>
        </w:tc>
      </w:tr>
      <w:tr w14:paraId="558F236B">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1ED8856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网络交易违法行为</w:t>
            </w:r>
          </w:p>
        </w:tc>
        <w:tc>
          <w:tcPr>
            <w:tcW w:w="1720" w:type="dxa"/>
            <w:tcBorders>
              <w:top w:val="nil"/>
              <w:left w:val="nil"/>
              <w:bottom w:val="single" w:color="auto" w:sz="4" w:space="0"/>
              <w:right w:val="single" w:color="auto" w:sz="4" w:space="0"/>
            </w:tcBorders>
            <w:noWrap w:val="0"/>
            <w:vAlign w:val="center"/>
          </w:tcPr>
          <w:p w14:paraId="6840749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17</w:t>
            </w:r>
          </w:p>
        </w:tc>
        <w:tc>
          <w:tcPr>
            <w:tcW w:w="1540" w:type="dxa"/>
            <w:tcBorders>
              <w:top w:val="nil"/>
              <w:left w:val="nil"/>
              <w:bottom w:val="single" w:color="auto" w:sz="4" w:space="0"/>
              <w:right w:val="single" w:color="auto" w:sz="4" w:space="0"/>
            </w:tcBorders>
            <w:noWrap w:val="0"/>
            <w:vAlign w:val="center"/>
          </w:tcPr>
          <w:p w14:paraId="1C24D01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0.56%</w:t>
            </w:r>
          </w:p>
        </w:tc>
        <w:tc>
          <w:tcPr>
            <w:tcW w:w="1540" w:type="dxa"/>
            <w:tcBorders>
              <w:top w:val="nil"/>
              <w:left w:val="nil"/>
              <w:bottom w:val="single" w:color="auto" w:sz="4" w:space="0"/>
              <w:right w:val="single" w:color="auto" w:sz="4" w:space="0"/>
            </w:tcBorders>
            <w:noWrap w:val="0"/>
            <w:vAlign w:val="center"/>
          </w:tcPr>
          <w:p w14:paraId="1F5A0DE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w:t>
            </w:r>
          </w:p>
        </w:tc>
      </w:tr>
      <w:tr w14:paraId="3637E697">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3B096F3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直销违规行为</w:t>
            </w:r>
          </w:p>
        </w:tc>
        <w:tc>
          <w:tcPr>
            <w:tcW w:w="1720" w:type="dxa"/>
            <w:tcBorders>
              <w:top w:val="nil"/>
              <w:left w:val="nil"/>
              <w:bottom w:val="single" w:color="auto" w:sz="4" w:space="0"/>
              <w:right w:val="single" w:color="auto" w:sz="4" w:space="0"/>
            </w:tcBorders>
            <w:noWrap w:val="0"/>
            <w:vAlign w:val="center"/>
          </w:tcPr>
          <w:p w14:paraId="2FBBE18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w:t>
            </w:r>
          </w:p>
        </w:tc>
        <w:tc>
          <w:tcPr>
            <w:tcW w:w="1540" w:type="dxa"/>
            <w:tcBorders>
              <w:top w:val="nil"/>
              <w:left w:val="nil"/>
              <w:bottom w:val="single" w:color="auto" w:sz="4" w:space="0"/>
              <w:right w:val="single" w:color="auto" w:sz="4" w:space="0"/>
            </w:tcBorders>
            <w:noWrap w:val="0"/>
            <w:vAlign w:val="center"/>
          </w:tcPr>
          <w:p w14:paraId="3BE855B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0.51%</w:t>
            </w:r>
          </w:p>
        </w:tc>
        <w:tc>
          <w:tcPr>
            <w:tcW w:w="1540" w:type="dxa"/>
            <w:tcBorders>
              <w:top w:val="nil"/>
              <w:left w:val="nil"/>
              <w:bottom w:val="single" w:color="auto" w:sz="4" w:space="0"/>
              <w:right w:val="single" w:color="auto" w:sz="4" w:space="0"/>
            </w:tcBorders>
            <w:noWrap w:val="0"/>
            <w:vAlign w:val="center"/>
          </w:tcPr>
          <w:p w14:paraId="66698E7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16</w:t>
            </w:r>
          </w:p>
        </w:tc>
      </w:tr>
      <w:tr w14:paraId="1EBF330B">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0574DBA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商标违法行为</w:t>
            </w:r>
          </w:p>
        </w:tc>
        <w:tc>
          <w:tcPr>
            <w:tcW w:w="1720" w:type="dxa"/>
            <w:tcBorders>
              <w:top w:val="nil"/>
              <w:left w:val="nil"/>
              <w:bottom w:val="single" w:color="auto" w:sz="4" w:space="0"/>
              <w:right w:val="single" w:color="auto" w:sz="4" w:space="0"/>
            </w:tcBorders>
            <w:noWrap w:val="0"/>
            <w:vAlign w:val="center"/>
          </w:tcPr>
          <w:p w14:paraId="27B7A48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w:t>
            </w:r>
          </w:p>
        </w:tc>
        <w:tc>
          <w:tcPr>
            <w:tcW w:w="1540" w:type="dxa"/>
            <w:tcBorders>
              <w:top w:val="nil"/>
              <w:left w:val="nil"/>
              <w:bottom w:val="single" w:color="auto" w:sz="4" w:space="0"/>
              <w:right w:val="single" w:color="auto" w:sz="4" w:space="0"/>
            </w:tcBorders>
            <w:noWrap w:val="0"/>
            <w:vAlign w:val="center"/>
          </w:tcPr>
          <w:p w14:paraId="6D50E4D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0.41%</w:t>
            </w:r>
          </w:p>
        </w:tc>
        <w:tc>
          <w:tcPr>
            <w:tcW w:w="1540" w:type="dxa"/>
            <w:tcBorders>
              <w:top w:val="nil"/>
              <w:left w:val="nil"/>
              <w:bottom w:val="single" w:color="auto" w:sz="4" w:space="0"/>
              <w:right w:val="single" w:color="auto" w:sz="4" w:space="0"/>
            </w:tcBorders>
            <w:noWrap w:val="0"/>
            <w:vAlign w:val="center"/>
          </w:tcPr>
          <w:p w14:paraId="190CFBA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17</w:t>
            </w:r>
          </w:p>
        </w:tc>
      </w:tr>
      <w:tr w14:paraId="3022D562">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7F25B55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传销行为</w:t>
            </w:r>
          </w:p>
        </w:tc>
        <w:tc>
          <w:tcPr>
            <w:tcW w:w="1720" w:type="dxa"/>
            <w:tcBorders>
              <w:top w:val="nil"/>
              <w:left w:val="nil"/>
              <w:bottom w:val="single" w:color="auto" w:sz="4" w:space="0"/>
              <w:right w:val="single" w:color="auto" w:sz="4" w:space="0"/>
            </w:tcBorders>
            <w:noWrap w:val="0"/>
            <w:vAlign w:val="center"/>
          </w:tcPr>
          <w:p w14:paraId="649B5BC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540" w:type="dxa"/>
            <w:tcBorders>
              <w:top w:val="nil"/>
              <w:left w:val="nil"/>
              <w:bottom w:val="single" w:color="auto" w:sz="4" w:space="0"/>
              <w:right w:val="single" w:color="auto" w:sz="4" w:space="0"/>
            </w:tcBorders>
            <w:noWrap w:val="0"/>
            <w:vAlign w:val="center"/>
          </w:tcPr>
          <w:p w14:paraId="425330B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0.33%</w:t>
            </w:r>
          </w:p>
        </w:tc>
        <w:tc>
          <w:tcPr>
            <w:tcW w:w="1540" w:type="dxa"/>
            <w:tcBorders>
              <w:top w:val="nil"/>
              <w:left w:val="nil"/>
              <w:bottom w:val="single" w:color="auto" w:sz="4" w:space="0"/>
              <w:right w:val="single" w:color="auto" w:sz="4" w:space="0"/>
            </w:tcBorders>
            <w:noWrap w:val="0"/>
            <w:vAlign w:val="center"/>
          </w:tcPr>
          <w:p w14:paraId="7CBF285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w:t>
            </w:r>
          </w:p>
        </w:tc>
      </w:tr>
      <w:tr w14:paraId="0C2BFA87">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66A9D13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化妆品问题</w:t>
            </w:r>
          </w:p>
        </w:tc>
        <w:tc>
          <w:tcPr>
            <w:tcW w:w="1720" w:type="dxa"/>
            <w:tcBorders>
              <w:top w:val="nil"/>
              <w:left w:val="nil"/>
              <w:bottom w:val="single" w:color="auto" w:sz="4" w:space="0"/>
              <w:right w:val="single" w:color="auto" w:sz="4" w:space="0"/>
            </w:tcBorders>
            <w:noWrap w:val="0"/>
            <w:vAlign w:val="center"/>
          </w:tcPr>
          <w:p w14:paraId="6BFF60D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w:t>
            </w:r>
          </w:p>
        </w:tc>
        <w:tc>
          <w:tcPr>
            <w:tcW w:w="1540" w:type="dxa"/>
            <w:tcBorders>
              <w:top w:val="nil"/>
              <w:left w:val="nil"/>
              <w:bottom w:val="single" w:color="auto" w:sz="4" w:space="0"/>
              <w:right w:val="single" w:color="auto" w:sz="4" w:space="0"/>
            </w:tcBorders>
            <w:noWrap w:val="0"/>
            <w:vAlign w:val="center"/>
          </w:tcPr>
          <w:p w14:paraId="2DB1811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0.30%</w:t>
            </w:r>
          </w:p>
        </w:tc>
        <w:tc>
          <w:tcPr>
            <w:tcW w:w="1540" w:type="dxa"/>
            <w:tcBorders>
              <w:top w:val="nil"/>
              <w:left w:val="nil"/>
              <w:bottom w:val="single" w:color="auto" w:sz="4" w:space="0"/>
              <w:right w:val="single" w:color="auto" w:sz="4" w:space="0"/>
            </w:tcBorders>
            <w:noWrap w:val="0"/>
            <w:vAlign w:val="center"/>
          </w:tcPr>
          <w:p w14:paraId="6E3C0B2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19</w:t>
            </w:r>
          </w:p>
        </w:tc>
      </w:tr>
      <w:tr w14:paraId="46BA42AC">
        <w:tblPrEx>
          <w:tblCellMar>
            <w:top w:w="0" w:type="dxa"/>
            <w:left w:w="108" w:type="dxa"/>
            <w:bottom w:w="0" w:type="dxa"/>
            <w:right w:w="108" w:type="dxa"/>
          </w:tblCellMar>
        </w:tblPrEx>
        <w:trPr>
          <w:wBefore w:w="0" w:type="dxa"/>
          <w:wAfter w:w="0" w:type="dxa"/>
          <w:trHeight w:val="420" w:hRule="atLeast"/>
        </w:trPr>
        <w:tc>
          <w:tcPr>
            <w:tcW w:w="3660" w:type="dxa"/>
            <w:tcBorders>
              <w:top w:val="nil"/>
              <w:left w:val="single" w:color="auto" w:sz="4" w:space="0"/>
              <w:bottom w:val="single" w:color="auto" w:sz="4" w:space="0"/>
              <w:right w:val="single" w:color="auto" w:sz="4" w:space="0"/>
            </w:tcBorders>
            <w:noWrap w:val="0"/>
            <w:vAlign w:val="center"/>
          </w:tcPr>
          <w:p w14:paraId="1A9B020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标准化违法行为</w:t>
            </w:r>
          </w:p>
        </w:tc>
        <w:tc>
          <w:tcPr>
            <w:tcW w:w="1720" w:type="dxa"/>
            <w:tcBorders>
              <w:top w:val="nil"/>
              <w:left w:val="nil"/>
              <w:bottom w:val="single" w:color="auto" w:sz="4" w:space="0"/>
              <w:right w:val="single" w:color="auto" w:sz="4" w:space="0"/>
            </w:tcBorders>
            <w:noWrap w:val="0"/>
            <w:vAlign w:val="center"/>
          </w:tcPr>
          <w:p w14:paraId="20B6782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1540" w:type="dxa"/>
            <w:tcBorders>
              <w:top w:val="nil"/>
              <w:left w:val="nil"/>
              <w:bottom w:val="single" w:color="auto" w:sz="4" w:space="0"/>
              <w:right w:val="single" w:color="auto" w:sz="4" w:space="0"/>
            </w:tcBorders>
            <w:noWrap w:val="0"/>
            <w:vAlign w:val="center"/>
          </w:tcPr>
          <w:p w14:paraId="1C6E03E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0.17%</w:t>
            </w:r>
          </w:p>
        </w:tc>
        <w:tc>
          <w:tcPr>
            <w:tcW w:w="1540" w:type="dxa"/>
            <w:tcBorders>
              <w:top w:val="nil"/>
              <w:left w:val="nil"/>
              <w:bottom w:val="single" w:color="auto" w:sz="4" w:space="0"/>
              <w:right w:val="single" w:color="auto" w:sz="4" w:space="0"/>
            </w:tcBorders>
            <w:noWrap w:val="0"/>
            <w:vAlign w:val="center"/>
          </w:tcPr>
          <w:p w14:paraId="3C19FBD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r>
      <w:tr w14:paraId="1F7AB27B">
        <w:tblPrEx>
          <w:tblCellMar>
            <w:top w:w="0" w:type="dxa"/>
            <w:left w:w="108" w:type="dxa"/>
            <w:bottom w:w="0" w:type="dxa"/>
            <w:right w:w="108" w:type="dxa"/>
          </w:tblCellMar>
        </w:tblPrEx>
        <w:trPr>
          <w:wBefore w:w="0" w:type="dxa"/>
          <w:wAfter w:w="0" w:type="dxa"/>
          <w:trHeight w:val="439" w:hRule="atLeast"/>
        </w:trPr>
        <w:tc>
          <w:tcPr>
            <w:tcW w:w="3660" w:type="dxa"/>
            <w:tcBorders>
              <w:top w:val="nil"/>
              <w:left w:val="single" w:color="auto" w:sz="4" w:space="0"/>
              <w:bottom w:val="single" w:color="auto" w:sz="4" w:space="0"/>
              <w:right w:val="single" w:color="auto" w:sz="4" w:space="0"/>
            </w:tcBorders>
            <w:noWrap w:val="0"/>
            <w:vAlign w:val="center"/>
          </w:tcPr>
          <w:p w14:paraId="560EFC9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认证认可违法行为</w:t>
            </w:r>
          </w:p>
        </w:tc>
        <w:tc>
          <w:tcPr>
            <w:tcW w:w="1720" w:type="dxa"/>
            <w:tcBorders>
              <w:top w:val="nil"/>
              <w:left w:val="nil"/>
              <w:bottom w:val="single" w:color="auto" w:sz="4" w:space="0"/>
              <w:right w:val="single" w:color="auto" w:sz="4" w:space="0"/>
            </w:tcBorders>
            <w:noWrap w:val="0"/>
            <w:vAlign w:val="center"/>
          </w:tcPr>
          <w:p w14:paraId="3C4A246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1540" w:type="dxa"/>
            <w:tcBorders>
              <w:top w:val="nil"/>
              <w:left w:val="nil"/>
              <w:bottom w:val="single" w:color="auto" w:sz="4" w:space="0"/>
              <w:right w:val="single" w:color="auto" w:sz="4" w:space="0"/>
            </w:tcBorders>
            <w:noWrap w:val="0"/>
            <w:vAlign w:val="center"/>
          </w:tcPr>
          <w:p w14:paraId="4BB2F3E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0.07%</w:t>
            </w:r>
          </w:p>
        </w:tc>
        <w:tc>
          <w:tcPr>
            <w:tcW w:w="1540" w:type="dxa"/>
            <w:tcBorders>
              <w:top w:val="nil"/>
              <w:left w:val="nil"/>
              <w:bottom w:val="single" w:color="auto" w:sz="4" w:space="0"/>
              <w:right w:val="single" w:color="auto" w:sz="4" w:space="0"/>
            </w:tcBorders>
            <w:noWrap w:val="0"/>
            <w:vAlign w:val="center"/>
          </w:tcPr>
          <w:p w14:paraId="7E4D109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21</w:t>
            </w:r>
          </w:p>
        </w:tc>
      </w:tr>
      <w:tr w14:paraId="3904DA15">
        <w:tblPrEx>
          <w:tblCellMar>
            <w:top w:w="0" w:type="dxa"/>
            <w:left w:w="108" w:type="dxa"/>
            <w:bottom w:w="0" w:type="dxa"/>
            <w:right w:w="108" w:type="dxa"/>
          </w:tblCellMar>
        </w:tblPrEx>
        <w:trPr>
          <w:wBefore w:w="0" w:type="dxa"/>
          <w:wAfter w:w="0" w:type="dxa"/>
          <w:trHeight w:val="439" w:hRule="atLeast"/>
        </w:trPr>
        <w:tc>
          <w:tcPr>
            <w:tcW w:w="3660" w:type="dxa"/>
            <w:tcBorders>
              <w:top w:val="nil"/>
              <w:left w:val="single" w:color="auto" w:sz="4" w:space="0"/>
              <w:bottom w:val="single" w:color="auto" w:sz="4" w:space="0"/>
              <w:right w:val="single" w:color="auto" w:sz="4" w:space="0"/>
            </w:tcBorders>
            <w:noWrap w:val="0"/>
            <w:vAlign w:val="center"/>
          </w:tcPr>
          <w:p w14:paraId="514DCA9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生产许可违法行为</w:t>
            </w:r>
          </w:p>
        </w:tc>
        <w:tc>
          <w:tcPr>
            <w:tcW w:w="1720" w:type="dxa"/>
            <w:tcBorders>
              <w:top w:val="nil"/>
              <w:left w:val="nil"/>
              <w:bottom w:val="single" w:color="auto" w:sz="4" w:space="0"/>
              <w:right w:val="single" w:color="auto" w:sz="4" w:space="0"/>
            </w:tcBorders>
            <w:noWrap w:val="0"/>
            <w:vAlign w:val="center"/>
          </w:tcPr>
          <w:p w14:paraId="4DEC6AA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1540" w:type="dxa"/>
            <w:tcBorders>
              <w:top w:val="nil"/>
              <w:left w:val="nil"/>
              <w:bottom w:val="single" w:color="auto" w:sz="4" w:space="0"/>
              <w:right w:val="single" w:color="auto" w:sz="4" w:space="0"/>
            </w:tcBorders>
            <w:noWrap w:val="0"/>
            <w:vAlign w:val="center"/>
          </w:tcPr>
          <w:p w14:paraId="79D93F0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0.07%</w:t>
            </w:r>
          </w:p>
        </w:tc>
        <w:tc>
          <w:tcPr>
            <w:tcW w:w="1540" w:type="dxa"/>
            <w:tcBorders>
              <w:top w:val="nil"/>
              <w:left w:val="nil"/>
              <w:bottom w:val="single" w:color="auto" w:sz="4" w:space="0"/>
              <w:right w:val="single" w:color="auto" w:sz="4" w:space="0"/>
            </w:tcBorders>
            <w:noWrap w:val="0"/>
            <w:vAlign w:val="center"/>
          </w:tcPr>
          <w:p w14:paraId="1E163FB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21</w:t>
            </w:r>
          </w:p>
        </w:tc>
      </w:tr>
      <w:tr w14:paraId="04703650">
        <w:tblPrEx>
          <w:tblCellMar>
            <w:top w:w="0" w:type="dxa"/>
            <w:left w:w="108" w:type="dxa"/>
            <w:bottom w:w="0" w:type="dxa"/>
            <w:right w:w="108" w:type="dxa"/>
          </w:tblCellMar>
        </w:tblPrEx>
        <w:trPr>
          <w:wBefore w:w="0" w:type="dxa"/>
          <w:wAfter w:w="0" w:type="dxa"/>
          <w:trHeight w:val="439" w:hRule="atLeast"/>
        </w:trPr>
        <w:tc>
          <w:tcPr>
            <w:tcW w:w="3660" w:type="dxa"/>
            <w:tcBorders>
              <w:top w:val="nil"/>
              <w:left w:val="single" w:color="auto" w:sz="4" w:space="0"/>
              <w:bottom w:val="single" w:color="auto" w:sz="4" w:space="0"/>
              <w:right w:val="single" w:color="auto" w:sz="4" w:space="0"/>
            </w:tcBorders>
            <w:noWrap w:val="0"/>
            <w:vAlign w:val="center"/>
          </w:tcPr>
          <w:p w14:paraId="330B3F7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违反《人民币管理条例》的行为</w:t>
            </w:r>
          </w:p>
        </w:tc>
        <w:tc>
          <w:tcPr>
            <w:tcW w:w="1720" w:type="dxa"/>
            <w:tcBorders>
              <w:top w:val="nil"/>
              <w:left w:val="nil"/>
              <w:bottom w:val="single" w:color="auto" w:sz="4" w:space="0"/>
              <w:right w:val="single" w:color="auto" w:sz="4" w:space="0"/>
            </w:tcBorders>
            <w:noWrap w:val="0"/>
            <w:vAlign w:val="center"/>
          </w:tcPr>
          <w:p w14:paraId="1495C97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1540" w:type="dxa"/>
            <w:tcBorders>
              <w:top w:val="nil"/>
              <w:left w:val="nil"/>
              <w:bottom w:val="single" w:color="auto" w:sz="4" w:space="0"/>
              <w:right w:val="single" w:color="auto" w:sz="4" w:space="0"/>
            </w:tcBorders>
            <w:noWrap w:val="0"/>
            <w:vAlign w:val="center"/>
          </w:tcPr>
          <w:p w14:paraId="6F8D94C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0.03%</w:t>
            </w:r>
          </w:p>
        </w:tc>
        <w:tc>
          <w:tcPr>
            <w:tcW w:w="1540" w:type="dxa"/>
            <w:tcBorders>
              <w:top w:val="nil"/>
              <w:left w:val="nil"/>
              <w:bottom w:val="single" w:color="auto" w:sz="4" w:space="0"/>
              <w:right w:val="single" w:color="auto" w:sz="4" w:space="0"/>
            </w:tcBorders>
            <w:noWrap w:val="0"/>
            <w:vAlign w:val="center"/>
          </w:tcPr>
          <w:p w14:paraId="38F230D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22</w:t>
            </w:r>
          </w:p>
        </w:tc>
      </w:tr>
      <w:tr w14:paraId="13ADA8A0">
        <w:tblPrEx>
          <w:tblCellMar>
            <w:top w:w="0" w:type="dxa"/>
            <w:left w:w="108" w:type="dxa"/>
            <w:bottom w:w="0" w:type="dxa"/>
            <w:right w:w="108" w:type="dxa"/>
          </w:tblCellMar>
        </w:tblPrEx>
        <w:trPr>
          <w:wBefore w:w="0" w:type="dxa"/>
          <w:wAfter w:w="0" w:type="dxa"/>
          <w:trHeight w:val="441" w:hRule="atLeast"/>
        </w:trPr>
        <w:tc>
          <w:tcPr>
            <w:tcW w:w="3660" w:type="dxa"/>
            <w:tcBorders>
              <w:top w:val="nil"/>
              <w:left w:val="single" w:color="auto" w:sz="4" w:space="0"/>
              <w:bottom w:val="single" w:color="auto" w:sz="4" w:space="0"/>
              <w:right w:val="single" w:color="auto" w:sz="4" w:space="0"/>
            </w:tcBorders>
            <w:noWrap w:val="0"/>
            <w:vAlign w:val="top"/>
          </w:tcPr>
          <w:p w14:paraId="6D0982EC">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720" w:type="dxa"/>
            <w:tcBorders>
              <w:top w:val="nil"/>
              <w:left w:val="nil"/>
              <w:bottom w:val="single" w:color="auto" w:sz="4" w:space="0"/>
              <w:right w:val="single" w:color="auto" w:sz="4" w:space="0"/>
            </w:tcBorders>
            <w:noWrap w:val="0"/>
            <w:vAlign w:val="top"/>
          </w:tcPr>
          <w:p w14:paraId="3091468F">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3014</w:t>
            </w:r>
          </w:p>
        </w:tc>
        <w:tc>
          <w:tcPr>
            <w:tcW w:w="1540" w:type="dxa"/>
            <w:tcBorders>
              <w:top w:val="nil"/>
              <w:left w:val="nil"/>
              <w:bottom w:val="single" w:color="auto" w:sz="4" w:space="0"/>
              <w:right w:val="single" w:color="auto" w:sz="4" w:space="0"/>
            </w:tcBorders>
            <w:noWrap w:val="0"/>
            <w:vAlign w:val="center"/>
          </w:tcPr>
          <w:p w14:paraId="029B240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100%</w:t>
            </w:r>
          </w:p>
        </w:tc>
        <w:tc>
          <w:tcPr>
            <w:tcW w:w="1540" w:type="dxa"/>
            <w:tcBorders>
              <w:top w:val="nil"/>
              <w:left w:val="nil"/>
              <w:bottom w:val="single" w:color="auto" w:sz="4" w:space="0"/>
              <w:right w:val="single" w:color="auto" w:sz="4" w:space="0"/>
              <w:tl2br w:val="single" w:color="auto" w:sz="4" w:space="0"/>
            </w:tcBorders>
            <w:noWrap w:val="0"/>
            <w:vAlign w:val="center"/>
          </w:tcPr>
          <w:p w14:paraId="1D45A9AF">
            <w:pPr>
              <w:widowControl/>
              <w:jc w:val="center"/>
              <w:rPr>
                <w:rFonts w:hint="eastAsia" w:ascii="仿宋_GB2312" w:hAnsi="宋体" w:eastAsia="仿宋_GB2312" w:cs="宋体"/>
                <w:color w:val="000000"/>
                <w:kern w:val="0"/>
                <w:sz w:val="24"/>
              </w:rPr>
            </w:pPr>
          </w:p>
        </w:tc>
      </w:tr>
    </w:tbl>
    <w:p w14:paraId="32D8E05F">
      <w:pPr>
        <w:spacing w:line="520" w:lineRule="exact"/>
        <w:rPr>
          <w:rFonts w:hint="eastAsia" w:ascii="黑体" w:hAnsi="仿宋" w:eastAsia="黑体"/>
          <w:color w:val="000000"/>
          <w:sz w:val="32"/>
          <w:szCs w:val="32"/>
        </w:rPr>
      </w:pPr>
    </w:p>
    <w:p w14:paraId="4884B5F1">
      <w:pPr>
        <w:spacing w:line="520" w:lineRule="exact"/>
        <w:rPr>
          <w:rFonts w:hint="eastAsia" w:ascii="黑体" w:hAnsi="仿宋" w:eastAsia="黑体"/>
          <w:color w:val="000000"/>
          <w:sz w:val="32"/>
          <w:szCs w:val="32"/>
        </w:rPr>
      </w:pPr>
      <w:r>
        <w:rPr>
          <w:color w:val="000000"/>
          <w:lang/>
        </w:rPr>
        <w:drawing>
          <wp:anchor distT="0" distB="0" distL="114300" distR="114300" simplePos="0" relativeHeight="251664384" behindDoc="1" locked="0" layoutInCell="1" allowOverlap="1">
            <wp:simplePos x="0" y="0"/>
            <wp:positionH relativeFrom="column">
              <wp:posOffset>28575</wp:posOffset>
            </wp:positionH>
            <wp:positionV relativeFrom="paragraph">
              <wp:posOffset>455295</wp:posOffset>
            </wp:positionV>
            <wp:extent cx="5476875" cy="4509135"/>
            <wp:effectExtent l="0" t="0" r="9525" b="5715"/>
            <wp:wrapTight wrapText="bothSides">
              <wp:wrapPolygon>
                <wp:start x="-39" y="0"/>
                <wp:lineTo x="-39" y="21547"/>
                <wp:lineTo x="21600" y="21547"/>
                <wp:lineTo x="21600" y="0"/>
                <wp:lineTo x="-39" y="0"/>
              </wp:wrapPolygon>
            </wp:wrapTight>
            <wp:docPr id="6" name="图表 14"/>
            <wp:cNvGraphicFramePr/>
            <a:graphic xmlns:a="http://schemas.openxmlformats.org/drawingml/2006/main">
              <a:graphicData uri="http://schemas.openxmlformats.org/drawingml/2006/picture">
                <pic:pic xmlns:pic="http://schemas.openxmlformats.org/drawingml/2006/picture">
                  <pic:nvPicPr>
                    <pic:cNvPr id="6" name="图表 14"/>
                    <pic:cNvPicPr/>
                  </pic:nvPicPr>
                  <pic:blipFill>
                    <a:blip r:embed="rId24"/>
                    <a:stretch>
                      <a:fillRect/>
                    </a:stretch>
                  </pic:blipFill>
                  <pic:spPr>
                    <a:xfrm>
                      <a:off x="0" y="0"/>
                      <a:ext cx="5476875" cy="4509135"/>
                    </a:xfrm>
                    <a:prstGeom prst="rect">
                      <a:avLst/>
                    </a:prstGeom>
                    <a:noFill/>
                    <a:ln>
                      <a:noFill/>
                    </a:ln>
                  </pic:spPr>
                </pic:pic>
              </a:graphicData>
            </a:graphic>
          </wp:anchor>
        </w:drawing>
      </w:r>
      <w:r>
        <w:rPr>
          <w:rFonts w:hint="eastAsia" w:ascii="黑体" w:hAnsi="仿宋" w:eastAsia="黑体"/>
          <w:color w:val="000000"/>
          <w:sz w:val="32"/>
          <w:szCs w:val="32"/>
        </w:rPr>
        <w:t>图五：</w:t>
      </w:r>
    </w:p>
    <w:p w14:paraId="290494B5">
      <w:pPr>
        <w:spacing w:line="560" w:lineRule="exact"/>
        <w:ind w:firstLine="640" w:firstLineChars="200"/>
        <w:rPr>
          <w:rFonts w:hint="eastAsia" w:ascii="黑体" w:hAnsi="Times New Roman" w:eastAsia="黑体"/>
          <w:color w:val="000000"/>
          <w:sz w:val="32"/>
          <w:szCs w:val="32"/>
        </w:rPr>
      </w:pPr>
      <w:r>
        <w:rPr>
          <w:rFonts w:hint="eastAsia" w:ascii="黑体" w:hAnsi="Times New Roman" w:eastAsia="黑体"/>
          <w:color w:val="000000"/>
          <w:sz w:val="32"/>
          <w:szCs w:val="32"/>
        </w:rPr>
        <w:t>（七）投诉热点问题分析</w:t>
      </w:r>
    </w:p>
    <w:p w14:paraId="3267F8BE">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2020</w:t>
      </w:r>
      <w:r>
        <w:rPr>
          <w:rFonts w:ascii="Times New Roman" w:hAnsi="Times New Roman" w:eastAsia="仿宋_GB2312"/>
          <w:color w:val="000000"/>
          <w:sz w:val="32"/>
          <w:szCs w:val="32"/>
        </w:rPr>
        <w:t>年共受理消费者投诉7682件，热点问题前十排行如下图所示：其中前三名依次是排在第一的车辆出租服务528件，占投诉总量的6.87％；第二名餐馆服务371件，占投诉总量的4.83％；第三名便携式计算机285件，占投诉总量的3.71％。从今年的投诉热点问题不难看出，与我们日常生活息息相关的服务问题，消费者更为关注。</w:t>
      </w:r>
    </w:p>
    <w:tbl>
      <w:tblPr>
        <w:tblStyle w:val="13"/>
        <w:tblW w:w="8740" w:type="dxa"/>
        <w:tblInd w:w="108" w:type="dxa"/>
        <w:tblLayout w:type="autofit"/>
        <w:tblCellMar>
          <w:top w:w="0" w:type="dxa"/>
          <w:left w:w="108" w:type="dxa"/>
          <w:bottom w:w="0" w:type="dxa"/>
          <w:right w:w="108" w:type="dxa"/>
        </w:tblCellMar>
      </w:tblPr>
      <w:tblGrid>
        <w:gridCol w:w="2400"/>
        <w:gridCol w:w="1720"/>
        <w:gridCol w:w="1540"/>
        <w:gridCol w:w="1540"/>
        <w:gridCol w:w="1540"/>
      </w:tblGrid>
      <w:tr w14:paraId="733C400C">
        <w:tblPrEx>
          <w:tblCellMar>
            <w:top w:w="0" w:type="dxa"/>
            <w:left w:w="108" w:type="dxa"/>
            <w:bottom w:w="0" w:type="dxa"/>
            <w:right w:w="108" w:type="dxa"/>
          </w:tblCellMar>
        </w:tblPrEx>
        <w:trPr>
          <w:wBefore w:w="0" w:type="dxa"/>
          <w:wAfter w:w="0" w:type="dxa"/>
          <w:trHeight w:val="375" w:hRule="atLeast"/>
        </w:trPr>
        <w:tc>
          <w:tcPr>
            <w:tcW w:w="8740" w:type="dxa"/>
            <w:gridSpan w:val="5"/>
            <w:tcBorders>
              <w:top w:val="nil"/>
              <w:left w:val="nil"/>
              <w:bottom w:val="nil"/>
              <w:right w:val="nil"/>
            </w:tcBorders>
            <w:noWrap w:val="0"/>
            <w:vAlign w:val="center"/>
          </w:tcPr>
          <w:p w14:paraId="44B83F35">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表六：</w:t>
            </w:r>
          </w:p>
          <w:p w14:paraId="1A18B991">
            <w:pPr>
              <w:widowControl/>
              <w:jc w:val="center"/>
              <w:rPr>
                <w:rFonts w:ascii="方正小标宋简体" w:hAnsi="宋体" w:eastAsia="方正小标宋简体" w:cs="宋体"/>
                <w:color w:val="000000"/>
                <w:kern w:val="0"/>
                <w:sz w:val="28"/>
                <w:szCs w:val="28"/>
              </w:rPr>
            </w:pPr>
            <w:r>
              <w:rPr>
                <w:rFonts w:hint="eastAsia" w:ascii="方正小标宋简体" w:hAnsi="宋体" w:eastAsia="方正小标宋简体" w:cs="宋体"/>
                <w:color w:val="000000"/>
                <w:kern w:val="0"/>
                <w:sz w:val="28"/>
                <w:szCs w:val="28"/>
              </w:rPr>
              <w:t>年全年投诉热点排行</w:t>
            </w:r>
          </w:p>
        </w:tc>
      </w:tr>
      <w:tr w14:paraId="74BEF8BF">
        <w:tblPrEx>
          <w:tblCellMar>
            <w:top w:w="0" w:type="dxa"/>
            <w:left w:w="108" w:type="dxa"/>
            <w:bottom w:w="0" w:type="dxa"/>
            <w:right w:w="108" w:type="dxa"/>
          </w:tblCellMar>
        </w:tblPrEx>
        <w:trPr>
          <w:wBefore w:w="0" w:type="dxa"/>
          <w:wAfter w:w="0" w:type="dxa"/>
          <w:trHeight w:val="570" w:hRule="atLeast"/>
        </w:trPr>
        <w:tc>
          <w:tcPr>
            <w:tcW w:w="2400" w:type="dxa"/>
            <w:tcBorders>
              <w:top w:val="single" w:color="auto" w:sz="4" w:space="0"/>
              <w:left w:val="single" w:color="auto" w:sz="4" w:space="0"/>
              <w:bottom w:val="single" w:color="auto" w:sz="4" w:space="0"/>
              <w:right w:val="single" w:color="auto" w:sz="4" w:space="0"/>
            </w:tcBorders>
            <w:noWrap w:val="0"/>
            <w:vAlign w:val="center"/>
          </w:tcPr>
          <w:p w14:paraId="03ADE4D7">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类  别</w:t>
            </w:r>
          </w:p>
        </w:tc>
        <w:tc>
          <w:tcPr>
            <w:tcW w:w="1720" w:type="dxa"/>
            <w:tcBorders>
              <w:top w:val="single" w:color="auto" w:sz="4" w:space="0"/>
              <w:left w:val="nil"/>
              <w:bottom w:val="single" w:color="auto" w:sz="4" w:space="0"/>
              <w:right w:val="single" w:color="auto" w:sz="4" w:space="0"/>
            </w:tcBorders>
            <w:noWrap w:val="0"/>
            <w:vAlign w:val="center"/>
          </w:tcPr>
          <w:p w14:paraId="22584A2C">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受理数量（件）</w:t>
            </w:r>
          </w:p>
        </w:tc>
        <w:tc>
          <w:tcPr>
            <w:tcW w:w="1540" w:type="dxa"/>
            <w:tcBorders>
              <w:top w:val="single" w:color="auto" w:sz="4" w:space="0"/>
              <w:left w:val="nil"/>
              <w:bottom w:val="single" w:color="auto" w:sz="4" w:space="0"/>
              <w:right w:val="single" w:color="auto" w:sz="4" w:space="0"/>
            </w:tcBorders>
            <w:noWrap w:val="0"/>
            <w:vAlign w:val="center"/>
          </w:tcPr>
          <w:p w14:paraId="0DBB40FD">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占热点比例(%)</w:t>
            </w:r>
          </w:p>
        </w:tc>
        <w:tc>
          <w:tcPr>
            <w:tcW w:w="1540" w:type="dxa"/>
            <w:tcBorders>
              <w:top w:val="single" w:color="auto" w:sz="4" w:space="0"/>
              <w:left w:val="nil"/>
              <w:bottom w:val="single" w:color="auto" w:sz="4" w:space="0"/>
              <w:right w:val="single" w:color="auto" w:sz="4" w:space="0"/>
            </w:tcBorders>
            <w:noWrap w:val="0"/>
            <w:vAlign w:val="center"/>
          </w:tcPr>
          <w:p w14:paraId="3DB8F157">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占总数比例（%）</w:t>
            </w:r>
          </w:p>
        </w:tc>
        <w:tc>
          <w:tcPr>
            <w:tcW w:w="1540" w:type="dxa"/>
            <w:tcBorders>
              <w:top w:val="single" w:color="auto" w:sz="4" w:space="0"/>
              <w:left w:val="nil"/>
              <w:bottom w:val="single" w:color="auto" w:sz="4" w:space="0"/>
              <w:right w:val="single" w:color="auto" w:sz="4" w:space="0"/>
            </w:tcBorders>
            <w:noWrap w:val="0"/>
            <w:vAlign w:val="center"/>
          </w:tcPr>
          <w:p w14:paraId="61055FA1">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排  名</w:t>
            </w:r>
          </w:p>
        </w:tc>
      </w:tr>
      <w:tr w14:paraId="6AEEB158">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63AA7B16">
            <w:pPr>
              <w:jc w:val="center"/>
              <w:rPr>
                <w:rFonts w:ascii="宋体" w:hAnsi="宋体" w:cs="宋体"/>
                <w:color w:val="000000"/>
                <w:szCs w:val="21"/>
              </w:rPr>
            </w:pPr>
            <w:r>
              <w:rPr>
                <w:rFonts w:hint="eastAsia"/>
                <w:color w:val="000000"/>
                <w:szCs w:val="21"/>
              </w:rPr>
              <w:t>车辆出租服务</w:t>
            </w:r>
          </w:p>
        </w:tc>
        <w:tc>
          <w:tcPr>
            <w:tcW w:w="1720" w:type="dxa"/>
            <w:tcBorders>
              <w:top w:val="nil"/>
              <w:left w:val="nil"/>
              <w:bottom w:val="single" w:color="auto" w:sz="4" w:space="0"/>
              <w:right w:val="single" w:color="auto" w:sz="4" w:space="0"/>
            </w:tcBorders>
            <w:noWrap w:val="0"/>
            <w:vAlign w:val="center"/>
          </w:tcPr>
          <w:p w14:paraId="08B09E54">
            <w:pPr>
              <w:jc w:val="center"/>
              <w:rPr>
                <w:rFonts w:ascii="宋体" w:hAnsi="宋体" w:cs="宋体"/>
                <w:color w:val="000000"/>
                <w:szCs w:val="21"/>
              </w:rPr>
            </w:pPr>
            <w:r>
              <w:rPr>
                <w:rFonts w:hint="eastAsia"/>
                <w:color w:val="000000"/>
                <w:szCs w:val="21"/>
              </w:rPr>
              <w:t>528</w:t>
            </w:r>
          </w:p>
        </w:tc>
        <w:tc>
          <w:tcPr>
            <w:tcW w:w="1540" w:type="dxa"/>
            <w:tcBorders>
              <w:top w:val="nil"/>
              <w:left w:val="nil"/>
              <w:bottom w:val="single" w:color="auto" w:sz="4" w:space="0"/>
              <w:right w:val="single" w:color="auto" w:sz="4" w:space="0"/>
            </w:tcBorders>
            <w:noWrap w:val="0"/>
            <w:vAlign w:val="center"/>
          </w:tcPr>
          <w:p w14:paraId="642CC083">
            <w:pPr>
              <w:jc w:val="center"/>
              <w:rPr>
                <w:rFonts w:ascii="宋体" w:hAnsi="宋体" w:cs="宋体"/>
                <w:color w:val="000000"/>
                <w:szCs w:val="21"/>
              </w:rPr>
            </w:pPr>
            <w:r>
              <w:rPr>
                <w:rFonts w:hint="eastAsia"/>
                <w:color w:val="000000"/>
                <w:szCs w:val="21"/>
              </w:rPr>
              <w:t>20.52</w:t>
            </w:r>
          </w:p>
        </w:tc>
        <w:tc>
          <w:tcPr>
            <w:tcW w:w="1540" w:type="dxa"/>
            <w:tcBorders>
              <w:top w:val="nil"/>
              <w:left w:val="nil"/>
              <w:bottom w:val="single" w:color="auto" w:sz="4" w:space="0"/>
              <w:right w:val="single" w:color="auto" w:sz="4" w:space="0"/>
            </w:tcBorders>
            <w:noWrap w:val="0"/>
            <w:vAlign w:val="center"/>
          </w:tcPr>
          <w:p w14:paraId="75ED29CA">
            <w:pPr>
              <w:jc w:val="center"/>
              <w:rPr>
                <w:rFonts w:ascii="宋体" w:hAnsi="宋体" w:cs="宋体"/>
                <w:color w:val="000000"/>
                <w:szCs w:val="21"/>
              </w:rPr>
            </w:pPr>
            <w:r>
              <w:rPr>
                <w:rFonts w:hint="eastAsia"/>
                <w:color w:val="000000"/>
                <w:szCs w:val="21"/>
              </w:rPr>
              <w:t>6.87</w:t>
            </w:r>
          </w:p>
        </w:tc>
        <w:tc>
          <w:tcPr>
            <w:tcW w:w="1540" w:type="dxa"/>
            <w:tcBorders>
              <w:top w:val="nil"/>
              <w:left w:val="nil"/>
              <w:bottom w:val="single" w:color="auto" w:sz="4" w:space="0"/>
              <w:right w:val="single" w:color="auto" w:sz="4" w:space="0"/>
            </w:tcBorders>
            <w:noWrap w:val="0"/>
            <w:vAlign w:val="center"/>
          </w:tcPr>
          <w:p w14:paraId="28A4D080">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w:t>
            </w:r>
          </w:p>
        </w:tc>
      </w:tr>
      <w:tr w14:paraId="3DDC0675">
        <w:tblPrEx>
          <w:tblCellMar>
            <w:top w:w="0" w:type="dxa"/>
            <w:left w:w="108" w:type="dxa"/>
            <w:bottom w:w="0" w:type="dxa"/>
            <w:right w:w="108" w:type="dxa"/>
          </w:tblCellMar>
        </w:tblPrEx>
        <w:trPr>
          <w:wBefore w:w="0" w:type="dxa"/>
          <w:wAfter w:w="0" w:type="dxa"/>
          <w:trHeight w:val="512" w:hRule="atLeast"/>
        </w:trPr>
        <w:tc>
          <w:tcPr>
            <w:tcW w:w="2400" w:type="dxa"/>
            <w:tcBorders>
              <w:top w:val="nil"/>
              <w:left w:val="single" w:color="auto" w:sz="4" w:space="0"/>
              <w:bottom w:val="single" w:color="auto" w:sz="4" w:space="0"/>
              <w:right w:val="single" w:color="auto" w:sz="4" w:space="0"/>
            </w:tcBorders>
            <w:noWrap w:val="0"/>
            <w:vAlign w:val="center"/>
          </w:tcPr>
          <w:p w14:paraId="319AA853">
            <w:pPr>
              <w:jc w:val="center"/>
              <w:rPr>
                <w:rFonts w:ascii="宋体" w:hAnsi="宋体" w:cs="宋体"/>
                <w:color w:val="000000"/>
                <w:szCs w:val="21"/>
              </w:rPr>
            </w:pPr>
            <w:r>
              <w:rPr>
                <w:rFonts w:hint="eastAsia"/>
                <w:color w:val="000000"/>
                <w:szCs w:val="21"/>
              </w:rPr>
              <w:t>餐馆服务</w:t>
            </w:r>
          </w:p>
        </w:tc>
        <w:tc>
          <w:tcPr>
            <w:tcW w:w="1720" w:type="dxa"/>
            <w:tcBorders>
              <w:top w:val="nil"/>
              <w:left w:val="nil"/>
              <w:bottom w:val="single" w:color="auto" w:sz="4" w:space="0"/>
              <w:right w:val="single" w:color="auto" w:sz="4" w:space="0"/>
            </w:tcBorders>
            <w:noWrap w:val="0"/>
            <w:vAlign w:val="center"/>
          </w:tcPr>
          <w:p w14:paraId="3D283021">
            <w:pPr>
              <w:jc w:val="center"/>
              <w:rPr>
                <w:rFonts w:ascii="宋体" w:hAnsi="宋体" w:cs="宋体"/>
                <w:color w:val="000000"/>
                <w:szCs w:val="21"/>
              </w:rPr>
            </w:pPr>
            <w:r>
              <w:rPr>
                <w:rFonts w:hint="eastAsia"/>
                <w:color w:val="000000"/>
                <w:szCs w:val="21"/>
              </w:rPr>
              <w:t>371</w:t>
            </w:r>
          </w:p>
        </w:tc>
        <w:tc>
          <w:tcPr>
            <w:tcW w:w="1540" w:type="dxa"/>
            <w:tcBorders>
              <w:top w:val="nil"/>
              <w:left w:val="nil"/>
              <w:bottom w:val="single" w:color="auto" w:sz="4" w:space="0"/>
              <w:right w:val="single" w:color="auto" w:sz="4" w:space="0"/>
            </w:tcBorders>
            <w:noWrap w:val="0"/>
            <w:vAlign w:val="center"/>
          </w:tcPr>
          <w:p w14:paraId="6588471C">
            <w:pPr>
              <w:jc w:val="center"/>
              <w:rPr>
                <w:rFonts w:ascii="宋体" w:hAnsi="宋体" w:cs="宋体"/>
                <w:color w:val="000000"/>
                <w:szCs w:val="21"/>
              </w:rPr>
            </w:pPr>
            <w:r>
              <w:rPr>
                <w:rFonts w:hint="eastAsia"/>
                <w:color w:val="000000"/>
                <w:szCs w:val="21"/>
              </w:rPr>
              <w:t>14.42</w:t>
            </w:r>
          </w:p>
        </w:tc>
        <w:tc>
          <w:tcPr>
            <w:tcW w:w="1540" w:type="dxa"/>
            <w:tcBorders>
              <w:top w:val="nil"/>
              <w:left w:val="nil"/>
              <w:bottom w:val="single" w:color="auto" w:sz="4" w:space="0"/>
              <w:right w:val="single" w:color="auto" w:sz="4" w:space="0"/>
            </w:tcBorders>
            <w:noWrap w:val="0"/>
            <w:vAlign w:val="center"/>
          </w:tcPr>
          <w:p w14:paraId="26D8AB3F">
            <w:pPr>
              <w:jc w:val="center"/>
              <w:rPr>
                <w:rFonts w:ascii="宋体" w:hAnsi="宋体" w:cs="宋体"/>
                <w:color w:val="000000"/>
                <w:szCs w:val="21"/>
              </w:rPr>
            </w:pPr>
            <w:r>
              <w:rPr>
                <w:rFonts w:hint="eastAsia"/>
                <w:color w:val="000000"/>
                <w:szCs w:val="21"/>
              </w:rPr>
              <w:t>4.83</w:t>
            </w:r>
          </w:p>
        </w:tc>
        <w:tc>
          <w:tcPr>
            <w:tcW w:w="1540" w:type="dxa"/>
            <w:tcBorders>
              <w:top w:val="nil"/>
              <w:left w:val="nil"/>
              <w:bottom w:val="single" w:color="auto" w:sz="4" w:space="0"/>
              <w:right w:val="single" w:color="auto" w:sz="4" w:space="0"/>
            </w:tcBorders>
            <w:noWrap w:val="0"/>
            <w:vAlign w:val="center"/>
          </w:tcPr>
          <w:p w14:paraId="11D33E0D">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2</w:t>
            </w:r>
          </w:p>
        </w:tc>
      </w:tr>
      <w:tr w14:paraId="18B48F52">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1BECFE4C">
            <w:pPr>
              <w:jc w:val="center"/>
              <w:rPr>
                <w:rFonts w:ascii="宋体" w:hAnsi="宋体" w:cs="宋体"/>
                <w:color w:val="000000"/>
                <w:szCs w:val="21"/>
              </w:rPr>
            </w:pPr>
            <w:r>
              <w:rPr>
                <w:rFonts w:hint="eastAsia"/>
                <w:color w:val="000000"/>
                <w:szCs w:val="21"/>
              </w:rPr>
              <w:t>便携式计算机</w:t>
            </w:r>
          </w:p>
        </w:tc>
        <w:tc>
          <w:tcPr>
            <w:tcW w:w="1720" w:type="dxa"/>
            <w:tcBorders>
              <w:top w:val="nil"/>
              <w:left w:val="nil"/>
              <w:bottom w:val="single" w:color="auto" w:sz="4" w:space="0"/>
              <w:right w:val="single" w:color="auto" w:sz="4" w:space="0"/>
            </w:tcBorders>
            <w:noWrap w:val="0"/>
            <w:vAlign w:val="center"/>
          </w:tcPr>
          <w:p w14:paraId="6C750468">
            <w:pPr>
              <w:jc w:val="center"/>
              <w:rPr>
                <w:rFonts w:ascii="宋体" w:hAnsi="宋体" w:cs="宋体"/>
                <w:color w:val="000000"/>
                <w:szCs w:val="21"/>
              </w:rPr>
            </w:pPr>
            <w:r>
              <w:rPr>
                <w:rFonts w:hint="eastAsia"/>
                <w:color w:val="000000"/>
                <w:szCs w:val="21"/>
              </w:rPr>
              <w:t>285</w:t>
            </w:r>
          </w:p>
        </w:tc>
        <w:tc>
          <w:tcPr>
            <w:tcW w:w="1540" w:type="dxa"/>
            <w:tcBorders>
              <w:top w:val="nil"/>
              <w:left w:val="nil"/>
              <w:bottom w:val="single" w:color="auto" w:sz="4" w:space="0"/>
              <w:right w:val="single" w:color="auto" w:sz="4" w:space="0"/>
            </w:tcBorders>
            <w:noWrap w:val="0"/>
            <w:vAlign w:val="center"/>
          </w:tcPr>
          <w:p w14:paraId="3840BEF4">
            <w:pPr>
              <w:jc w:val="center"/>
              <w:rPr>
                <w:rFonts w:ascii="宋体" w:hAnsi="宋体" w:cs="宋体"/>
                <w:color w:val="000000"/>
                <w:szCs w:val="21"/>
              </w:rPr>
            </w:pPr>
            <w:r>
              <w:rPr>
                <w:rFonts w:hint="eastAsia"/>
                <w:color w:val="000000"/>
                <w:szCs w:val="21"/>
              </w:rPr>
              <w:t>11.08</w:t>
            </w:r>
          </w:p>
        </w:tc>
        <w:tc>
          <w:tcPr>
            <w:tcW w:w="1540" w:type="dxa"/>
            <w:tcBorders>
              <w:top w:val="nil"/>
              <w:left w:val="nil"/>
              <w:bottom w:val="single" w:color="auto" w:sz="4" w:space="0"/>
              <w:right w:val="single" w:color="auto" w:sz="4" w:space="0"/>
            </w:tcBorders>
            <w:noWrap w:val="0"/>
            <w:vAlign w:val="center"/>
          </w:tcPr>
          <w:p w14:paraId="0F3217B6">
            <w:pPr>
              <w:jc w:val="center"/>
              <w:rPr>
                <w:rFonts w:ascii="宋体" w:hAnsi="宋体" w:cs="宋体"/>
                <w:color w:val="000000"/>
                <w:szCs w:val="21"/>
              </w:rPr>
            </w:pPr>
            <w:r>
              <w:rPr>
                <w:rFonts w:hint="eastAsia"/>
                <w:color w:val="000000"/>
                <w:szCs w:val="21"/>
              </w:rPr>
              <w:t>3.71</w:t>
            </w:r>
          </w:p>
        </w:tc>
        <w:tc>
          <w:tcPr>
            <w:tcW w:w="1540" w:type="dxa"/>
            <w:tcBorders>
              <w:top w:val="nil"/>
              <w:left w:val="nil"/>
              <w:bottom w:val="single" w:color="auto" w:sz="4" w:space="0"/>
              <w:right w:val="single" w:color="auto" w:sz="4" w:space="0"/>
            </w:tcBorders>
            <w:noWrap w:val="0"/>
            <w:vAlign w:val="center"/>
          </w:tcPr>
          <w:p w14:paraId="719F807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3</w:t>
            </w:r>
          </w:p>
        </w:tc>
      </w:tr>
      <w:tr w14:paraId="7F3BE2BF">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78E406C3">
            <w:pPr>
              <w:jc w:val="center"/>
              <w:rPr>
                <w:rFonts w:ascii="宋体" w:hAnsi="宋体" w:cs="宋体"/>
                <w:color w:val="000000"/>
                <w:szCs w:val="21"/>
              </w:rPr>
            </w:pPr>
            <w:r>
              <w:rPr>
                <w:rFonts w:hint="eastAsia"/>
                <w:color w:val="000000"/>
                <w:szCs w:val="21"/>
              </w:rPr>
              <w:t>手持移动电话（手机）</w:t>
            </w:r>
          </w:p>
        </w:tc>
        <w:tc>
          <w:tcPr>
            <w:tcW w:w="1720" w:type="dxa"/>
            <w:tcBorders>
              <w:top w:val="nil"/>
              <w:left w:val="nil"/>
              <w:bottom w:val="single" w:color="auto" w:sz="4" w:space="0"/>
              <w:right w:val="single" w:color="auto" w:sz="4" w:space="0"/>
            </w:tcBorders>
            <w:noWrap w:val="0"/>
            <w:vAlign w:val="center"/>
          </w:tcPr>
          <w:p w14:paraId="4CE3A012">
            <w:pPr>
              <w:jc w:val="center"/>
              <w:rPr>
                <w:rFonts w:ascii="宋体" w:hAnsi="宋体" w:cs="宋体"/>
                <w:color w:val="000000"/>
                <w:szCs w:val="21"/>
              </w:rPr>
            </w:pPr>
            <w:r>
              <w:rPr>
                <w:rFonts w:hint="eastAsia"/>
                <w:color w:val="000000"/>
                <w:szCs w:val="21"/>
              </w:rPr>
              <w:t>244</w:t>
            </w:r>
          </w:p>
        </w:tc>
        <w:tc>
          <w:tcPr>
            <w:tcW w:w="1540" w:type="dxa"/>
            <w:tcBorders>
              <w:top w:val="nil"/>
              <w:left w:val="nil"/>
              <w:bottom w:val="single" w:color="auto" w:sz="4" w:space="0"/>
              <w:right w:val="single" w:color="auto" w:sz="4" w:space="0"/>
            </w:tcBorders>
            <w:noWrap w:val="0"/>
            <w:vAlign w:val="center"/>
          </w:tcPr>
          <w:p w14:paraId="19DBD2DB">
            <w:pPr>
              <w:jc w:val="center"/>
              <w:rPr>
                <w:rFonts w:ascii="宋体" w:hAnsi="宋体" w:cs="宋体"/>
                <w:color w:val="000000"/>
                <w:szCs w:val="21"/>
              </w:rPr>
            </w:pPr>
            <w:r>
              <w:rPr>
                <w:rFonts w:hint="eastAsia"/>
                <w:color w:val="000000"/>
                <w:szCs w:val="21"/>
              </w:rPr>
              <w:t>9.48</w:t>
            </w:r>
          </w:p>
        </w:tc>
        <w:tc>
          <w:tcPr>
            <w:tcW w:w="1540" w:type="dxa"/>
            <w:tcBorders>
              <w:top w:val="nil"/>
              <w:left w:val="nil"/>
              <w:bottom w:val="single" w:color="auto" w:sz="4" w:space="0"/>
              <w:right w:val="single" w:color="auto" w:sz="4" w:space="0"/>
            </w:tcBorders>
            <w:noWrap w:val="0"/>
            <w:vAlign w:val="center"/>
          </w:tcPr>
          <w:p w14:paraId="1C5F3481">
            <w:pPr>
              <w:jc w:val="center"/>
              <w:rPr>
                <w:rFonts w:ascii="宋体" w:hAnsi="宋体" w:cs="宋体"/>
                <w:color w:val="000000"/>
                <w:szCs w:val="21"/>
              </w:rPr>
            </w:pPr>
            <w:r>
              <w:rPr>
                <w:rFonts w:hint="eastAsia"/>
                <w:color w:val="000000"/>
                <w:szCs w:val="21"/>
              </w:rPr>
              <w:t>3.18</w:t>
            </w:r>
          </w:p>
        </w:tc>
        <w:tc>
          <w:tcPr>
            <w:tcW w:w="1540" w:type="dxa"/>
            <w:tcBorders>
              <w:top w:val="nil"/>
              <w:left w:val="nil"/>
              <w:bottom w:val="single" w:color="auto" w:sz="4" w:space="0"/>
              <w:right w:val="single" w:color="auto" w:sz="4" w:space="0"/>
            </w:tcBorders>
            <w:noWrap w:val="0"/>
            <w:vAlign w:val="center"/>
          </w:tcPr>
          <w:p w14:paraId="71E0FC81">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4</w:t>
            </w:r>
          </w:p>
        </w:tc>
      </w:tr>
      <w:tr w14:paraId="7B92CB0F">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792B06EE">
            <w:pPr>
              <w:jc w:val="center"/>
              <w:rPr>
                <w:rFonts w:ascii="宋体" w:hAnsi="宋体" w:cs="宋体"/>
                <w:color w:val="000000"/>
                <w:szCs w:val="21"/>
              </w:rPr>
            </w:pPr>
            <w:r>
              <w:rPr>
                <w:rFonts w:hint="eastAsia"/>
                <w:color w:val="000000"/>
                <w:szCs w:val="21"/>
              </w:rPr>
              <w:t>其他移动电话服务</w:t>
            </w:r>
          </w:p>
        </w:tc>
        <w:tc>
          <w:tcPr>
            <w:tcW w:w="1720" w:type="dxa"/>
            <w:tcBorders>
              <w:top w:val="nil"/>
              <w:left w:val="nil"/>
              <w:bottom w:val="single" w:color="auto" w:sz="4" w:space="0"/>
              <w:right w:val="single" w:color="auto" w:sz="4" w:space="0"/>
            </w:tcBorders>
            <w:noWrap w:val="0"/>
            <w:vAlign w:val="center"/>
          </w:tcPr>
          <w:p w14:paraId="1C517576">
            <w:pPr>
              <w:jc w:val="center"/>
              <w:rPr>
                <w:rFonts w:ascii="宋体" w:hAnsi="宋体" w:cs="宋体"/>
                <w:color w:val="000000"/>
                <w:szCs w:val="21"/>
              </w:rPr>
            </w:pPr>
            <w:r>
              <w:rPr>
                <w:rFonts w:hint="eastAsia"/>
                <w:color w:val="000000"/>
                <w:szCs w:val="21"/>
              </w:rPr>
              <w:t>232</w:t>
            </w:r>
          </w:p>
        </w:tc>
        <w:tc>
          <w:tcPr>
            <w:tcW w:w="1540" w:type="dxa"/>
            <w:tcBorders>
              <w:top w:val="nil"/>
              <w:left w:val="nil"/>
              <w:bottom w:val="single" w:color="auto" w:sz="4" w:space="0"/>
              <w:right w:val="single" w:color="auto" w:sz="4" w:space="0"/>
            </w:tcBorders>
            <w:noWrap w:val="0"/>
            <w:vAlign w:val="center"/>
          </w:tcPr>
          <w:p w14:paraId="6ACE6D8A">
            <w:pPr>
              <w:jc w:val="center"/>
              <w:rPr>
                <w:rFonts w:ascii="宋体" w:hAnsi="宋体" w:cs="宋体"/>
                <w:color w:val="000000"/>
                <w:szCs w:val="21"/>
              </w:rPr>
            </w:pPr>
            <w:r>
              <w:rPr>
                <w:rFonts w:hint="eastAsia"/>
                <w:color w:val="000000"/>
                <w:szCs w:val="21"/>
              </w:rPr>
              <w:t>9.02</w:t>
            </w:r>
          </w:p>
        </w:tc>
        <w:tc>
          <w:tcPr>
            <w:tcW w:w="1540" w:type="dxa"/>
            <w:tcBorders>
              <w:top w:val="nil"/>
              <w:left w:val="nil"/>
              <w:bottom w:val="single" w:color="auto" w:sz="4" w:space="0"/>
              <w:right w:val="single" w:color="auto" w:sz="4" w:space="0"/>
            </w:tcBorders>
            <w:noWrap w:val="0"/>
            <w:vAlign w:val="center"/>
          </w:tcPr>
          <w:p w14:paraId="3A5414BD">
            <w:pPr>
              <w:jc w:val="center"/>
              <w:rPr>
                <w:rFonts w:ascii="宋体" w:hAnsi="宋体" w:cs="宋体"/>
                <w:color w:val="000000"/>
                <w:szCs w:val="21"/>
              </w:rPr>
            </w:pPr>
            <w:r>
              <w:rPr>
                <w:rFonts w:hint="eastAsia"/>
                <w:color w:val="000000"/>
                <w:szCs w:val="21"/>
              </w:rPr>
              <w:t>3.02</w:t>
            </w:r>
          </w:p>
        </w:tc>
        <w:tc>
          <w:tcPr>
            <w:tcW w:w="1540" w:type="dxa"/>
            <w:tcBorders>
              <w:top w:val="nil"/>
              <w:left w:val="nil"/>
              <w:bottom w:val="single" w:color="auto" w:sz="4" w:space="0"/>
              <w:right w:val="single" w:color="auto" w:sz="4" w:space="0"/>
            </w:tcBorders>
            <w:noWrap w:val="0"/>
            <w:vAlign w:val="center"/>
          </w:tcPr>
          <w:p w14:paraId="61D07DA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5</w:t>
            </w:r>
          </w:p>
        </w:tc>
      </w:tr>
      <w:tr w14:paraId="0459D2A0">
        <w:tblPrEx>
          <w:tblCellMar>
            <w:top w:w="0" w:type="dxa"/>
            <w:left w:w="108" w:type="dxa"/>
            <w:bottom w:w="0" w:type="dxa"/>
            <w:right w:w="108" w:type="dxa"/>
          </w:tblCellMar>
        </w:tblPrEx>
        <w:trPr>
          <w:wBefore w:w="0" w:type="dxa"/>
          <w:wAfter w:w="0" w:type="dxa"/>
          <w:trHeight w:val="521" w:hRule="atLeast"/>
        </w:trPr>
        <w:tc>
          <w:tcPr>
            <w:tcW w:w="2400" w:type="dxa"/>
            <w:tcBorders>
              <w:top w:val="nil"/>
              <w:left w:val="single" w:color="auto" w:sz="4" w:space="0"/>
              <w:bottom w:val="single" w:color="auto" w:sz="4" w:space="0"/>
              <w:right w:val="single" w:color="auto" w:sz="4" w:space="0"/>
            </w:tcBorders>
            <w:noWrap w:val="0"/>
            <w:vAlign w:val="center"/>
          </w:tcPr>
          <w:p w14:paraId="4A5EEFF0">
            <w:pPr>
              <w:jc w:val="center"/>
              <w:rPr>
                <w:rFonts w:ascii="宋体" w:hAnsi="宋体" w:cs="宋体"/>
                <w:color w:val="000000"/>
                <w:szCs w:val="21"/>
              </w:rPr>
            </w:pPr>
            <w:r>
              <w:rPr>
                <w:rFonts w:hint="eastAsia"/>
                <w:color w:val="000000"/>
                <w:szCs w:val="21"/>
              </w:rPr>
              <w:t>房屋租赁中介服务</w:t>
            </w:r>
          </w:p>
        </w:tc>
        <w:tc>
          <w:tcPr>
            <w:tcW w:w="1720" w:type="dxa"/>
            <w:tcBorders>
              <w:top w:val="nil"/>
              <w:left w:val="nil"/>
              <w:bottom w:val="single" w:color="auto" w:sz="4" w:space="0"/>
              <w:right w:val="single" w:color="auto" w:sz="4" w:space="0"/>
            </w:tcBorders>
            <w:noWrap w:val="0"/>
            <w:vAlign w:val="center"/>
          </w:tcPr>
          <w:p w14:paraId="0F64F2BB">
            <w:pPr>
              <w:jc w:val="center"/>
              <w:rPr>
                <w:rFonts w:ascii="宋体" w:hAnsi="宋体" w:cs="宋体"/>
                <w:color w:val="000000"/>
                <w:szCs w:val="21"/>
              </w:rPr>
            </w:pPr>
            <w:r>
              <w:rPr>
                <w:rFonts w:hint="eastAsia"/>
                <w:color w:val="000000"/>
                <w:szCs w:val="21"/>
              </w:rPr>
              <w:t>222</w:t>
            </w:r>
          </w:p>
        </w:tc>
        <w:tc>
          <w:tcPr>
            <w:tcW w:w="1540" w:type="dxa"/>
            <w:tcBorders>
              <w:top w:val="nil"/>
              <w:left w:val="nil"/>
              <w:bottom w:val="single" w:color="auto" w:sz="4" w:space="0"/>
              <w:right w:val="single" w:color="auto" w:sz="4" w:space="0"/>
            </w:tcBorders>
            <w:noWrap w:val="0"/>
            <w:vAlign w:val="center"/>
          </w:tcPr>
          <w:p w14:paraId="022ED45F">
            <w:pPr>
              <w:jc w:val="center"/>
              <w:rPr>
                <w:rFonts w:ascii="宋体" w:hAnsi="宋体" w:cs="宋体"/>
                <w:color w:val="000000"/>
                <w:szCs w:val="21"/>
              </w:rPr>
            </w:pPr>
            <w:r>
              <w:rPr>
                <w:rFonts w:hint="eastAsia"/>
                <w:color w:val="000000"/>
                <w:szCs w:val="21"/>
              </w:rPr>
              <w:t>8.63</w:t>
            </w:r>
          </w:p>
        </w:tc>
        <w:tc>
          <w:tcPr>
            <w:tcW w:w="1540" w:type="dxa"/>
            <w:tcBorders>
              <w:top w:val="nil"/>
              <w:left w:val="nil"/>
              <w:bottom w:val="single" w:color="auto" w:sz="4" w:space="0"/>
              <w:right w:val="single" w:color="auto" w:sz="4" w:space="0"/>
            </w:tcBorders>
            <w:noWrap w:val="0"/>
            <w:vAlign w:val="center"/>
          </w:tcPr>
          <w:p w14:paraId="34294660">
            <w:pPr>
              <w:jc w:val="center"/>
              <w:rPr>
                <w:rFonts w:ascii="宋体" w:hAnsi="宋体" w:cs="宋体"/>
                <w:color w:val="000000"/>
                <w:szCs w:val="21"/>
              </w:rPr>
            </w:pPr>
            <w:r>
              <w:rPr>
                <w:rFonts w:hint="eastAsia"/>
                <w:color w:val="000000"/>
                <w:szCs w:val="21"/>
              </w:rPr>
              <w:t>2.89</w:t>
            </w:r>
          </w:p>
        </w:tc>
        <w:tc>
          <w:tcPr>
            <w:tcW w:w="1540" w:type="dxa"/>
            <w:tcBorders>
              <w:top w:val="nil"/>
              <w:left w:val="nil"/>
              <w:bottom w:val="single" w:color="auto" w:sz="4" w:space="0"/>
              <w:right w:val="single" w:color="auto" w:sz="4" w:space="0"/>
            </w:tcBorders>
            <w:noWrap w:val="0"/>
            <w:vAlign w:val="center"/>
          </w:tcPr>
          <w:p w14:paraId="36843E2C">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6</w:t>
            </w:r>
          </w:p>
        </w:tc>
      </w:tr>
      <w:tr w14:paraId="694C5F9A">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1DE1E17E">
            <w:pPr>
              <w:jc w:val="center"/>
              <w:rPr>
                <w:rFonts w:ascii="宋体" w:hAnsi="宋体" w:cs="宋体"/>
                <w:color w:val="000000"/>
                <w:szCs w:val="21"/>
              </w:rPr>
            </w:pPr>
            <w:r>
              <w:rPr>
                <w:rFonts w:hint="eastAsia"/>
                <w:color w:val="000000"/>
                <w:szCs w:val="21"/>
              </w:rPr>
              <w:t>普通乘用车</w:t>
            </w:r>
          </w:p>
        </w:tc>
        <w:tc>
          <w:tcPr>
            <w:tcW w:w="1720" w:type="dxa"/>
            <w:tcBorders>
              <w:top w:val="nil"/>
              <w:left w:val="nil"/>
              <w:bottom w:val="single" w:color="auto" w:sz="4" w:space="0"/>
              <w:right w:val="single" w:color="auto" w:sz="4" w:space="0"/>
            </w:tcBorders>
            <w:noWrap w:val="0"/>
            <w:vAlign w:val="center"/>
          </w:tcPr>
          <w:p w14:paraId="16703C4B">
            <w:pPr>
              <w:jc w:val="center"/>
              <w:rPr>
                <w:rFonts w:ascii="宋体" w:hAnsi="宋体" w:cs="宋体"/>
                <w:color w:val="000000"/>
                <w:szCs w:val="21"/>
              </w:rPr>
            </w:pPr>
            <w:r>
              <w:rPr>
                <w:rFonts w:hint="eastAsia"/>
                <w:color w:val="000000"/>
                <w:szCs w:val="21"/>
              </w:rPr>
              <w:t>190</w:t>
            </w:r>
          </w:p>
        </w:tc>
        <w:tc>
          <w:tcPr>
            <w:tcW w:w="1540" w:type="dxa"/>
            <w:tcBorders>
              <w:top w:val="nil"/>
              <w:left w:val="nil"/>
              <w:bottom w:val="single" w:color="auto" w:sz="4" w:space="0"/>
              <w:right w:val="single" w:color="auto" w:sz="4" w:space="0"/>
            </w:tcBorders>
            <w:noWrap w:val="0"/>
            <w:vAlign w:val="center"/>
          </w:tcPr>
          <w:p w14:paraId="1E947517">
            <w:pPr>
              <w:jc w:val="center"/>
              <w:rPr>
                <w:rFonts w:ascii="宋体" w:hAnsi="宋体" w:cs="宋体"/>
                <w:color w:val="000000"/>
                <w:szCs w:val="21"/>
              </w:rPr>
            </w:pPr>
            <w:r>
              <w:rPr>
                <w:rFonts w:hint="eastAsia"/>
                <w:color w:val="000000"/>
                <w:szCs w:val="21"/>
              </w:rPr>
              <w:t>7.38</w:t>
            </w:r>
          </w:p>
        </w:tc>
        <w:tc>
          <w:tcPr>
            <w:tcW w:w="1540" w:type="dxa"/>
            <w:tcBorders>
              <w:top w:val="nil"/>
              <w:left w:val="nil"/>
              <w:bottom w:val="single" w:color="auto" w:sz="4" w:space="0"/>
              <w:right w:val="single" w:color="auto" w:sz="4" w:space="0"/>
            </w:tcBorders>
            <w:noWrap w:val="0"/>
            <w:vAlign w:val="center"/>
          </w:tcPr>
          <w:p w14:paraId="69789274">
            <w:pPr>
              <w:jc w:val="center"/>
              <w:rPr>
                <w:rFonts w:ascii="宋体" w:hAnsi="宋体" w:cs="宋体"/>
                <w:color w:val="000000"/>
                <w:szCs w:val="21"/>
              </w:rPr>
            </w:pPr>
            <w:r>
              <w:rPr>
                <w:rFonts w:hint="eastAsia"/>
                <w:color w:val="000000"/>
                <w:szCs w:val="21"/>
              </w:rPr>
              <w:t>2.47</w:t>
            </w:r>
          </w:p>
        </w:tc>
        <w:tc>
          <w:tcPr>
            <w:tcW w:w="1540" w:type="dxa"/>
            <w:tcBorders>
              <w:top w:val="nil"/>
              <w:left w:val="nil"/>
              <w:bottom w:val="single" w:color="auto" w:sz="4" w:space="0"/>
              <w:right w:val="single" w:color="auto" w:sz="4" w:space="0"/>
            </w:tcBorders>
            <w:noWrap w:val="0"/>
            <w:vAlign w:val="center"/>
          </w:tcPr>
          <w:p w14:paraId="3008EF22">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7</w:t>
            </w:r>
          </w:p>
        </w:tc>
      </w:tr>
      <w:tr w14:paraId="51514997">
        <w:tblPrEx>
          <w:tblCellMar>
            <w:top w:w="0" w:type="dxa"/>
            <w:left w:w="108" w:type="dxa"/>
            <w:bottom w:w="0" w:type="dxa"/>
            <w:right w:w="108" w:type="dxa"/>
          </w:tblCellMar>
        </w:tblPrEx>
        <w:trPr>
          <w:wBefore w:w="0" w:type="dxa"/>
          <w:wAfter w:w="0" w:type="dxa"/>
          <w:trHeight w:val="333" w:hRule="atLeast"/>
        </w:trPr>
        <w:tc>
          <w:tcPr>
            <w:tcW w:w="2400" w:type="dxa"/>
            <w:tcBorders>
              <w:top w:val="nil"/>
              <w:left w:val="single" w:color="auto" w:sz="4" w:space="0"/>
              <w:bottom w:val="single" w:color="auto" w:sz="4" w:space="0"/>
              <w:right w:val="single" w:color="auto" w:sz="4" w:space="0"/>
            </w:tcBorders>
            <w:noWrap w:val="0"/>
            <w:vAlign w:val="center"/>
          </w:tcPr>
          <w:p w14:paraId="4C58CDDC">
            <w:pPr>
              <w:jc w:val="center"/>
              <w:rPr>
                <w:rFonts w:ascii="宋体" w:hAnsi="宋体" w:cs="宋体"/>
                <w:color w:val="000000"/>
                <w:szCs w:val="21"/>
              </w:rPr>
            </w:pPr>
            <w:r>
              <w:rPr>
                <w:rFonts w:hint="eastAsia"/>
                <w:color w:val="000000"/>
                <w:szCs w:val="21"/>
              </w:rPr>
              <w:t>宾馆住宿服务</w:t>
            </w:r>
          </w:p>
        </w:tc>
        <w:tc>
          <w:tcPr>
            <w:tcW w:w="1720" w:type="dxa"/>
            <w:tcBorders>
              <w:top w:val="nil"/>
              <w:left w:val="nil"/>
              <w:bottom w:val="single" w:color="auto" w:sz="4" w:space="0"/>
              <w:right w:val="single" w:color="auto" w:sz="4" w:space="0"/>
            </w:tcBorders>
            <w:noWrap w:val="0"/>
            <w:vAlign w:val="center"/>
          </w:tcPr>
          <w:p w14:paraId="21F1E7EF">
            <w:pPr>
              <w:jc w:val="center"/>
              <w:rPr>
                <w:rFonts w:ascii="宋体" w:hAnsi="宋体" w:cs="宋体"/>
                <w:color w:val="000000"/>
                <w:szCs w:val="21"/>
              </w:rPr>
            </w:pPr>
            <w:r>
              <w:rPr>
                <w:rFonts w:hint="eastAsia"/>
                <w:color w:val="000000"/>
                <w:szCs w:val="21"/>
              </w:rPr>
              <w:t>188</w:t>
            </w:r>
          </w:p>
        </w:tc>
        <w:tc>
          <w:tcPr>
            <w:tcW w:w="1540" w:type="dxa"/>
            <w:tcBorders>
              <w:top w:val="nil"/>
              <w:left w:val="nil"/>
              <w:bottom w:val="single" w:color="auto" w:sz="4" w:space="0"/>
              <w:right w:val="single" w:color="auto" w:sz="4" w:space="0"/>
            </w:tcBorders>
            <w:noWrap w:val="0"/>
            <w:vAlign w:val="center"/>
          </w:tcPr>
          <w:p w14:paraId="7C1151AC">
            <w:pPr>
              <w:jc w:val="center"/>
              <w:rPr>
                <w:rFonts w:ascii="宋体" w:hAnsi="宋体" w:cs="宋体"/>
                <w:color w:val="000000"/>
                <w:szCs w:val="21"/>
              </w:rPr>
            </w:pPr>
            <w:r>
              <w:rPr>
                <w:rFonts w:hint="eastAsia"/>
                <w:color w:val="000000"/>
                <w:szCs w:val="21"/>
              </w:rPr>
              <w:t>7.31</w:t>
            </w:r>
          </w:p>
        </w:tc>
        <w:tc>
          <w:tcPr>
            <w:tcW w:w="1540" w:type="dxa"/>
            <w:tcBorders>
              <w:top w:val="nil"/>
              <w:left w:val="nil"/>
              <w:bottom w:val="single" w:color="auto" w:sz="4" w:space="0"/>
              <w:right w:val="single" w:color="auto" w:sz="4" w:space="0"/>
            </w:tcBorders>
            <w:noWrap w:val="0"/>
            <w:vAlign w:val="center"/>
          </w:tcPr>
          <w:p w14:paraId="716AF219">
            <w:pPr>
              <w:jc w:val="center"/>
              <w:rPr>
                <w:rFonts w:ascii="宋体" w:hAnsi="宋体" w:cs="宋体"/>
                <w:color w:val="000000"/>
                <w:szCs w:val="21"/>
              </w:rPr>
            </w:pPr>
            <w:r>
              <w:rPr>
                <w:rFonts w:hint="eastAsia"/>
                <w:color w:val="000000"/>
                <w:szCs w:val="21"/>
              </w:rPr>
              <w:t>2.45</w:t>
            </w:r>
          </w:p>
        </w:tc>
        <w:tc>
          <w:tcPr>
            <w:tcW w:w="1540" w:type="dxa"/>
            <w:tcBorders>
              <w:top w:val="nil"/>
              <w:left w:val="nil"/>
              <w:bottom w:val="single" w:color="auto" w:sz="4" w:space="0"/>
              <w:right w:val="single" w:color="auto" w:sz="4" w:space="0"/>
            </w:tcBorders>
            <w:noWrap w:val="0"/>
            <w:vAlign w:val="center"/>
          </w:tcPr>
          <w:p w14:paraId="5409B24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8</w:t>
            </w:r>
          </w:p>
        </w:tc>
      </w:tr>
      <w:tr w14:paraId="5C60D144">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2E2107F5">
            <w:pPr>
              <w:jc w:val="center"/>
              <w:rPr>
                <w:rFonts w:ascii="宋体" w:hAnsi="宋体" w:cs="宋体"/>
                <w:color w:val="000000"/>
                <w:szCs w:val="21"/>
              </w:rPr>
            </w:pPr>
            <w:r>
              <w:rPr>
                <w:rFonts w:hint="eastAsia"/>
                <w:color w:val="000000"/>
                <w:szCs w:val="21"/>
              </w:rPr>
              <w:t>室内运动场服务</w:t>
            </w:r>
          </w:p>
        </w:tc>
        <w:tc>
          <w:tcPr>
            <w:tcW w:w="1720" w:type="dxa"/>
            <w:tcBorders>
              <w:top w:val="nil"/>
              <w:left w:val="nil"/>
              <w:bottom w:val="single" w:color="auto" w:sz="4" w:space="0"/>
              <w:right w:val="single" w:color="auto" w:sz="4" w:space="0"/>
            </w:tcBorders>
            <w:noWrap w:val="0"/>
            <w:vAlign w:val="center"/>
          </w:tcPr>
          <w:p w14:paraId="7B667857">
            <w:pPr>
              <w:jc w:val="center"/>
              <w:rPr>
                <w:rFonts w:ascii="宋体" w:hAnsi="宋体" w:cs="宋体"/>
                <w:color w:val="000000"/>
                <w:szCs w:val="21"/>
              </w:rPr>
            </w:pPr>
            <w:r>
              <w:rPr>
                <w:rFonts w:hint="eastAsia"/>
                <w:color w:val="000000"/>
                <w:szCs w:val="21"/>
              </w:rPr>
              <w:t>178</w:t>
            </w:r>
          </w:p>
        </w:tc>
        <w:tc>
          <w:tcPr>
            <w:tcW w:w="1540" w:type="dxa"/>
            <w:tcBorders>
              <w:top w:val="nil"/>
              <w:left w:val="nil"/>
              <w:bottom w:val="single" w:color="auto" w:sz="4" w:space="0"/>
              <w:right w:val="single" w:color="auto" w:sz="4" w:space="0"/>
            </w:tcBorders>
            <w:noWrap w:val="0"/>
            <w:vAlign w:val="center"/>
          </w:tcPr>
          <w:p w14:paraId="6BA0537F">
            <w:pPr>
              <w:jc w:val="center"/>
              <w:rPr>
                <w:rFonts w:ascii="宋体" w:hAnsi="宋体" w:cs="宋体"/>
                <w:color w:val="000000"/>
                <w:szCs w:val="21"/>
              </w:rPr>
            </w:pPr>
            <w:r>
              <w:rPr>
                <w:rFonts w:hint="eastAsia"/>
                <w:color w:val="000000"/>
                <w:szCs w:val="21"/>
              </w:rPr>
              <w:t>6.92</w:t>
            </w:r>
          </w:p>
        </w:tc>
        <w:tc>
          <w:tcPr>
            <w:tcW w:w="1540" w:type="dxa"/>
            <w:tcBorders>
              <w:top w:val="nil"/>
              <w:left w:val="nil"/>
              <w:bottom w:val="single" w:color="auto" w:sz="4" w:space="0"/>
              <w:right w:val="single" w:color="auto" w:sz="4" w:space="0"/>
            </w:tcBorders>
            <w:noWrap w:val="0"/>
            <w:vAlign w:val="center"/>
          </w:tcPr>
          <w:p w14:paraId="159CEA86">
            <w:pPr>
              <w:jc w:val="center"/>
              <w:rPr>
                <w:rFonts w:ascii="宋体" w:hAnsi="宋体" w:cs="宋体"/>
                <w:color w:val="000000"/>
                <w:szCs w:val="21"/>
              </w:rPr>
            </w:pPr>
            <w:r>
              <w:rPr>
                <w:rFonts w:hint="eastAsia"/>
                <w:color w:val="000000"/>
                <w:szCs w:val="21"/>
              </w:rPr>
              <w:t>2.32</w:t>
            </w:r>
          </w:p>
        </w:tc>
        <w:tc>
          <w:tcPr>
            <w:tcW w:w="1540" w:type="dxa"/>
            <w:tcBorders>
              <w:top w:val="nil"/>
              <w:left w:val="nil"/>
              <w:bottom w:val="single" w:color="auto" w:sz="4" w:space="0"/>
              <w:right w:val="single" w:color="auto" w:sz="4" w:space="0"/>
            </w:tcBorders>
            <w:noWrap w:val="0"/>
            <w:vAlign w:val="center"/>
          </w:tcPr>
          <w:p w14:paraId="06BE277F">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9</w:t>
            </w:r>
          </w:p>
        </w:tc>
      </w:tr>
      <w:tr w14:paraId="7C5376A0">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5F6B9349">
            <w:pPr>
              <w:jc w:val="center"/>
              <w:rPr>
                <w:rFonts w:ascii="宋体" w:hAnsi="宋体" w:cs="宋体"/>
                <w:color w:val="000000"/>
                <w:szCs w:val="21"/>
              </w:rPr>
            </w:pPr>
            <w:r>
              <w:rPr>
                <w:rFonts w:hint="eastAsia"/>
                <w:color w:val="000000"/>
                <w:szCs w:val="21"/>
              </w:rPr>
              <w:t>普通住宅</w:t>
            </w:r>
          </w:p>
        </w:tc>
        <w:tc>
          <w:tcPr>
            <w:tcW w:w="1720" w:type="dxa"/>
            <w:tcBorders>
              <w:top w:val="nil"/>
              <w:left w:val="nil"/>
              <w:bottom w:val="single" w:color="auto" w:sz="4" w:space="0"/>
              <w:right w:val="single" w:color="auto" w:sz="4" w:space="0"/>
            </w:tcBorders>
            <w:noWrap w:val="0"/>
            <w:vAlign w:val="center"/>
          </w:tcPr>
          <w:p w14:paraId="3CAB32D3">
            <w:pPr>
              <w:jc w:val="center"/>
              <w:rPr>
                <w:rFonts w:ascii="宋体" w:hAnsi="宋体" w:cs="宋体"/>
                <w:color w:val="000000"/>
                <w:szCs w:val="21"/>
              </w:rPr>
            </w:pPr>
            <w:r>
              <w:rPr>
                <w:rFonts w:hint="eastAsia"/>
                <w:color w:val="000000"/>
                <w:szCs w:val="21"/>
              </w:rPr>
              <w:t>135</w:t>
            </w:r>
          </w:p>
        </w:tc>
        <w:tc>
          <w:tcPr>
            <w:tcW w:w="1540" w:type="dxa"/>
            <w:tcBorders>
              <w:top w:val="nil"/>
              <w:left w:val="nil"/>
              <w:bottom w:val="single" w:color="auto" w:sz="4" w:space="0"/>
              <w:right w:val="single" w:color="auto" w:sz="4" w:space="0"/>
            </w:tcBorders>
            <w:noWrap w:val="0"/>
            <w:vAlign w:val="center"/>
          </w:tcPr>
          <w:p w14:paraId="307860BF">
            <w:pPr>
              <w:jc w:val="center"/>
              <w:rPr>
                <w:rFonts w:ascii="宋体" w:hAnsi="宋体" w:cs="宋体"/>
                <w:color w:val="000000"/>
                <w:szCs w:val="21"/>
              </w:rPr>
            </w:pPr>
            <w:r>
              <w:rPr>
                <w:rFonts w:hint="eastAsia"/>
                <w:color w:val="000000"/>
                <w:szCs w:val="21"/>
              </w:rPr>
              <w:t>5.25</w:t>
            </w:r>
          </w:p>
        </w:tc>
        <w:tc>
          <w:tcPr>
            <w:tcW w:w="1540" w:type="dxa"/>
            <w:tcBorders>
              <w:top w:val="nil"/>
              <w:left w:val="nil"/>
              <w:bottom w:val="single" w:color="auto" w:sz="4" w:space="0"/>
              <w:right w:val="single" w:color="auto" w:sz="4" w:space="0"/>
            </w:tcBorders>
            <w:noWrap w:val="0"/>
            <w:vAlign w:val="center"/>
          </w:tcPr>
          <w:p w14:paraId="5102ABDD">
            <w:pPr>
              <w:jc w:val="center"/>
              <w:rPr>
                <w:rFonts w:ascii="宋体" w:hAnsi="宋体" w:cs="宋体"/>
                <w:color w:val="000000"/>
                <w:szCs w:val="21"/>
              </w:rPr>
            </w:pPr>
            <w:r>
              <w:rPr>
                <w:rFonts w:hint="eastAsia"/>
                <w:color w:val="000000"/>
                <w:szCs w:val="21"/>
              </w:rPr>
              <w:t>1.76</w:t>
            </w:r>
          </w:p>
        </w:tc>
        <w:tc>
          <w:tcPr>
            <w:tcW w:w="1540" w:type="dxa"/>
            <w:tcBorders>
              <w:top w:val="nil"/>
              <w:left w:val="nil"/>
              <w:bottom w:val="single" w:color="auto" w:sz="4" w:space="0"/>
              <w:right w:val="single" w:color="auto" w:sz="4" w:space="0"/>
            </w:tcBorders>
            <w:noWrap w:val="0"/>
            <w:vAlign w:val="center"/>
          </w:tcPr>
          <w:p w14:paraId="507B7FD8">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10</w:t>
            </w:r>
          </w:p>
        </w:tc>
      </w:tr>
      <w:tr w14:paraId="78F8D17C">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top"/>
          </w:tcPr>
          <w:p w14:paraId="5DA94F71">
            <w:pPr>
              <w:jc w:val="center"/>
              <w:rPr>
                <w:rFonts w:ascii="仿宋_GB2312" w:hAnsi="宋体" w:eastAsia="仿宋_GB2312" w:cs="宋体"/>
                <w:color w:val="000000"/>
                <w:szCs w:val="21"/>
              </w:rPr>
            </w:pPr>
            <w:r>
              <w:rPr>
                <w:rFonts w:hint="eastAsia" w:ascii="仿宋_GB2312" w:eastAsia="仿宋_GB2312"/>
                <w:color w:val="000000"/>
                <w:szCs w:val="21"/>
              </w:rPr>
              <w:t>合计</w:t>
            </w:r>
          </w:p>
        </w:tc>
        <w:tc>
          <w:tcPr>
            <w:tcW w:w="1720" w:type="dxa"/>
            <w:tcBorders>
              <w:top w:val="nil"/>
              <w:left w:val="nil"/>
              <w:bottom w:val="single" w:color="auto" w:sz="4" w:space="0"/>
              <w:right w:val="single" w:color="auto" w:sz="4" w:space="0"/>
            </w:tcBorders>
            <w:noWrap w:val="0"/>
            <w:vAlign w:val="center"/>
          </w:tcPr>
          <w:p w14:paraId="3E93D171">
            <w:pPr>
              <w:jc w:val="center"/>
              <w:rPr>
                <w:rFonts w:ascii="宋体" w:hAnsi="宋体" w:cs="宋体"/>
                <w:color w:val="000000"/>
                <w:szCs w:val="21"/>
              </w:rPr>
            </w:pPr>
            <w:r>
              <w:rPr>
                <w:rFonts w:hint="eastAsia"/>
                <w:color w:val="000000"/>
                <w:szCs w:val="21"/>
              </w:rPr>
              <w:t>2573</w:t>
            </w:r>
          </w:p>
        </w:tc>
        <w:tc>
          <w:tcPr>
            <w:tcW w:w="1540" w:type="dxa"/>
            <w:tcBorders>
              <w:top w:val="nil"/>
              <w:left w:val="nil"/>
              <w:bottom w:val="single" w:color="auto" w:sz="4" w:space="0"/>
              <w:right w:val="single" w:color="auto" w:sz="4" w:space="0"/>
            </w:tcBorders>
            <w:noWrap w:val="0"/>
            <w:vAlign w:val="center"/>
          </w:tcPr>
          <w:p w14:paraId="6C06C5EA">
            <w:pPr>
              <w:jc w:val="center"/>
              <w:rPr>
                <w:rFonts w:ascii="宋体" w:hAnsi="宋体" w:cs="宋体"/>
                <w:color w:val="000000"/>
                <w:szCs w:val="21"/>
              </w:rPr>
            </w:pPr>
            <w:r>
              <w:rPr>
                <w:rFonts w:hint="eastAsia"/>
                <w:color w:val="000000"/>
                <w:szCs w:val="21"/>
              </w:rPr>
              <w:t>100</w:t>
            </w:r>
          </w:p>
        </w:tc>
        <w:tc>
          <w:tcPr>
            <w:tcW w:w="1540" w:type="dxa"/>
            <w:tcBorders>
              <w:top w:val="nil"/>
              <w:left w:val="nil"/>
              <w:bottom w:val="single" w:color="auto" w:sz="4" w:space="0"/>
              <w:right w:val="single" w:color="auto" w:sz="4" w:space="0"/>
            </w:tcBorders>
            <w:noWrap w:val="0"/>
            <w:vAlign w:val="center"/>
          </w:tcPr>
          <w:p w14:paraId="250A9D38">
            <w:pPr>
              <w:jc w:val="center"/>
              <w:rPr>
                <w:rFonts w:ascii="宋体" w:hAnsi="宋体" w:cs="宋体"/>
                <w:color w:val="000000"/>
                <w:szCs w:val="21"/>
              </w:rPr>
            </w:pPr>
            <w:r>
              <w:rPr>
                <w:rFonts w:hint="eastAsia"/>
                <w:color w:val="000000"/>
                <w:szCs w:val="21"/>
              </w:rPr>
              <w:t>33.49</w:t>
            </w:r>
          </w:p>
        </w:tc>
        <w:tc>
          <w:tcPr>
            <w:tcW w:w="1540" w:type="dxa"/>
            <w:tcBorders>
              <w:top w:val="nil"/>
              <w:left w:val="nil"/>
              <w:bottom w:val="single" w:color="auto" w:sz="4" w:space="0"/>
              <w:right w:val="single" w:color="auto" w:sz="4" w:space="0"/>
              <w:tl2br w:val="single" w:color="auto" w:sz="4" w:space="0"/>
            </w:tcBorders>
            <w:noWrap w:val="0"/>
            <w:vAlign w:val="center"/>
          </w:tcPr>
          <w:p w14:paraId="21996113">
            <w:pPr>
              <w:widowControl/>
              <w:jc w:val="center"/>
              <w:rPr>
                <w:rFonts w:hint="eastAsia" w:ascii="仿宋_GB2312" w:hAnsi="宋体" w:eastAsia="仿宋_GB2312" w:cs="宋体"/>
                <w:color w:val="000000"/>
                <w:kern w:val="0"/>
                <w:sz w:val="24"/>
              </w:rPr>
            </w:pPr>
          </w:p>
        </w:tc>
      </w:tr>
    </w:tbl>
    <w:p w14:paraId="6425B737">
      <w:pPr>
        <w:jc w:val="left"/>
        <w:rPr>
          <w:rFonts w:hint="eastAsia" w:ascii="黑体" w:hAnsi="黑体" w:eastAsia="黑体" w:cs="楷体_GB2312"/>
          <w:color w:val="000000"/>
          <w:sz w:val="32"/>
          <w:szCs w:val="32"/>
        </w:rPr>
      </w:pPr>
    </w:p>
    <w:p w14:paraId="1705A4B1">
      <w:pPr>
        <w:jc w:val="left"/>
        <w:rPr>
          <w:rFonts w:hint="eastAsia" w:ascii="楷体_GB2312" w:hAnsi="楷体_GB2312" w:eastAsia="楷体_GB2312" w:cs="楷体_GB2312"/>
          <w:color w:val="000000"/>
          <w:sz w:val="32"/>
          <w:szCs w:val="32"/>
        </w:rPr>
      </w:pPr>
      <w:r>
        <w:rPr>
          <w:rFonts w:hint="eastAsia" w:ascii="黑体" w:hAnsi="黑体" w:eastAsia="黑体" w:cs="楷体_GB2312"/>
          <w:color w:val="000000"/>
          <w:sz w:val="32"/>
          <w:szCs w:val="32"/>
        </w:rPr>
        <w:t>图六</w:t>
      </w:r>
      <w:r>
        <w:rPr>
          <w:rFonts w:hint="eastAsia" w:ascii="黑体" w:hAnsi="黑体" w:eastAsia="黑体" w:cs="楷体_GB2312"/>
          <w:color w:val="000000"/>
          <w:sz w:val="32"/>
          <w:szCs w:val="32"/>
          <w:lang/>
        </w:rPr>
        <w:t xml:space="preserve"> ：</w:t>
      </w:r>
      <w:r>
        <w:rPr>
          <w:rFonts w:ascii="楷体_GB2312" w:hAnsi="楷体_GB2312" w:eastAsia="楷体_GB2312" w:cs="楷体_GB2312"/>
          <w:color w:val="000000"/>
          <w:sz w:val="32"/>
          <w:szCs w:val="32"/>
          <w:lang/>
        </w:rPr>
        <w:drawing>
          <wp:inline distT="0" distB="0" distL="114300" distR="114300">
            <wp:extent cx="5431790" cy="2697480"/>
            <wp:effectExtent l="4445" t="4445" r="12065" b="22225"/>
            <wp:docPr id="16"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B9352D0">
      <w:pPr>
        <w:widowControl/>
        <w:spacing w:line="560" w:lineRule="exact"/>
        <w:ind w:firstLine="640" w:firstLineChars="200"/>
        <w:rPr>
          <w:rFonts w:hint="eastAsia" w:ascii="黑体" w:hAnsi="Times New Roman" w:eastAsia="黑体"/>
          <w:color w:val="000000"/>
          <w:sz w:val="32"/>
          <w:szCs w:val="32"/>
        </w:rPr>
      </w:pPr>
      <w:r>
        <w:rPr>
          <w:rFonts w:hint="eastAsia" w:ascii="黑体" w:hAnsi="Times New Roman" w:eastAsia="黑体"/>
          <w:color w:val="000000"/>
          <w:sz w:val="32"/>
          <w:szCs w:val="32"/>
        </w:rPr>
        <w:t>（八）举报热点问题分析</w:t>
      </w:r>
    </w:p>
    <w:p w14:paraId="26B96BB5">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年共受理消费者举报3014件，热点问题前十排行如下图所示：其中前三名依次是排在第一的餐馆服务215件，占投诉总量的7.13％；第二名注输、护理和防护器械131件，占投诉总量的4.35％；第三名其他食品129件，占投诉总量的4.28％。从今年的举报热点问题不难看出，与我们日常生活息息相关的服务问题，消费者更为关注。今年由于新型冠状病毒肺炎疫情影响，注输、护理和防护器械的举报量明显上升。</w:t>
      </w:r>
    </w:p>
    <w:tbl>
      <w:tblPr>
        <w:tblStyle w:val="13"/>
        <w:tblW w:w="8740" w:type="dxa"/>
        <w:tblInd w:w="108" w:type="dxa"/>
        <w:tblLayout w:type="autofit"/>
        <w:tblCellMar>
          <w:top w:w="0" w:type="dxa"/>
          <w:left w:w="108" w:type="dxa"/>
          <w:bottom w:w="0" w:type="dxa"/>
          <w:right w:w="108" w:type="dxa"/>
        </w:tblCellMar>
      </w:tblPr>
      <w:tblGrid>
        <w:gridCol w:w="2400"/>
        <w:gridCol w:w="1720"/>
        <w:gridCol w:w="1540"/>
        <w:gridCol w:w="1540"/>
        <w:gridCol w:w="1540"/>
      </w:tblGrid>
      <w:tr w14:paraId="04290B8E">
        <w:tblPrEx>
          <w:tblCellMar>
            <w:top w:w="0" w:type="dxa"/>
            <w:left w:w="108" w:type="dxa"/>
            <w:bottom w:w="0" w:type="dxa"/>
            <w:right w:w="108" w:type="dxa"/>
          </w:tblCellMar>
        </w:tblPrEx>
        <w:trPr>
          <w:wBefore w:w="0" w:type="dxa"/>
          <w:wAfter w:w="0" w:type="dxa"/>
          <w:trHeight w:val="375" w:hRule="atLeast"/>
        </w:trPr>
        <w:tc>
          <w:tcPr>
            <w:tcW w:w="8740" w:type="dxa"/>
            <w:gridSpan w:val="5"/>
            <w:tcBorders>
              <w:top w:val="nil"/>
              <w:left w:val="nil"/>
              <w:bottom w:val="nil"/>
              <w:right w:val="nil"/>
            </w:tcBorders>
            <w:noWrap w:val="0"/>
            <w:vAlign w:val="center"/>
          </w:tcPr>
          <w:p w14:paraId="2C04109E">
            <w:pPr>
              <w:widowControl/>
              <w:rPr>
                <w:rFonts w:hint="eastAsia" w:ascii="黑体" w:hAnsi="黑体" w:eastAsia="黑体" w:cs="宋体"/>
                <w:color w:val="000000"/>
                <w:kern w:val="0"/>
                <w:sz w:val="32"/>
                <w:szCs w:val="32"/>
              </w:rPr>
            </w:pPr>
          </w:p>
          <w:p w14:paraId="32FE323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表七：</w:t>
            </w:r>
          </w:p>
          <w:p w14:paraId="48AFE20C">
            <w:pPr>
              <w:widowControl/>
              <w:jc w:val="center"/>
              <w:rPr>
                <w:rFonts w:ascii="方正小标宋简体" w:hAnsi="宋体" w:eastAsia="方正小标宋简体" w:cs="宋体"/>
                <w:color w:val="000000"/>
                <w:kern w:val="0"/>
                <w:sz w:val="28"/>
                <w:szCs w:val="28"/>
              </w:rPr>
            </w:pPr>
            <w:r>
              <w:rPr>
                <w:rFonts w:hint="eastAsia" w:ascii="方正小标宋简体" w:hAnsi="宋体" w:eastAsia="方正小标宋简体" w:cs="宋体"/>
                <w:color w:val="000000"/>
                <w:kern w:val="0"/>
                <w:sz w:val="28"/>
                <w:szCs w:val="28"/>
              </w:rPr>
              <w:t>年全年举报热点排行</w:t>
            </w:r>
          </w:p>
        </w:tc>
      </w:tr>
      <w:tr w14:paraId="1C8E4AAD">
        <w:tblPrEx>
          <w:tblCellMar>
            <w:top w:w="0" w:type="dxa"/>
            <w:left w:w="108" w:type="dxa"/>
            <w:bottom w:w="0" w:type="dxa"/>
            <w:right w:w="108" w:type="dxa"/>
          </w:tblCellMar>
        </w:tblPrEx>
        <w:trPr>
          <w:wBefore w:w="0" w:type="dxa"/>
          <w:wAfter w:w="0" w:type="dxa"/>
          <w:trHeight w:val="570" w:hRule="atLeast"/>
        </w:trPr>
        <w:tc>
          <w:tcPr>
            <w:tcW w:w="2400" w:type="dxa"/>
            <w:tcBorders>
              <w:top w:val="single" w:color="auto" w:sz="4" w:space="0"/>
              <w:left w:val="single" w:color="auto" w:sz="4" w:space="0"/>
              <w:bottom w:val="single" w:color="auto" w:sz="4" w:space="0"/>
              <w:right w:val="single" w:color="auto" w:sz="4" w:space="0"/>
            </w:tcBorders>
            <w:noWrap w:val="0"/>
            <w:vAlign w:val="center"/>
          </w:tcPr>
          <w:p w14:paraId="4B7009FA">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类  别</w:t>
            </w:r>
          </w:p>
        </w:tc>
        <w:tc>
          <w:tcPr>
            <w:tcW w:w="1720" w:type="dxa"/>
            <w:tcBorders>
              <w:top w:val="single" w:color="auto" w:sz="4" w:space="0"/>
              <w:left w:val="nil"/>
              <w:bottom w:val="single" w:color="auto" w:sz="4" w:space="0"/>
              <w:right w:val="single" w:color="auto" w:sz="4" w:space="0"/>
            </w:tcBorders>
            <w:noWrap w:val="0"/>
            <w:vAlign w:val="center"/>
          </w:tcPr>
          <w:p w14:paraId="26108151">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受理数量（件）</w:t>
            </w:r>
          </w:p>
        </w:tc>
        <w:tc>
          <w:tcPr>
            <w:tcW w:w="1540" w:type="dxa"/>
            <w:tcBorders>
              <w:top w:val="single" w:color="auto" w:sz="4" w:space="0"/>
              <w:left w:val="nil"/>
              <w:bottom w:val="single" w:color="auto" w:sz="4" w:space="0"/>
              <w:right w:val="single" w:color="auto" w:sz="4" w:space="0"/>
            </w:tcBorders>
            <w:noWrap w:val="0"/>
            <w:vAlign w:val="center"/>
          </w:tcPr>
          <w:p w14:paraId="626F2DEA">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占热点比例(%)</w:t>
            </w:r>
          </w:p>
        </w:tc>
        <w:tc>
          <w:tcPr>
            <w:tcW w:w="1540" w:type="dxa"/>
            <w:tcBorders>
              <w:top w:val="single" w:color="auto" w:sz="4" w:space="0"/>
              <w:left w:val="nil"/>
              <w:bottom w:val="single" w:color="auto" w:sz="4" w:space="0"/>
              <w:right w:val="single" w:color="auto" w:sz="4" w:space="0"/>
            </w:tcBorders>
            <w:noWrap w:val="0"/>
            <w:vAlign w:val="center"/>
          </w:tcPr>
          <w:p w14:paraId="0D3AA02F">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占总数比例（%）</w:t>
            </w:r>
          </w:p>
        </w:tc>
        <w:tc>
          <w:tcPr>
            <w:tcW w:w="1540" w:type="dxa"/>
            <w:tcBorders>
              <w:top w:val="single" w:color="auto" w:sz="4" w:space="0"/>
              <w:left w:val="nil"/>
              <w:bottom w:val="single" w:color="auto" w:sz="4" w:space="0"/>
              <w:right w:val="single" w:color="auto" w:sz="4" w:space="0"/>
            </w:tcBorders>
            <w:noWrap w:val="0"/>
            <w:vAlign w:val="center"/>
          </w:tcPr>
          <w:p w14:paraId="28B4DCA5">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排  名</w:t>
            </w:r>
          </w:p>
        </w:tc>
      </w:tr>
      <w:tr w14:paraId="57C69E60">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05C09052">
            <w:pPr>
              <w:jc w:val="center"/>
              <w:rPr>
                <w:rFonts w:ascii="宋体" w:hAnsi="宋体" w:cs="宋体"/>
                <w:color w:val="000000"/>
                <w:sz w:val="22"/>
              </w:rPr>
            </w:pPr>
            <w:r>
              <w:rPr>
                <w:rFonts w:hint="eastAsia"/>
                <w:color w:val="000000"/>
                <w:sz w:val="22"/>
              </w:rPr>
              <w:t>餐馆服务</w:t>
            </w:r>
          </w:p>
        </w:tc>
        <w:tc>
          <w:tcPr>
            <w:tcW w:w="1720" w:type="dxa"/>
            <w:tcBorders>
              <w:top w:val="nil"/>
              <w:left w:val="nil"/>
              <w:bottom w:val="single" w:color="auto" w:sz="4" w:space="0"/>
              <w:right w:val="single" w:color="auto" w:sz="4" w:space="0"/>
            </w:tcBorders>
            <w:noWrap w:val="0"/>
            <w:vAlign w:val="center"/>
          </w:tcPr>
          <w:p w14:paraId="78C8D952">
            <w:pPr>
              <w:jc w:val="center"/>
              <w:rPr>
                <w:rFonts w:ascii="宋体" w:hAnsi="宋体" w:cs="宋体"/>
                <w:color w:val="000000"/>
                <w:sz w:val="22"/>
              </w:rPr>
            </w:pPr>
            <w:r>
              <w:rPr>
                <w:rFonts w:hint="eastAsia"/>
                <w:color w:val="000000"/>
                <w:sz w:val="22"/>
              </w:rPr>
              <w:t>215</w:t>
            </w:r>
          </w:p>
        </w:tc>
        <w:tc>
          <w:tcPr>
            <w:tcW w:w="1540" w:type="dxa"/>
            <w:tcBorders>
              <w:top w:val="nil"/>
              <w:left w:val="nil"/>
              <w:bottom w:val="single" w:color="auto" w:sz="4" w:space="0"/>
              <w:right w:val="single" w:color="auto" w:sz="4" w:space="0"/>
            </w:tcBorders>
            <w:noWrap w:val="0"/>
            <w:vAlign w:val="center"/>
          </w:tcPr>
          <w:p w14:paraId="578844E9">
            <w:pPr>
              <w:jc w:val="center"/>
              <w:rPr>
                <w:rFonts w:ascii="宋体" w:hAnsi="宋体" w:cs="宋体"/>
                <w:color w:val="000000"/>
                <w:sz w:val="22"/>
              </w:rPr>
            </w:pPr>
            <w:r>
              <w:rPr>
                <w:rFonts w:hint="eastAsia"/>
                <w:color w:val="000000"/>
                <w:sz w:val="22"/>
              </w:rPr>
              <w:t>21.22</w:t>
            </w:r>
          </w:p>
        </w:tc>
        <w:tc>
          <w:tcPr>
            <w:tcW w:w="1540" w:type="dxa"/>
            <w:tcBorders>
              <w:top w:val="nil"/>
              <w:left w:val="nil"/>
              <w:bottom w:val="single" w:color="auto" w:sz="4" w:space="0"/>
              <w:right w:val="single" w:color="auto" w:sz="4" w:space="0"/>
            </w:tcBorders>
            <w:noWrap w:val="0"/>
            <w:vAlign w:val="center"/>
          </w:tcPr>
          <w:p w14:paraId="4F72AD31">
            <w:pPr>
              <w:jc w:val="center"/>
              <w:rPr>
                <w:rFonts w:ascii="宋体" w:hAnsi="宋体" w:cs="宋体"/>
                <w:color w:val="000000"/>
                <w:sz w:val="22"/>
              </w:rPr>
            </w:pPr>
            <w:r>
              <w:rPr>
                <w:rFonts w:hint="eastAsia"/>
                <w:color w:val="000000"/>
                <w:sz w:val="22"/>
              </w:rPr>
              <w:t>7.13</w:t>
            </w:r>
          </w:p>
        </w:tc>
        <w:tc>
          <w:tcPr>
            <w:tcW w:w="1540" w:type="dxa"/>
            <w:tcBorders>
              <w:top w:val="nil"/>
              <w:left w:val="nil"/>
              <w:bottom w:val="single" w:color="auto" w:sz="4" w:space="0"/>
              <w:right w:val="single" w:color="auto" w:sz="4" w:space="0"/>
            </w:tcBorders>
            <w:noWrap w:val="0"/>
            <w:vAlign w:val="center"/>
          </w:tcPr>
          <w:p w14:paraId="0483249D">
            <w:pPr>
              <w:jc w:val="center"/>
              <w:rPr>
                <w:rFonts w:ascii="仿宋_GB2312" w:hAnsi="宋体" w:eastAsia="仿宋_GB2312" w:cs="宋体"/>
                <w:color w:val="000000"/>
                <w:sz w:val="24"/>
              </w:rPr>
            </w:pPr>
            <w:r>
              <w:rPr>
                <w:rFonts w:hint="eastAsia" w:ascii="仿宋_GB2312" w:eastAsia="仿宋_GB2312"/>
                <w:color w:val="000000"/>
              </w:rPr>
              <w:t>1</w:t>
            </w:r>
          </w:p>
        </w:tc>
      </w:tr>
      <w:tr w14:paraId="49241721">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7265B333">
            <w:pPr>
              <w:jc w:val="center"/>
              <w:rPr>
                <w:rFonts w:ascii="宋体" w:hAnsi="宋体" w:cs="宋体"/>
                <w:color w:val="000000"/>
                <w:sz w:val="22"/>
              </w:rPr>
            </w:pPr>
            <w:r>
              <w:rPr>
                <w:rFonts w:hint="eastAsia"/>
                <w:color w:val="000000"/>
                <w:sz w:val="22"/>
              </w:rPr>
              <w:t>注输、护理和防护器械</w:t>
            </w:r>
          </w:p>
        </w:tc>
        <w:tc>
          <w:tcPr>
            <w:tcW w:w="1720" w:type="dxa"/>
            <w:tcBorders>
              <w:top w:val="nil"/>
              <w:left w:val="nil"/>
              <w:bottom w:val="single" w:color="auto" w:sz="4" w:space="0"/>
              <w:right w:val="single" w:color="auto" w:sz="4" w:space="0"/>
            </w:tcBorders>
            <w:noWrap w:val="0"/>
            <w:vAlign w:val="center"/>
          </w:tcPr>
          <w:p w14:paraId="2FF2D16B">
            <w:pPr>
              <w:jc w:val="center"/>
              <w:rPr>
                <w:rFonts w:ascii="宋体" w:hAnsi="宋体" w:cs="宋体"/>
                <w:color w:val="000000"/>
                <w:sz w:val="22"/>
              </w:rPr>
            </w:pPr>
            <w:r>
              <w:rPr>
                <w:rFonts w:hint="eastAsia"/>
                <w:color w:val="000000"/>
                <w:sz w:val="22"/>
              </w:rPr>
              <w:t>131</w:t>
            </w:r>
          </w:p>
        </w:tc>
        <w:tc>
          <w:tcPr>
            <w:tcW w:w="1540" w:type="dxa"/>
            <w:tcBorders>
              <w:top w:val="nil"/>
              <w:left w:val="nil"/>
              <w:bottom w:val="single" w:color="auto" w:sz="4" w:space="0"/>
              <w:right w:val="single" w:color="auto" w:sz="4" w:space="0"/>
            </w:tcBorders>
            <w:noWrap w:val="0"/>
            <w:vAlign w:val="center"/>
          </w:tcPr>
          <w:p w14:paraId="7B9DA8DF">
            <w:pPr>
              <w:jc w:val="center"/>
              <w:rPr>
                <w:rFonts w:ascii="宋体" w:hAnsi="宋体" w:cs="宋体"/>
                <w:color w:val="000000"/>
                <w:sz w:val="22"/>
              </w:rPr>
            </w:pPr>
            <w:r>
              <w:rPr>
                <w:rFonts w:hint="eastAsia"/>
                <w:color w:val="000000"/>
                <w:sz w:val="22"/>
              </w:rPr>
              <w:t>12.93</w:t>
            </w:r>
          </w:p>
        </w:tc>
        <w:tc>
          <w:tcPr>
            <w:tcW w:w="1540" w:type="dxa"/>
            <w:tcBorders>
              <w:top w:val="nil"/>
              <w:left w:val="nil"/>
              <w:bottom w:val="single" w:color="auto" w:sz="4" w:space="0"/>
              <w:right w:val="single" w:color="auto" w:sz="4" w:space="0"/>
            </w:tcBorders>
            <w:noWrap w:val="0"/>
            <w:vAlign w:val="center"/>
          </w:tcPr>
          <w:p w14:paraId="73BE6F6B">
            <w:pPr>
              <w:jc w:val="center"/>
              <w:rPr>
                <w:rFonts w:ascii="宋体" w:hAnsi="宋体" w:cs="宋体"/>
                <w:color w:val="000000"/>
                <w:sz w:val="22"/>
              </w:rPr>
            </w:pPr>
            <w:r>
              <w:rPr>
                <w:rFonts w:hint="eastAsia"/>
                <w:color w:val="000000"/>
                <w:sz w:val="22"/>
              </w:rPr>
              <w:t>4.35</w:t>
            </w:r>
          </w:p>
        </w:tc>
        <w:tc>
          <w:tcPr>
            <w:tcW w:w="1540" w:type="dxa"/>
            <w:tcBorders>
              <w:top w:val="nil"/>
              <w:left w:val="nil"/>
              <w:bottom w:val="single" w:color="auto" w:sz="4" w:space="0"/>
              <w:right w:val="single" w:color="auto" w:sz="4" w:space="0"/>
            </w:tcBorders>
            <w:noWrap w:val="0"/>
            <w:vAlign w:val="center"/>
          </w:tcPr>
          <w:p w14:paraId="16A003A1">
            <w:pPr>
              <w:jc w:val="center"/>
              <w:rPr>
                <w:rFonts w:ascii="仿宋_GB2312" w:hAnsi="宋体" w:eastAsia="仿宋_GB2312" w:cs="宋体"/>
                <w:color w:val="000000"/>
                <w:sz w:val="24"/>
              </w:rPr>
            </w:pPr>
            <w:r>
              <w:rPr>
                <w:rFonts w:hint="eastAsia" w:ascii="仿宋_GB2312" w:eastAsia="仿宋_GB2312"/>
                <w:color w:val="000000"/>
              </w:rPr>
              <w:t>2</w:t>
            </w:r>
          </w:p>
        </w:tc>
      </w:tr>
      <w:tr w14:paraId="3E20D192">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40372F8E">
            <w:pPr>
              <w:jc w:val="center"/>
              <w:rPr>
                <w:rFonts w:ascii="宋体" w:hAnsi="宋体" w:cs="宋体"/>
                <w:color w:val="000000"/>
                <w:sz w:val="22"/>
              </w:rPr>
            </w:pPr>
            <w:r>
              <w:rPr>
                <w:rFonts w:hint="eastAsia"/>
                <w:color w:val="000000"/>
                <w:sz w:val="22"/>
              </w:rPr>
              <w:t>其他食品</w:t>
            </w:r>
          </w:p>
        </w:tc>
        <w:tc>
          <w:tcPr>
            <w:tcW w:w="1720" w:type="dxa"/>
            <w:tcBorders>
              <w:top w:val="nil"/>
              <w:left w:val="nil"/>
              <w:bottom w:val="single" w:color="auto" w:sz="4" w:space="0"/>
              <w:right w:val="single" w:color="auto" w:sz="4" w:space="0"/>
            </w:tcBorders>
            <w:noWrap w:val="0"/>
            <w:vAlign w:val="center"/>
          </w:tcPr>
          <w:p w14:paraId="22D20645">
            <w:pPr>
              <w:jc w:val="center"/>
              <w:rPr>
                <w:rFonts w:ascii="宋体" w:hAnsi="宋体" w:cs="宋体"/>
                <w:color w:val="000000"/>
                <w:sz w:val="22"/>
              </w:rPr>
            </w:pPr>
            <w:r>
              <w:rPr>
                <w:rFonts w:hint="eastAsia"/>
                <w:color w:val="000000"/>
                <w:sz w:val="22"/>
              </w:rPr>
              <w:t>129</w:t>
            </w:r>
          </w:p>
        </w:tc>
        <w:tc>
          <w:tcPr>
            <w:tcW w:w="1540" w:type="dxa"/>
            <w:tcBorders>
              <w:top w:val="nil"/>
              <w:left w:val="nil"/>
              <w:bottom w:val="single" w:color="auto" w:sz="4" w:space="0"/>
              <w:right w:val="single" w:color="auto" w:sz="4" w:space="0"/>
            </w:tcBorders>
            <w:noWrap w:val="0"/>
            <w:vAlign w:val="center"/>
          </w:tcPr>
          <w:p w14:paraId="3CE70582">
            <w:pPr>
              <w:jc w:val="center"/>
              <w:rPr>
                <w:rFonts w:ascii="宋体" w:hAnsi="宋体" w:cs="宋体"/>
                <w:color w:val="000000"/>
                <w:sz w:val="22"/>
              </w:rPr>
            </w:pPr>
            <w:r>
              <w:rPr>
                <w:rFonts w:hint="eastAsia"/>
                <w:color w:val="000000"/>
                <w:sz w:val="22"/>
              </w:rPr>
              <w:t>12.73</w:t>
            </w:r>
          </w:p>
        </w:tc>
        <w:tc>
          <w:tcPr>
            <w:tcW w:w="1540" w:type="dxa"/>
            <w:tcBorders>
              <w:top w:val="nil"/>
              <w:left w:val="nil"/>
              <w:bottom w:val="single" w:color="auto" w:sz="4" w:space="0"/>
              <w:right w:val="single" w:color="auto" w:sz="4" w:space="0"/>
            </w:tcBorders>
            <w:noWrap w:val="0"/>
            <w:vAlign w:val="center"/>
          </w:tcPr>
          <w:p w14:paraId="2018F3EA">
            <w:pPr>
              <w:jc w:val="center"/>
              <w:rPr>
                <w:rFonts w:ascii="宋体" w:hAnsi="宋体" w:cs="宋体"/>
                <w:color w:val="000000"/>
                <w:sz w:val="22"/>
              </w:rPr>
            </w:pPr>
            <w:r>
              <w:rPr>
                <w:rFonts w:hint="eastAsia"/>
                <w:color w:val="000000"/>
                <w:sz w:val="22"/>
              </w:rPr>
              <w:t>4.28</w:t>
            </w:r>
          </w:p>
        </w:tc>
        <w:tc>
          <w:tcPr>
            <w:tcW w:w="1540" w:type="dxa"/>
            <w:tcBorders>
              <w:top w:val="nil"/>
              <w:left w:val="nil"/>
              <w:bottom w:val="single" w:color="auto" w:sz="4" w:space="0"/>
              <w:right w:val="single" w:color="auto" w:sz="4" w:space="0"/>
            </w:tcBorders>
            <w:noWrap w:val="0"/>
            <w:vAlign w:val="center"/>
          </w:tcPr>
          <w:p w14:paraId="6BC0C79C">
            <w:pPr>
              <w:jc w:val="center"/>
              <w:rPr>
                <w:rFonts w:ascii="仿宋_GB2312" w:hAnsi="宋体" w:eastAsia="仿宋_GB2312" w:cs="宋体"/>
                <w:color w:val="000000"/>
                <w:sz w:val="24"/>
              </w:rPr>
            </w:pPr>
            <w:r>
              <w:rPr>
                <w:rFonts w:hint="eastAsia" w:ascii="仿宋_GB2312" w:eastAsia="仿宋_GB2312"/>
                <w:color w:val="000000"/>
              </w:rPr>
              <w:t>3</w:t>
            </w:r>
          </w:p>
        </w:tc>
      </w:tr>
      <w:tr w14:paraId="738D96A6">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402E41BB">
            <w:pPr>
              <w:jc w:val="center"/>
              <w:rPr>
                <w:rFonts w:ascii="宋体" w:hAnsi="宋体" w:cs="宋体"/>
                <w:color w:val="000000"/>
                <w:sz w:val="22"/>
              </w:rPr>
            </w:pPr>
            <w:r>
              <w:rPr>
                <w:rFonts w:hint="eastAsia"/>
                <w:color w:val="000000"/>
                <w:sz w:val="22"/>
              </w:rPr>
              <w:t>其他日杂用品</w:t>
            </w:r>
          </w:p>
        </w:tc>
        <w:tc>
          <w:tcPr>
            <w:tcW w:w="1720" w:type="dxa"/>
            <w:tcBorders>
              <w:top w:val="nil"/>
              <w:left w:val="nil"/>
              <w:bottom w:val="single" w:color="auto" w:sz="4" w:space="0"/>
              <w:right w:val="single" w:color="auto" w:sz="4" w:space="0"/>
            </w:tcBorders>
            <w:noWrap w:val="0"/>
            <w:vAlign w:val="center"/>
          </w:tcPr>
          <w:p w14:paraId="76EB8188">
            <w:pPr>
              <w:jc w:val="center"/>
              <w:rPr>
                <w:rFonts w:ascii="宋体" w:hAnsi="宋体" w:cs="宋体"/>
                <w:color w:val="000000"/>
                <w:sz w:val="22"/>
              </w:rPr>
            </w:pPr>
            <w:r>
              <w:rPr>
                <w:rFonts w:hint="eastAsia"/>
                <w:color w:val="000000"/>
                <w:sz w:val="22"/>
              </w:rPr>
              <w:t>109</w:t>
            </w:r>
          </w:p>
        </w:tc>
        <w:tc>
          <w:tcPr>
            <w:tcW w:w="1540" w:type="dxa"/>
            <w:tcBorders>
              <w:top w:val="nil"/>
              <w:left w:val="nil"/>
              <w:bottom w:val="single" w:color="auto" w:sz="4" w:space="0"/>
              <w:right w:val="single" w:color="auto" w:sz="4" w:space="0"/>
            </w:tcBorders>
            <w:noWrap w:val="0"/>
            <w:vAlign w:val="center"/>
          </w:tcPr>
          <w:p w14:paraId="2DB56E3F">
            <w:pPr>
              <w:jc w:val="center"/>
              <w:rPr>
                <w:rFonts w:ascii="宋体" w:hAnsi="宋体" w:cs="宋体"/>
                <w:color w:val="000000"/>
                <w:sz w:val="22"/>
              </w:rPr>
            </w:pPr>
            <w:r>
              <w:rPr>
                <w:rFonts w:hint="eastAsia"/>
                <w:color w:val="000000"/>
                <w:sz w:val="22"/>
              </w:rPr>
              <w:t>10.76</w:t>
            </w:r>
          </w:p>
        </w:tc>
        <w:tc>
          <w:tcPr>
            <w:tcW w:w="1540" w:type="dxa"/>
            <w:tcBorders>
              <w:top w:val="nil"/>
              <w:left w:val="nil"/>
              <w:bottom w:val="single" w:color="auto" w:sz="4" w:space="0"/>
              <w:right w:val="single" w:color="auto" w:sz="4" w:space="0"/>
            </w:tcBorders>
            <w:noWrap w:val="0"/>
            <w:vAlign w:val="center"/>
          </w:tcPr>
          <w:p w14:paraId="442D15CA">
            <w:pPr>
              <w:jc w:val="center"/>
              <w:rPr>
                <w:rFonts w:ascii="宋体" w:hAnsi="宋体" w:cs="宋体"/>
                <w:color w:val="000000"/>
                <w:sz w:val="22"/>
              </w:rPr>
            </w:pPr>
            <w:r>
              <w:rPr>
                <w:rFonts w:hint="eastAsia"/>
                <w:color w:val="000000"/>
                <w:sz w:val="22"/>
              </w:rPr>
              <w:t>3.62</w:t>
            </w:r>
          </w:p>
        </w:tc>
        <w:tc>
          <w:tcPr>
            <w:tcW w:w="1540" w:type="dxa"/>
            <w:tcBorders>
              <w:top w:val="nil"/>
              <w:left w:val="nil"/>
              <w:bottom w:val="single" w:color="auto" w:sz="4" w:space="0"/>
              <w:right w:val="single" w:color="auto" w:sz="4" w:space="0"/>
            </w:tcBorders>
            <w:noWrap w:val="0"/>
            <w:vAlign w:val="center"/>
          </w:tcPr>
          <w:p w14:paraId="30ED7478">
            <w:pPr>
              <w:jc w:val="center"/>
              <w:rPr>
                <w:rFonts w:ascii="仿宋_GB2312" w:hAnsi="宋体" w:eastAsia="仿宋_GB2312" w:cs="宋体"/>
                <w:color w:val="000000"/>
                <w:sz w:val="24"/>
              </w:rPr>
            </w:pPr>
            <w:r>
              <w:rPr>
                <w:rFonts w:hint="eastAsia" w:ascii="仿宋_GB2312" w:eastAsia="仿宋_GB2312"/>
                <w:color w:val="000000"/>
              </w:rPr>
              <w:t>4</w:t>
            </w:r>
          </w:p>
        </w:tc>
      </w:tr>
      <w:tr w14:paraId="1D51A5F8">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6E570A1A">
            <w:pPr>
              <w:jc w:val="center"/>
              <w:rPr>
                <w:rFonts w:ascii="宋体" w:hAnsi="宋体" w:cs="宋体"/>
                <w:color w:val="000000"/>
                <w:sz w:val="22"/>
              </w:rPr>
            </w:pPr>
            <w:r>
              <w:rPr>
                <w:rFonts w:hint="eastAsia"/>
                <w:color w:val="000000"/>
                <w:sz w:val="22"/>
              </w:rPr>
              <w:t>停车场及其他</w:t>
            </w:r>
          </w:p>
        </w:tc>
        <w:tc>
          <w:tcPr>
            <w:tcW w:w="1720" w:type="dxa"/>
            <w:tcBorders>
              <w:top w:val="nil"/>
              <w:left w:val="nil"/>
              <w:bottom w:val="single" w:color="auto" w:sz="4" w:space="0"/>
              <w:right w:val="single" w:color="auto" w:sz="4" w:space="0"/>
            </w:tcBorders>
            <w:noWrap w:val="0"/>
            <w:vAlign w:val="center"/>
          </w:tcPr>
          <w:p w14:paraId="223C8683">
            <w:pPr>
              <w:jc w:val="center"/>
              <w:rPr>
                <w:rFonts w:ascii="宋体" w:hAnsi="宋体" w:cs="宋体"/>
                <w:color w:val="000000"/>
                <w:sz w:val="22"/>
              </w:rPr>
            </w:pPr>
            <w:r>
              <w:rPr>
                <w:rFonts w:hint="eastAsia"/>
                <w:color w:val="000000"/>
                <w:sz w:val="22"/>
              </w:rPr>
              <w:t>91</w:t>
            </w:r>
          </w:p>
        </w:tc>
        <w:tc>
          <w:tcPr>
            <w:tcW w:w="1540" w:type="dxa"/>
            <w:tcBorders>
              <w:top w:val="nil"/>
              <w:left w:val="nil"/>
              <w:bottom w:val="single" w:color="auto" w:sz="4" w:space="0"/>
              <w:right w:val="single" w:color="auto" w:sz="4" w:space="0"/>
            </w:tcBorders>
            <w:noWrap w:val="0"/>
            <w:vAlign w:val="center"/>
          </w:tcPr>
          <w:p w14:paraId="1741423D">
            <w:pPr>
              <w:jc w:val="center"/>
              <w:rPr>
                <w:rFonts w:ascii="宋体" w:hAnsi="宋体" w:cs="宋体"/>
                <w:color w:val="000000"/>
                <w:sz w:val="22"/>
              </w:rPr>
            </w:pPr>
            <w:r>
              <w:rPr>
                <w:rFonts w:hint="eastAsia"/>
                <w:color w:val="000000"/>
                <w:sz w:val="22"/>
              </w:rPr>
              <w:t>8.98</w:t>
            </w:r>
          </w:p>
        </w:tc>
        <w:tc>
          <w:tcPr>
            <w:tcW w:w="1540" w:type="dxa"/>
            <w:tcBorders>
              <w:top w:val="nil"/>
              <w:left w:val="nil"/>
              <w:bottom w:val="single" w:color="auto" w:sz="4" w:space="0"/>
              <w:right w:val="single" w:color="auto" w:sz="4" w:space="0"/>
            </w:tcBorders>
            <w:noWrap w:val="0"/>
            <w:vAlign w:val="center"/>
          </w:tcPr>
          <w:p w14:paraId="7167E276">
            <w:pPr>
              <w:jc w:val="center"/>
              <w:rPr>
                <w:rFonts w:ascii="宋体" w:hAnsi="宋体" w:cs="宋体"/>
                <w:color w:val="000000"/>
                <w:sz w:val="22"/>
              </w:rPr>
            </w:pPr>
            <w:r>
              <w:rPr>
                <w:rFonts w:hint="eastAsia"/>
                <w:color w:val="000000"/>
                <w:sz w:val="22"/>
              </w:rPr>
              <w:t>3.02</w:t>
            </w:r>
          </w:p>
        </w:tc>
        <w:tc>
          <w:tcPr>
            <w:tcW w:w="1540" w:type="dxa"/>
            <w:tcBorders>
              <w:top w:val="nil"/>
              <w:left w:val="nil"/>
              <w:bottom w:val="single" w:color="auto" w:sz="4" w:space="0"/>
              <w:right w:val="single" w:color="auto" w:sz="4" w:space="0"/>
            </w:tcBorders>
            <w:noWrap w:val="0"/>
            <w:vAlign w:val="center"/>
          </w:tcPr>
          <w:p w14:paraId="2BB5BE2A">
            <w:pPr>
              <w:jc w:val="center"/>
              <w:rPr>
                <w:rFonts w:ascii="仿宋_GB2312" w:hAnsi="宋体" w:eastAsia="仿宋_GB2312" w:cs="宋体"/>
                <w:color w:val="000000"/>
                <w:sz w:val="24"/>
              </w:rPr>
            </w:pPr>
            <w:r>
              <w:rPr>
                <w:rFonts w:hint="eastAsia" w:ascii="仿宋_GB2312" w:eastAsia="仿宋_GB2312"/>
                <w:color w:val="000000"/>
              </w:rPr>
              <w:t>5</w:t>
            </w:r>
          </w:p>
        </w:tc>
      </w:tr>
      <w:tr w14:paraId="5E312AB1">
        <w:tblPrEx>
          <w:tblCellMar>
            <w:top w:w="0" w:type="dxa"/>
            <w:left w:w="108" w:type="dxa"/>
            <w:bottom w:w="0" w:type="dxa"/>
            <w:right w:w="108" w:type="dxa"/>
          </w:tblCellMar>
        </w:tblPrEx>
        <w:trPr>
          <w:wBefore w:w="0" w:type="dxa"/>
          <w:wAfter w:w="0" w:type="dxa"/>
          <w:trHeight w:val="405" w:hRule="atLeast"/>
        </w:trPr>
        <w:tc>
          <w:tcPr>
            <w:tcW w:w="2400" w:type="dxa"/>
            <w:tcBorders>
              <w:top w:val="nil"/>
              <w:left w:val="single" w:color="auto" w:sz="4" w:space="0"/>
              <w:bottom w:val="single" w:color="auto" w:sz="4" w:space="0"/>
              <w:right w:val="single" w:color="auto" w:sz="4" w:space="0"/>
            </w:tcBorders>
            <w:noWrap w:val="0"/>
            <w:vAlign w:val="center"/>
          </w:tcPr>
          <w:p w14:paraId="4932362D">
            <w:pPr>
              <w:jc w:val="center"/>
              <w:rPr>
                <w:rFonts w:ascii="宋体" w:hAnsi="宋体" w:cs="宋体"/>
                <w:color w:val="000000"/>
                <w:sz w:val="22"/>
              </w:rPr>
            </w:pPr>
            <w:r>
              <w:rPr>
                <w:rFonts w:hint="eastAsia"/>
                <w:color w:val="000000"/>
                <w:sz w:val="22"/>
              </w:rPr>
              <w:t>其他农资用品</w:t>
            </w:r>
          </w:p>
        </w:tc>
        <w:tc>
          <w:tcPr>
            <w:tcW w:w="1720" w:type="dxa"/>
            <w:tcBorders>
              <w:top w:val="nil"/>
              <w:left w:val="nil"/>
              <w:bottom w:val="single" w:color="auto" w:sz="4" w:space="0"/>
              <w:right w:val="single" w:color="auto" w:sz="4" w:space="0"/>
            </w:tcBorders>
            <w:noWrap w:val="0"/>
            <w:vAlign w:val="center"/>
          </w:tcPr>
          <w:p w14:paraId="1345049D">
            <w:pPr>
              <w:jc w:val="center"/>
              <w:rPr>
                <w:rFonts w:ascii="宋体" w:hAnsi="宋体" w:cs="宋体"/>
                <w:color w:val="000000"/>
                <w:sz w:val="22"/>
              </w:rPr>
            </w:pPr>
            <w:r>
              <w:rPr>
                <w:rFonts w:hint="eastAsia"/>
                <w:color w:val="000000"/>
                <w:sz w:val="22"/>
              </w:rPr>
              <w:t>89</w:t>
            </w:r>
          </w:p>
        </w:tc>
        <w:tc>
          <w:tcPr>
            <w:tcW w:w="1540" w:type="dxa"/>
            <w:tcBorders>
              <w:top w:val="nil"/>
              <w:left w:val="nil"/>
              <w:bottom w:val="single" w:color="auto" w:sz="4" w:space="0"/>
              <w:right w:val="single" w:color="auto" w:sz="4" w:space="0"/>
            </w:tcBorders>
            <w:noWrap w:val="0"/>
            <w:vAlign w:val="center"/>
          </w:tcPr>
          <w:p w14:paraId="7AD90E88">
            <w:pPr>
              <w:jc w:val="center"/>
              <w:rPr>
                <w:rFonts w:ascii="宋体" w:hAnsi="宋体" w:cs="宋体"/>
                <w:color w:val="000000"/>
                <w:sz w:val="22"/>
              </w:rPr>
            </w:pPr>
            <w:r>
              <w:rPr>
                <w:rFonts w:hint="eastAsia"/>
                <w:color w:val="000000"/>
                <w:sz w:val="22"/>
              </w:rPr>
              <w:t>8.79</w:t>
            </w:r>
          </w:p>
        </w:tc>
        <w:tc>
          <w:tcPr>
            <w:tcW w:w="1540" w:type="dxa"/>
            <w:tcBorders>
              <w:top w:val="nil"/>
              <w:left w:val="nil"/>
              <w:bottom w:val="single" w:color="auto" w:sz="4" w:space="0"/>
              <w:right w:val="single" w:color="auto" w:sz="4" w:space="0"/>
            </w:tcBorders>
            <w:noWrap w:val="0"/>
            <w:vAlign w:val="center"/>
          </w:tcPr>
          <w:p w14:paraId="192D86F6">
            <w:pPr>
              <w:jc w:val="center"/>
              <w:rPr>
                <w:rFonts w:ascii="宋体" w:hAnsi="宋体" w:cs="宋体"/>
                <w:color w:val="000000"/>
                <w:sz w:val="22"/>
              </w:rPr>
            </w:pPr>
            <w:r>
              <w:rPr>
                <w:rFonts w:hint="eastAsia"/>
                <w:color w:val="000000"/>
                <w:sz w:val="22"/>
              </w:rPr>
              <w:t>2.95</w:t>
            </w:r>
          </w:p>
        </w:tc>
        <w:tc>
          <w:tcPr>
            <w:tcW w:w="1540" w:type="dxa"/>
            <w:tcBorders>
              <w:top w:val="nil"/>
              <w:left w:val="nil"/>
              <w:bottom w:val="single" w:color="auto" w:sz="4" w:space="0"/>
              <w:right w:val="single" w:color="auto" w:sz="4" w:space="0"/>
            </w:tcBorders>
            <w:noWrap w:val="0"/>
            <w:vAlign w:val="center"/>
          </w:tcPr>
          <w:p w14:paraId="3409F8D8">
            <w:pPr>
              <w:jc w:val="center"/>
              <w:rPr>
                <w:rFonts w:ascii="仿宋_GB2312" w:hAnsi="宋体" w:eastAsia="仿宋_GB2312" w:cs="宋体"/>
                <w:color w:val="000000"/>
                <w:sz w:val="24"/>
              </w:rPr>
            </w:pPr>
            <w:r>
              <w:rPr>
                <w:rFonts w:hint="eastAsia" w:ascii="仿宋_GB2312" w:eastAsia="仿宋_GB2312"/>
                <w:color w:val="000000"/>
              </w:rPr>
              <w:t>6</w:t>
            </w:r>
          </w:p>
        </w:tc>
      </w:tr>
      <w:tr w14:paraId="39DEC011">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0AFEB732">
            <w:pPr>
              <w:jc w:val="center"/>
              <w:rPr>
                <w:rFonts w:ascii="宋体" w:hAnsi="宋体" w:cs="宋体"/>
                <w:color w:val="000000"/>
                <w:sz w:val="22"/>
              </w:rPr>
            </w:pPr>
            <w:r>
              <w:rPr>
                <w:rFonts w:hint="eastAsia"/>
                <w:color w:val="000000"/>
                <w:sz w:val="22"/>
              </w:rPr>
              <w:t>医用口罩</w:t>
            </w:r>
          </w:p>
        </w:tc>
        <w:tc>
          <w:tcPr>
            <w:tcW w:w="1720" w:type="dxa"/>
            <w:tcBorders>
              <w:top w:val="nil"/>
              <w:left w:val="nil"/>
              <w:bottom w:val="single" w:color="auto" w:sz="4" w:space="0"/>
              <w:right w:val="single" w:color="auto" w:sz="4" w:space="0"/>
            </w:tcBorders>
            <w:noWrap w:val="0"/>
            <w:vAlign w:val="center"/>
          </w:tcPr>
          <w:p w14:paraId="49E3AA10">
            <w:pPr>
              <w:jc w:val="center"/>
              <w:rPr>
                <w:rFonts w:ascii="宋体" w:hAnsi="宋体" w:cs="宋体"/>
                <w:color w:val="000000"/>
                <w:sz w:val="22"/>
              </w:rPr>
            </w:pPr>
            <w:r>
              <w:rPr>
                <w:rFonts w:hint="eastAsia"/>
                <w:color w:val="000000"/>
                <w:sz w:val="22"/>
              </w:rPr>
              <w:t>87</w:t>
            </w:r>
          </w:p>
        </w:tc>
        <w:tc>
          <w:tcPr>
            <w:tcW w:w="1540" w:type="dxa"/>
            <w:tcBorders>
              <w:top w:val="nil"/>
              <w:left w:val="nil"/>
              <w:bottom w:val="single" w:color="auto" w:sz="4" w:space="0"/>
              <w:right w:val="single" w:color="auto" w:sz="4" w:space="0"/>
            </w:tcBorders>
            <w:noWrap w:val="0"/>
            <w:vAlign w:val="center"/>
          </w:tcPr>
          <w:p w14:paraId="12502E05">
            <w:pPr>
              <w:jc w:val="center"/>
              <w:rPr>
                <w:rFonts w:ascii="宋体" w:hAnsi="宋体" w:cs="宋体"/>
                <w:color w:val="000000"/>
                <w:sz w:val="22"/>
              </w:rPr>
            </w:pPr>
            <w:r>
              <w:rPr>
                <w:rFonts w:hint="eastAsia"/>
                <w:color w:val="000000"/>
                <w:sz w:val="22"/>
              </w:rPr>
              <w:t>8.59</w:t>
            </w:r>
          </w:p>
        </w:tc>
        <w:tc>
          <w:tcPr>
            <w:tcW w:w="1540" w:type="dxa"/>
            <w:tcBorders>
              <w:top w:val="nil"/>
              <w:left w:val="nil"/>
              <w:bottom w:val="single" w:color="auto" w:sz="4" w:space="0"/>
              <w:right w:val="single" w:color="auto" w:sz="4" w:space="0"/>
            </w:tcBorders>
            <w:noWrap w:val="0"/>
            <w:vAlign w:val="center"/>
          </w:tcPr>
          <w:p w14:paraId="115D250C">
            <w:pPr>
              <w:jc w:val="center"/>
              <w:rPr>
                <w:rFonts w:ascii="宋体" w:hAnsi="宋体" w:cs="宋体"/>
                <w:color w:val="000000"/>
                <w:sz w:val="22"/>
              </w:rPr>
            </w:pPr>
            <w:r>
              <w:rPr>
                <w:rFonts w:hint="eastAsia"/>
                <w:color w:val="000000"/>
                <w:sz w:val="22"/>
              </w:rPr>
              <w:t>2.89</w:t>
            </w:r>
          </w:p>
        </w:tc>
        <w:tc>
          <w:tcPr>
            <w:tcW w:w="1540" w:type="dxa"/>
            <w:tcBorders>
              <w:top w:val="nil"/>
              <w:left w:val="nil"/>
              <w:bottom w:val="single" w:color="auto" w:sz="4" w:space="0"/>
              <w:right w:val="single" w:color="auto" w:sz="4" w:space="0"/>
            </w:tcBorders>
            <w:noWrap w:val="0"/>
            <w:vAlign w:val="center"/>
          </w:tcPr>
          <w:p w14:paraId="0D1E3450">
            <w:pPr>
              <w:jc w:val="center"/>
              <w:rPr>
                <w:rFonts w:ascii="仿宋_GB2312" w:hAnsi="宋体" w:eastAsia="仿宋_GB2312" w:cs="宋体"/>
                <w:color w:val="000000"/>
                <w:sz w:val="24"/>
              </w:rPr>
            </w:pPr>
            <w:r>
              <w:rPr>
                <w:rFonts w:hint="eastAsia" w:ascii="仿宋_GB2312" w:eastAsia="仿宋_GB2312"/>
                <w:color w:val="000000"/>
              </w:rPr>
              <w:t>7</w:t>
            </w:r>
          </w:p>
        </w:tc>
      </w:tr>
      <w:tr w14:paraId="5D3CEFBF">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25C7B2EA">
            <w:pPr>
              <w:jc w:val="center"/>
              <w:rPr>
                <w:rFonts w:ascii="宋体" w:hAnsi="宋体" w:cs="宋体"/>
                <w:color w:val="000000"/>
                <w:sz w:val="22"/>
              </w:rPr>
            </w:pPr>
            <w:r>
              <w:rPr>
                <w:rFonts w:hint="eastAsia"/>
                <w:color w:val="000000"/>
                <w:sz w:val="22"/>
              </w:rPr>
              <w:t>猪肉</w:t>
            </w:r>
          </w:p>
        </w:tc>
        <w:tc>
          <w:tcPr>
            <w:tcW w:w="1720" w:type="dxa"/>
            <w:tcBorders>
              <w:top w:val="nil"/>
              <w:left w:val="nil"/>
              <w:bottom w:val="single" w:color="auto" w:sz="4" w:space="0"/>
              <w:right w:val="single" w:color="auto" w:sz="4" w:space="0"/>
            </w:tcBorders>
            <w:noWrap w:val="0"/>
            <w:vAlign w:val="center"/>
          </w:tcPr>
          <w:p w14:paraId="4B7BFE2D">
            <w:pPr>
              <w:jc w:val="center"/>
              <w:rPr>
                <w:rFonts w:ascii="宋体" w:hAnsi="宋体" w:cs="宋体"/>
                <w:color w:val="000000"/>
                <w:sz w:val="22"/>
              </w:rPr>
            </w:pPr>
            <w:r>
              <w:rPr>
                <w:rFonts w:hint="eastAsia"/>
                <w:color w:val="000000"/>
                <w:sz w:val="22"/>
              </w:rPr>
              <w:t>75</w:t>
            </w:r>
          </w:p>
        </w:tc>
        <w:tc>
          <w:tcPr>
            <w:tcW w:w="1540" w:type="dxa"/>
            <w:tcBorders>
              <w:top w:val="nil"/>
              <w:left w:val="nil"/>
              <w:bottom w:val="single" w:color="auto" w:sz="4" w:space="0"/>
              <w:right w:val="single" w:color="auto" w:sz="4" w:space="0"/>
            </w:tcBorders>
            <w:noWrap w:val="0"/>
            <w:vAlign w:val="center"/>
          </w:tcPr>
          <w:p w14:paraId="7B553F5D">
            <w:pPr>
              <w:jc w:val="center"/>
              <w:rPr>
                <w:rFonts w:ascii="宋体" w:hAnsi="宋体" w:cs="宋体"/>
                <w:color w:val="000000"/>
                <w:sz w:val="22"/>
              </w:rPr>
            </w:pPr>
            <w:r>
              <w:rPr>
                <w:rFonts w:hint="eastAsia"/>
                <w:color w:val="000000"/>
                <w:sz w:val="22"/>
              </w:rPr>
              <w:t>7.4</w:t>
            </w:r>
          </w:p>
        </w:tc>
        <w:tc>
          <w:tcPr>
            <w:tcW w:w="1540" w:type="dxa"/>
            <w:tcBorders>
              <w:top w:val="nil"/>
              <w:left w:val="nil"/>
              <w:bottom w:val="single" w:color="auto" w:sz="4" w:space="0"/>
              <w:right w:val="single" w:color="auto" w:sz="4" w:space="0"/>
            </w:tcBorders>
            <w:noWrap w:val="0"/>
            <w:vAlign w:val="center"/>
          </w:tcPr>
          <w:p w14:paraId="5642E4A1">
            <w:pPr>
              <w:jc w:val="center"/>
              <w:rPr>
                <w:rFonts w:ascii="宋体" w:hAnsi="宋体" w:cs="宋体"/>
                <w:color w:val="000000"/>
                <w:sz w:val="22"/>
              </w:rPr>
            </w:pPr>
            <w:r>
              <w:rPr>
                <w:rFonts w:hint="eastAsia"/>
                <w:color w:val="000000"/>
                <w:sz w:val="22"/>
              </w:rPr>
              <w:t>2.49</w:t>
            </w:r>
          </w:p>
        </w:tc>
        <w:tc>
          <w:tcPr>
            <w:tcW w:w="1540" w:type="dxa"/>
            <w:tcBorders>
              <w:top w:val="nil"/>
              <w:left w:val="nil"/>
              <w:bottom w:val="single" w:color="auto" w:sz="4" w:space="0"/>
              <w:right w:val="single" w:color="auto" w:sz="4" w:space="0"/>
            </w:tcBorders>
            <w:noWrap w:val="0"/>
            <w:vAlign w:val="center"/>
          </w:tcPr>
          <w:p w14:paraId="5546DE0D">
            <w:pPr>
              <w:jc w:val="center"/>
              <w:rPr>
                <w:rFonts w:ascii="仿宋_GB2312" w:hAnsi="宋体" w:eastAsia="仿宋_GB2312" w:cs="宋体"/>
                <w:color w:val="000000"/>
                <w:sz w:val="24"/>
              </w:rPr>
            </w:pPr>
            <w:r>
              <w:rPr>
                <w:rFonts w:hint="eastAsia" w:ascii="仿宋_GB2312" w:eastAsia="仿宋_GB2312"/>
                <w:color w:val="000000"/>
              </w:rPr>
              <w:t>8</w:t>
            </w:r>
          </w:p>
        </w:tc>
      </w:tr>
      <w:tr w14:paraId="633B1221">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791D3123">
            <w:pPr>
              <w:jc w:val="center"/>
              <w:rPr>
                <w:rFonts w:ascii="宋体" w:hAnsi="宋体" w:cs="宋体"/>
                <w:color w:val="000000"/>
                <w:sz w:val="22"/>
              </w:rPr>
            </w:pPr>
            <w:r>
              <w:rPr>
                <w:rFonts w:hint="eastAsia"/>
                <w:color w:val="000000"/>
                <w:sz w:val="22"/>
              </w:rPr>
              <w:t>道路停车</w:t>
            </w:r>
          </w:p>
        </w:tc>
        <w:tc>
          <w:tcPr>
            <w:tcW w:w="1720" w:type="dxa"/>
            <w:tcBorders>
              <w:top w:val="nil"/>
              <w:left w:val="nil"/>
              <w:bottom w:val="single" w:color="auto" w:sz="4" w:space="0"/>
              <w:right w:val="single" w:color="auto" w:sz="4" w:space="0"/>
            </w:tcBorders>
            <w:noWrap w:val="0"/>
            <w:vAlign w:val="center"/>
          </w:tcPr>
          <w:p w14:paraId="32578987">
            <w:pPr>
              <w:jc w:val="center"/>
              <w:rPr>
                <w:rFonts w:ascii="宋体" w:hAnsi="宋体" w:cs="宋体"/>
                <w:color w:val="000000"/>
                <w:sz w:val="22"/>
              </w:rPr>
            </w:pPr>
            <w:r>
              <w:rPr>
                <w:rFonts w:hint="eastAsia"/>
                <w:color w:val="000000"/>
                <w:sz w:val="22"/>
              </w:rPr>
              <w:t>46</w:t>
            </w:r>
          </w:p>
        </w:tc>
        <w:tc>
          <w:tcPr>
            <w:tcW w:w="1540" w:type="dxa"/>
            <w:tcBorders>
              <w:top w:val="nil"/>
              <w:left w:val="nil"/>
              <w:bottom w:val="single" w:color="auto" w:sz="4" w:space="0"/>
              <w:right w:val="single" w:color="auto" w:sz="4" w:space="0"/>
            </w:tcBorders>
            <w:noWrap w:val="0"/>
            <w:vAlign w:val="center"/>
          </w:tcPr>
          <w:p w14:paraId="6FE72A53">
            <w:pPr>
              <w:jc w:val="center"/>
              <w:rPr>
                <w:rFonts w:ascii="宋体" w:hAnsi="宋体" w:cs="宋体"/>
                <w:color w:val="000000"/>
                <w:sz w:val="22"/>
              </w:rPr>
            </w:pPr>
            <w:r>
              <w:rPr>
                <w:rFonts w:hint="eastAsia"/>
                <w:color w:val="000000"/>
                <w:sz w:val="22"/>
              </w:rPr>
              <w:t>4.54</w:t>
            </w:r>
          </w:p>
        </w:tc>
        <w:tc>
          <w:tcPr>
            <w:tcW w:w="1540" w:type="dxa"/>
            <w:tcBorders>
              <w:top w:val="nil"/>
              <w:left w:val="nil"/>
              <w:bottom w:val="single" w:color="auto" w:sz="4" w:space="0"/>
              <w:right w:val="single" w:color="auto" w:sz="4" w:space="0"/>
            </w:tcBorders>
            <w:noWrap w:val="0"/>
            <w:vAlign w:val="center"/>
          </w:tcPr>
          <w:p w14:paraId="6CDA850A">
            <w:pPr>
              <w:jc w:val="center"/>
              <w:rPr>
                <w:rFonts w:ascii="宋体" w:hAnsi="宋体" w:cs="宋体"/>
                <w:color w:val="000000"/>
                <w:sz w:val="22"/>
              </w:rPr>
            </w:pPr>
            <w:r>
              <w:rPr>
                <w:rFonts w:hint="eastAsia"/>
                <w:color w:val="000000"/>
                <w:sz w:val="22"/>
              </w:rPr>
              <w:t>1.53</w:t>
            </w:r>
          </w:p>
        </w:tc>
        <w:tc>
          <w:tcPr>
            <w:tcW w:w="1540" w:type="dxa"/>
            <w:tcBorders>
              <w:top w:val="nil"/>
              <w:left w:val="nil"/>
              <w:bottom w:val="single" w:color="auto" w:sz="4" w:space="0"/>
              <w:right w:val="single" w:color="auto" w:sz="4" w:space="0"/>
            </w:tcBorders>
            <w:noWrap w:val="0"/>
            <w:vAlign w:val="center"/>
          </w:tcPr>
          <w:p w14:paraId="4603D3C1">
            <w:pPr>
              <w:jc w:val="center"/>
              <w:rPr>
                <w:rFonts w:ascii="仿宋_GB2312" w:hAnsi="宋体" w:eastAsia="仿宋_GB2312" w:cs="宋体"/>
                <w:color w:val="000000"/>
                <w:sz w:val="24"/>
              </w:rPr>
            </w:pPr>
            <w:r>
              <w:rPr>
                <w:rFonts w:hint="eastAsia" w:ascii="仿宋_GB2312" w:eastAsia="仿宋_GB2312"/>
                <w:color w:val="000000"/>
              </w:rPr>
              <w:t>9</w:t>
            </w:r>
          </w:p>
        </w:tc>
      </w:tr>
      <w:tr w14:paraId="55624944">
        <w:tblPrEx>
          <w:tblCellMar>
            <w:top w:w="0" w:type="dxa"/>
            <w:left w:w="108" w:type="dxa"/>
            <w:bottom w:w="0" w:type="dxa"/>
            <w:right w:w="108" w:type="dxa"/>
          </w:tblCellMar>
        </w:tblPrEx>
        <w:trPr>
          <w:wBefore w:w="0" w:type="dxa"/>
          <w:wAfter w:w="0" w:type="dxa"/>
          <w:trHeight w:val="439" w:hRule="atLeast"/>
        </w:trPr>
        <w:tc>
          <w:tcPr>
            <w:tcW w:w="2400" w:type="dxa"/>
            <w:tcBorders>
              <w:top w:val="nil"/>
              <w:left w:val="single" w:color="auto" w:sz="4" w:space="0"/>
              <w:bottom w:val="single" w:color="auto" w:sz="4" w:space="0"/>
              <w:right w:val="single" w:color="auto" w:sz="4" w:space="0"/>
            </w:tcBorders>
            <w:noWrap w:val="0"/>
            <w:vAlign w:val="center"/>
          </w:tcPr>
          <w:p w14:paraId="613545D4">
            <w:pPr>
              <w:jc w:val="center"/>
              <w:rPr>
                <w:rFonts w:ascii="宋体" w:hAnsi="宋体" w:cs="宋体"/>
                <w:color w:val="000000"/>
                <w:sz w:val="22"/>
              </w:rPr>
            </w:pPr>
            <w:r>
              <w:rPr>
                <w:rFonts w:hint="eastAsia"/>
                <w:color w:val="000000"/>
                <w:sz w:val="22"/>
              </w:rPr>
              <w:t>其他收藏品和工艺品</w:t>
            </w:r>
          </w:p>
        </w:tc>
        <w:tc>
          <w:tcPr>
            <w:tcW w:w="1720" w:type="dxa"/>
            <w:tcBorders>
              <w:top w:val="nil"/>
              <w:left w:val="nil"/>
              <w:bottom w:val="single" w:color="auto" w:sz="4" w:space="0"/>
              <w:right w:val="single" w:color="auto" w:sz="4" w:space="0"/>
            </w:tcBorders>
            <w:noWrap w:val="0"/>
            <w:vAlign w:val="center"/>
          </w:tcPr>
          <w:p w14:paraId="47A43986">
            <w:pPr>
              <w:jc w:val="center"/>
              <w:rPr>
                <w:rFonts w:ascii="宋体" w:hAnsi="宋体" w:cs="宋体"/>
                <w:color w:val="000000"/>
                <w:sz w:val="22"/>
              </w:rPr>
            </w:pPr>
            <w:r>
              <w:rPr>
                <w:rFonts w:hint="eastAsia"/>
                <w:color w:val="000000"/>
                <w:sz w:val="22"/>
              </w:rPr>
              <w:t>41</w:t>
            </w:r>
          </w:p>
        </w:tc>
        <w:tc>
          <w:tcPr>
            <w:tcW w:w="1540" w:type="dxa"/>
            <w:tcBorders>
              <w:top w:val="nil"/>
              <w:left w:val="nil"/>
              <w:bottom w:val="single" w:color="auto" w:sz="4" w:space="0"/>
              <w:right w:val="single" w:color="auto" w:sz="4" w:space="0"/>
            </w:tcBorders>
            <w:noWrap w:val="0"/>
            <w:vAlign w:val="center"/>
          </w:tcPr>
          <w:p w14:paraId="27978118">
            <w:pPr>
              <w:jc w:val="center"/>
              <w:rPr>
                <w:rFonts w:ascii="宋体" w:hAnsi="宋体" w:cs="宋体"/>
                <w:color w:val="000000"/>
                <w:sz w:val="22"/>
              </w:rPr>
            </w:pPr>
            <w:r>
              <w:rPr>
                <w:rFonts w:hint="eastAsia"/>
                <w:color w:val="000000"/>
                <w:sz w:val="22"/>
              </w:rPr>
              <w:t>4.05</w:t>
            </w:r>
          </w:p>
        </w:tc>
        <w:tc>
          <w:tcPr>
            <w:tcW w:w="1540" w:type="dxa"/>
            <w:tcBorders>
              <w:top w:val="nil"/>
              <w:left w:val="nil"/>
              <w:bottom w:val="single" w:color="auto" w:sz="4" w:space="0"/>
              <w:right w:val="single" w:color="auto" w:sz="4" w:space="0"/>
            </w:tcBorders>
            <w:noWrap w:val="0"/>
            <w:vAlign w:val="center"/>
          </w:tcPr>
          <w:p w14:paraId="140C655F">
            <w:pPr>
              <w:jc w:val="center"/>
              <w:rPr>
                <w:rFonts w:ascii="宋体" w:hAnsi="宋体" w:cs="宋体"/>
                <w:color w:val="000000"/>
                <w:sz w:val="22"/>
              </w:rPr>
            </w:pPr>
            <w:r>
              <w:rPr>
                <w:rFonts w:hint="eastAsia"/>
                <w:color w:val="000000"/>
                <w:sz w:val="22"/>
              </w:rPr>
              <w:t>1.36</w:t>
            </w:r>
          </w:p>
        </w:tc>
        <w:tc>
          <w:tcPr>
            <w:tcW w:w="1540" w:type="dxa"/>
            <w:tcBorders>
              <w:top w:val="nil"/>
              <w:left w:val="nil"/>
              <w:bottom w:val="single" w:color="auto" w:sz="4" w:space="0"/>
              <w:right w:val="single" w:color="auto" w:sz="4" w:space="0"/>
            </w:tcBorders>
            <w:noWrap w:val="0"/>
            <w:vAlign w:val="center"/>
          </w:tcPr>
          <w:p w14:paraId="4BD135B7">
            <w:pPr>
              <w:jc w:val="center"/>
              <w:rPr>
                <w:rFonts w:ascii="仿宋_GB2312" w:hAnsi="宋体" w:eastAsia="仿宋_GB2312" w:cs="宋体"/>
                <w:color w:val="000000"/>
                <w:sz w:val="24"/>
              </w:rPr>
            </w:pPr>
            <w:r>
              <w:rPr>
                <w:rFonts w:hint="eastAsia" w:ascii="仿宋_GB2312" w:eastAsia="仿宋_GB2312"/>
                <w:color w:val="000000"/>
              </w:rPr>
              <w:t>10</w:t>
            </w:r>
          </w:p>
        </w:tc>
      </w:tr>
      <w:tr w14:paraId="5474A1E4">
        <w:tblPrEx>
          <w:tblCellMar>
            <w:top w:w="0" w:type="dxa"/>
            <w:left w:w="108" w:type="dxa"/>
            <w:bottom w:w="0" w:type="dxa"/>
            <w:right w:w="108" w:type="dxa"/>
          </w:tblCellMar>
        </w:tblPrEx>
        <w:trPr>
          <w:wBefore w:w="0" w:type="dxa"/>
          <w:wAfter w:w="0" w:type="dxa"/>
          <w:trHeight w:val="604" w:hRule="atLeast"/>
        </w:trPr>
        <w:tc>
          <w:tcPr>
            <w:tcW w:w="2400" w:type="dxa"/>
            <w:tcBorders>
              <w:top w:val="nil"/>
              <w:left w:val="single" w:color="auto" w:sz="4" w:space="0"/>
              <w:bottom w:val="single" w:color="auto" w:sz="4" w:space="0"/>
              <w:right w:val="single" w:color="auto" w:sz="4" w:space="0"/>
            </w:tcBorders>
            <w:noWrap w:val="0"/>
            <w:vAlign w:val="center"/>
          </w:tcPr>
          <w:p w14:paraId="4DBD39A5">
            <w:pPr>
              <w:widowControl/>
              <w:jc w:val="center"/>
              <w:rPr>
                <w:rFonts w:ascii="宋体" w:hAnsi="宋体" w:cs="宋体"/>
                <w:color w:val="000000"/>
                <w:kern w:val="0"/>
                <w:sz w:val="22"/>
              </w:rPr>
            </w:pPr>
            <w:r>
              <w:rPr>
                <w:rFonts w:hint="eastAsia" w:ascii="宋体" w:hAnsi="宋体" w:cs="宋体"/>
                <w:color w:val="000000"/>
                <w:kern w:val="0"/>
                <w:sz w:val="22"/>
              </w:rPr>
              <w:t>总计</w:t>
            </w:r>
          </w:p>
        </w:tc>
        <w:tc>
          <w:tcPr>
            <w:tcW w:w="1720" w:type="dxa"/>
            <w:tcBorders>
              <w:top w:val="nil"/>
              <w:left w:val="nil"/>
              <w:bottom w:val="single" w:color="auto" w:sz="4" w:space="0"/>
              <w:right w:val="single" w:color="auto" w:sz="4" w:space="0"/>
            </w:tcBorders>
            <w:noWrap w:val="0"/>
            <w:vAlign w:val="center"/>
          </w:tcPr>
          <w:p w14:paraId="2FBBAE16">
            <w:pPr>
              <w:widowControl/>
              <w:jc w:val="center"/>
              <w:rPr>
                <w:rFonts w:ascii="宋体" w:hAnsi="宋体" w:cs="宋体"/>
                <w:color w:val="000000"/>
                <w:kern w:val="0"/>
                <w:sz w:val="22"/>
              </w:rPr>
            </w:pPr>
            <w:r>
              <w:rPr>
                <w:rFonts w:hint="eastAsia" w:ascii="宋体" w:hAnsi="宋体" w:cs="宋体"/>
                <w:color w:val="000000"/>
                <w:kern w:val="0"/>
                <w:sz w:val="22"/>
              </w:rPr>
              <w:t>1013</w:t>
            </w:r>
          </w:p>
        </w:tc>
        <w:tc>
          <w:tcPr>
            <w:tcW w:w="1540" w:type="dxa"/>
            <w:tcBorders>
              <w:top w:val="nil"/>
              <w:left w:val="nil"/>
              <w:bottom w:val="single" w:color="auto" w:sz="4" w:space="0"/>
              <w:right w:val="single" w:color="auto" w:sz="4" w:space="0"/>
            </w:tcBorders>
            <w:noWrap w:val="0"/>
            <w:vAlign w:val="center"/>
          </w:tcPr>
          <w:p w14:paraId="6E6FA9C0">
            <w:pPr>
              <w:widowControl/>
              <w:jc w:val="center"/>
              <w:rPr>
                <w:rFonts w:ascii="宋体" w:hAnsi="宋体" w:cs="宋体"/>
                <w:color w:val="000000"/>
                <w:kern w:val="0"/>
                <w:sz w:val="22"/>
              </w:rPr>
            </w:pPr>
            <w:r>
              <w:rPr>
                <w:rFonts w:hint="eastAsia" w:ascii="宋体" w:hAnsi="宋体" w:cs="宋体"/>
                <w:color w:val="000000"/>
                <w:kern w:val="0"/>
                <w:sz w:val="22"/>
              </w:rPr>
              <w:t>100</w:t>
            </w:r>
          </w:p>
        </w:tc>
        <w:tc>
          <w:tcPr>
            <w:tcW w:w="1540" w:type="dxa"/>
            <w:tcBorders>
              <w:top w:val="nil"/>
              <w:left w:val="nil"/>
              <w:bottom w:val="single" w:color="auto" w:sz="4" w:space="0"/>
              <w:right w:val="single" w:color="auto" w:sz="4" w:space="0"/>
            </w:tcBorders>
            <w:noWrap w:val="0"/>
            <w:vAlign w:val="center"/>
          </w:tcPr>
          <w:p w14:paraId="6B755662">
            <w:pPr>
              <w:widowControl/>
              <w:jc w:val="center"/>
              <w:rPr>
                <w:rFonts w:ascii="宋体" w:hAnsi="宋体" w:cs="宋体"/>
                <w:color w:val="000000"/>
                <w:kern w:val="0"/>
                <w:sz w:val="22"/>
              </w:rPr>
            </w:pPr>
            <w:r>
              <w:rPr>
                <w:rFonts w:hint="eastAsia" w:ascii="宋体" w:hAnsi="宋体" w:cs="宋体"/>
                <w:color w:val="000000"/>
                <w:kern w:val="0"/>
                <w:sz w:val="22"/>
              </w:rPr>
              <w:t>33.61</w:t>
            </w:r>
          </w:p>
        </w:tc>
        <w:tc>
          <w:tcPr>
            <w:tcW w:w="1540" w:type="dxa"/>
            <w:tcBorders>
              <w:top w:val="nil"/>
              <w:left w:val="nil"/>
              <w:bottom w:val="single" w:color="auto" w:sz="4" w:space="0"/>
              <w:right w:val="single" w:color="auto" w:sz="4" w:space="0"/>
              <w:tl2br w:val="single" w:color="auto" w:sz="4" w:space="0"/>
            </w:tcBorders>
            <w:noWrap w:val="0"/>
            <w:vAlign w:val="center"/>
          </w:tcPr>
          <w:p w14:paraId="21A2881F">
            <w:pPr>
              <w:widowControl/>
              <w:jc w:val="center"/>
              <w:rPr>
                <w:rFonts w:hint="eastAsia" w:ascii="仿宋_GB2312" w:hAnsi="宋体" w:eastAsia="仿宋_GB2312" w:cs="宋体"/>
                <w:color w:val="000000"/>
                <w:kern w:val="0"/>
                <w:sz w:val="24"/>
              </w:rPr>
            </w:pPr>
          </w:p>
        </w:tc>
      </w:tr>
    </w:tbl>
    <w:p w14:paraId="2F621BA7">
      <w:pPr>
        <w:jc w:val="left"/>
        <w:rPr>
          <w:rFonts w:hint="eastAsia" w:ascii="楷体_GB2312" w:hAnsi="楷体_GB2312" w:eastAsia="楷体_GB2312" w:cs="楷体_GB2312"/>
          <w:color w:val="000000"/>
          <w:sz w:val="32"/>
          <w:szCs w:val="32"/>
        </w:rPr>
      </w:pPr>
    </w:p>
    <w:p w14:paraId="0C2ECC35">
      <w:pPr>
        <w:jc w:val="left"/>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图七</w:t>
      </w:r>
      <w:r>
        <w:rPr>
          <w:rFonts w:hint="eastAsia" w:ascii="楷体_GB2312" w:hAnsi="楷体_GB2312" w:eastAsia="楷体_GB2312" w:cs="楷体_GB2312"/>
          <w:color w:val="000000"/>
          <w:sz w:val="32"/>
          <w:szCs w:val="32"/>
          <w:lang/>
        </w:rPr>
        <w:t xml:space="preserve"> ：</w:t>
      </w:r>
      <w:r>
        <w:rPr>
          <w:rFonts w:ascii="楷体_GB2312" w:hAnsi="楷体_GB2312" w:eastAsia="楷体_GB2312" w:cs="楷体_GB2312"/>
          <w:color w:val="000000"/>
          <w:sz w:val="32"/>
          <w:szCs w:val="32"/>
          <w:lang/>
        </w:rPr>
        <w:drawing>
          <wp:inline distT="0" distB="0" distL="114300" distR="114300">
            <wp:extent cx="5497830" cy="2640330"/>
            <wp:effectExtent l="4445" t="4445" r="22225" b="22225"/>
            <wp:docPr id="17"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874FD2F">
      <w:pPr>
        <w:spacing w:line="560" w:lineRule="exact"/>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xml:space="preserve">    </w:t>
      </w:r>
    </w:p>
    <w:p w14:paraId="2F3A51B3">
      <w:pPr>
        <w:spacing w:line="560" w:lineRule="exact"/>
        <w:ind w:firstLine="640" w:firstLineChars="200"/>
        <w:rPr>
          <w:rFonts w:hint="eastAsia" w:ascii="黑体" w:hAnsi="Times New Roman" w:eastAsia="黑体"/>
          <w:color w:val="000000"/>
          <w:sz w:val="32"/>
          <w:szCs w:val="32"/>
        </w:rPr>
      </w:pPr>
      <w:r>
        <w:rPr>
          <w:rFonts w:hint="eastAsia" w:ascii="黑体" w:hAnsi="Times New Roman" w:eastAsia="黑体"/>
          <w:color w:val="000000"/>
          <w:sz w:val="32"/>
          <w:szCs w:val="32"/>
        </w:rPr>
        <w:t>（九）综合统计</w:t>
      </w:r>
    </w:p>
    <w:p w14:paraId="7CFC3D43">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截至年12月15日，</w:t>
      </w:r>
      <w:r>
        <w:rPr>
          <w:rFonts w:hint="eastAsia" w:ascii="Times New Roman" w:hAnsi="Times New Roman" w:eastAsia="仿宋_GB2312"/>
          <w:color w:val="000000"/>
          <w:sz w:val="32"/>
          <w:szCs w:val="32"/>
        </w:rPr>
        <w:t>五华区市场监管</w:t>
      </w:r>
      <w:r>
        <w:rPr>
          <w:rFonts w:ascii="Times New Roman" w:hAnsi="Times New Roman" w:eastAsia="仿宋_GB2312"/>
          <w:color w:val="000000"/>
          <w:sz w:val="32"/>
          <w:szCs w:val="32"/>
        </w:rPr>
        <w:t>局12315、12345等各平台投诉、举报转办件共计13616件；接听投诉咨询电话及接待来人来访共计5193件。共计受理投诉、举报、咨询18809件，我局在受理、处理各类投诉、举报均严格按照相关工作标准，对消费者投诉做到 “四个100%”即：100%受理、100%处理、100%反馈、发现违法线索100%“诉转案”。截止目前，我局共16例“诉转案”案件，在今后的工作中，我局仍将秉持投诉、举报工作标准，严格要求，认真执行。</w:t>
      </w:r>
    </w:p>
    <w:p w14:paraId="3CB27620">
      <w:pPr>
        <w:spacing w:line="560" w:lineRule="exact"/>
        <w:ind w:firstLine="640" w:firstLineChars="200"/>
        <w:rPr>
          <w:rFonts w:hint="eastAsia" w:ascii="黑体" w:hAnsi="Times New Roman" w:eastAsia="黑体"/>
          <w:color w:val="000000"/>
          <w:sz w:val="32"/>
          <w:szCs w:val="32"/>
        </w:rPr>
      </w:pPr>
      <w:r>
        <w:rPr>
          <w:rFonts w:hint="eastAsia" w:ascii="黑体" w:hAnsi="Times New Roman" w:eastAsia="黑体"/>
          <w:color w:val="000000"/>
          <w:sz w:val="32"/>
          <w:szCs w:val="32"/>
        </w:rPr>
        <w:t>（十）投诉举报数据分析运用情况</w:t>
      </w:r>
    </w:p>
    <w:p w14:paraId="46C77980">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五华区市场监督管理局对照投诉举报数据分析情况，针对存在问题，认真开展了自查自纠，加强日常巡查监管，加大执法力度，截止到年12月16日，全局共下达处罚决定书214件，罚没款664.08万元。其中食品案件84件，罚没款341.32万元；无照经营案件14件，罚没款23.02万元；商标违法案件11件，罚没款28.1万元；广告违法案件13件，罚没款106.65万元；产品质量案件11件，罚没款15.38万元；药品及医疗器械案件17件，罚没款63.39万元；特种设备案件17件，罚没款37万元；其他案件47件，罚没款49.22万元。</w:t>
      </w:r>
    </w:p>
    <w:p w14:paraId="03A8502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面对日趋增长的投诉举报数量，坚持标本兼治抓整改，将整改聚焦在投诉举报存在的突出问题上，采取行政约谈、告诫提醒、监督检查、专项整治、严查违法行为等方式规范企业经营行为，督促企业整改，严格按照“依法依规、从重从快、顶格处理”的原则，严厉查处违法违规行为，对构成立案条件的，必须立案查处；对违法严重，达到吊销营业执照条件的，要坚决依法吊销；对达到追诉标准的，要及时移送进行司法处理。</w:t>
      </w:r>
    </w:p>
    <w:p w14:paraId="7246D311">
      <w:pPr>
        <w:pStyle w:val="33"/>
        <w:widowControl/>
        <w:ind w:firstLine="0" w:firstLineChars="0"/>
        <w:jc w:val="center"/>
        <w:rPr>
          <w:rFonts w:hint="eastAsia" w:ascii="黑体" w:hAnsi="黑体" w:eastAsia="黑体" w:cs="黑体"/>
          <w:bCs/>
          <w:color w:val="000000"/>
          <w:sz w:val="44"/>
          <w:szCs w:val="44"/>
        </w:rPr>
      </w:pPr>
    </w:p>
    <w:p w14:paraId="2B0B38EB">
      <w:pPr>
        <w:pStyle w:val="33"/>
        <w:widowControl/>
        <w:ind w:firstLine="0" w:firstLineChars="0"/>
        <w:jc w:val="center"/>
        <w:rPr>
          <w:rFonts w:hint="eastAsia" w:ascii="黑体" w:hAnsi="黑体" w:eastAsia="黑体" w:cs="黑体"/>
          <w:bCs/>
          <w:color w:val="000000"/>
          <w:sz w:val="44"/>
          <w:szCs w:val="44"/>
        </w:rPr>
      </w:pPr>
    </w:p>
    <w:p w14:paraId="59816DD7">
      <w:pPr>
        <w:pStyle w:val="33"/>
        <w:widowControl/>
        <w:ind w:firstLine="0" w:firstLineChars="0"/>
        <w:jc w:val="center"/>
        <w:rPr>
          <w:rFonts w:hint="eastAsia" w:ascii="黑体" w:hAnsi="黑体" w:eastAsia="黑体" w:cs="黑体"/>
          <w:bCs/>
          <w:color w:val="000000"/>
          <w:sz w:val="44"/>
          <w:szCs w:val="44"/>
        </w:rPr>
      </w:pPr>
    </w:p>
    <w:p w14:paraId="1BB0EB22">
      <w:pPr>
        <w:pStyle w:val="33"/>
        <w:widowControl/>
        <w:ind w:firstLine="0" w:firstLineChars="0"/>
        <w:jc w:val="center"/>
        <w:rPr>
          <w:rFonts w:hint="eastAsia" w:ascii="黑体" w:hAnsi="黑体" w:eastAsia="黑体" w:cs="黑体"/>
          <w:bCs/>
          <w:color w:val="000000"/>
          <w:sz w:val="44"/>
          <w:szCs w:val="44"/>
        </w:rPr>
      </w:pPr>
    </w:p>
    <w:p w14:paraId="693CFE94">
      <w:pPr>
        <w:pStyle w:val="33"/>
        <w:widowControl/>
        <w:ind w:firstLine="0" w:firstLineChars="0"/>
        <w:jc w:val="center"/>
        <w:rPr>
          <w:rFonts w:hint="eastAsia" w:ascii="黑体" w:hAnsi="黑体" w:eastAsia="黑体" w:cs="黑体"/>
          <w:bCs/>
          <w:color w:val="000000"/>
          <w:sz w:val="44"/>
          <w:szCs w:val="44"/>
        </w:rPr>
      </w:pPr>
    </w:p>
    <w:p w14:paraId="269D072D">
      <w:pPr>
        <w:pStyle w:val="33"/>
        <w:widowControl/>
        <w:ind w:firstLine="0" w:firstLineChars="0"/>
        <w:jc w:val="center"/>
        <w:rPr>
          <w:rFonts w:hint="eastAsia" w:ascii="黑体" w:hAnsi="黑体" w:eastAsia="黑体" w:cs="黑体"/>
          <w:bCs/>
          <w:color w:val="000000"/>
          <w:sz w:val="44"/>
          <w:szCs w:val="44"/>
        </w:rPr>
      </w:pPr>
    </w:p>
    <w:p w14:paraId="6C82A558">
      <w:pPr>
        <w:pStyle w:val="33"/>
        <w:widowControl/>
        <w:ind w:firstLine="0" w:firstLineChars="0"/>
        <w:jc w:val="center"/>
        <w:rPr>
          <w:rFonts w:hint="eastAsia" w:ascii="黑体" w:hAnsi="黑体" w:eastAsia="黑体" w:cs="黑体"/>
          <w:bCs/>
          <w:color w:val="000000"/>
          <w:sz w:val="44"/>
          <w:szCs w:val="44"/>
        </w:rPr>
      </w:pPr>
    </w:p>
    <w:p w14:paraId="785D65A9">
      <w:pPr>
        <w:pStyle w:val="33"/>
        <w:widowControl/>
        <w:ind w:firstLine="0" w:firstLineChars="0"/>
        <w:jc w:val="center"/>
        <w:rPr>
          <w:rFonts w:hint="eastAsia" w:ascii="黑体" w:hAnsi="黑体" w:eastAsia="黑体" w:cs="黑体"/>
          <w:bCs/>
          <w:color w:val="000000"/>
          <w:sz w:val="44"/>
          <w:szCs w:val="44"/>
        </w:rPr>
      </w:pPr>
    </w:p>
    <w:p w14:paraId="23EABEE2">
      <w:pPr>
        <w:pStyle w:val="33"/>
        <w:widowControl/>
        <w:ind w:firstLine="0" w:firstLineChars="0"/>
        <w:jc w:val="center"/>
        <w:rPr>
          <w:rFonts w:hint="eastAsia" w:ascii="黑体" w:hAnsi="黑体" w:eastAsia="黑体" w:cs="黑体"/>
          <w:bCs/>
          <w:color w:val="000000"/>
          <w:sz w:val="44"/>
          <w:szCs w:val="44"/>
        </w:rPr>
      </w:pPr>
    </w:p>
    <w:p w14:paraId="4AC9911D">
      <w:pPr>
        <w:pStyle w:val="33"/>
        <w:widowControl/>
        <w:ind w:firstLine="0" w:firstLineChars="0"/>
        <w:jc w:val="center"/>
        <w:rPr>
          <w:rFonts w:hint="eastAsia" w:ascii="黑体" w:hAnsi="黑体" w:eastAsia="黑体" w:cs="黑体"/>
          <w:bCs/>
          <w:color w:val="000000"/>
          <w:sz w:val="44"/>
          <w:szCs w:val="44"/>
        </w:rPr>
      </w:pPr>
    </w:p>
    <w:p w14:paraId="38D1CE66">
      <w:pPr>
        <w:pStyle w:val="33"/>
        <w:widowControl/>
        <w:ind w:firstLine="0" w:firstLineChars="0"/>
        <w:rPr>
          <w:rFonts w:hint="eastAsia" w:ascii="黑体" w:hAnsi="黑体" w:eastAsia="黑体" w:cs="黑体"/>
          <w:bCs/>
          <w:color w:val="000000"/>
          <w:sz w:val="44"/>
          <w:szCs w:val="44"/>
        </w:rPr>
      </w:pPr>
    </w:p>
    <w:p w14:paraId="32138D9F">
      <w:pPr>
        <w:pStyle w:val="33"/>
        <w:widowControl/>
        <w:ind w:firstLine="0" w:firstLineChars="0"/>
        <w:jc w:val="center"/>
        <w:rPr>
          <w:rFonts w:hint="eastAsia" w:ascii="黑体" w:hAnsi="黑体" w:eastAsia="黑体" w:cs="黑体"/>
          <w:bCs/>
          <w:color w:val="000000"/>
          <w:sz w:val="44"/>
          <w:szCs w:val="44"/>
        </w:rPr>
      </w:pPr>
    </w:p>
    <w:p w14:paraId="1CDA6649">
      <w:pPr>
        <w:pStyle w:val="33"/>
        <w:widowControl/>
        <w:ind w:firstLine="0" w:firstLineChars="0"/>
        <w:jc w:val="center"/>
        <w:rPr>
          <w:rFonts w:hint="eastAsia" w:ascii="黑体" w:hAnsi="黑体" w:eastAsia="黑体" w:cs="黑体"/>
          <w:bCs/>
          <w:color w:val="000000"/>
          <w:sz w:val="44"/>
          <w:szCs w:val="44"/>
        </w:rPr>
      </w:pPr>
      <w:r>
        <w:rPr>
          <w:rFonts w:hint="eastAsia" w:ascii="黑体" w:hAnsi="黑体" w:eastAsia="黑体" w:cs="黑体"/>
          <w:bCs/>
          <w:color w:val="000000"/>
          <w:sz w:val="44"/>
          <w:szCs w:val="44"/>
        </w:rPr>
        <w:t>第九章  质量工作建议</w:t>
      </w:r>
    </w:p>
    <w:p w14:paraId="24167DFC">
      <w:pPr>
        <w:spacing w:line="580" w:lineRule="exact"/>
        <w:ind w:firstLine="630" w:firstLineChars="196"/>
        <w:rPr>
          <w:rFonts w:ascii="方正小标宋简体" w:hAnsi="Times New Roman" w:eastAsia="方正小标宋简体"/>
          <w:b/>
          <w:bCs/>
          <w:color w:val="000000"/>
          <w:sz w:val="32"/>
          <w:szCs w:val="32"/>
        </w:rPr>
      </w:pPr>
      <w:r>
        <w:rPr>
          <w:rFonts w:hint="eastAsia" w:ascii="方正小标宋简体" w:hAnsi="Times New Roman" w:eastAsia="方正小标宋简体"/>
          <w:b/>
          <w:bCs/>
          <w:color w:val="000000"/>
          <w:sz w:val="32"/>
          <w:szCs w:val="32"/>
        </w:rPr>
        <w:t>一、存在的问题</w:t>
      </w:r>
    </w:p>
    <w:p w14:paraId="30AD34C7">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2020年以来，区委、区政府高度重视质量强区工作，按照“质量强市”的总体工作要求，各成员单位高位推进，通过有效开展“质量强区”建设工作，五华区产品质量、工程质量、服务质量、环境质量和公共管理质量不断提高，工作目标有序推进，全区质量工作取得了较好成绩。但是，在肯定成绩的同时，从整体上看，质量工作的推进依旧存在下列问题：</w:t>
      </w:r>
    </w:p>
    <w:p w14:paraId="5D1D8144">
      <w:pPr>
        <w:spacing w:line="580" w:lineRule="exact"/>
        <w:ind w:firstLine="627" w:firstLineChars="196"/>
        <w:rPr>
          <w:rFonts w:hint="eastAsia" w:ascii="楷体_GB2312" w:hAnsi="Times New Roman" w:eastAsia="楷体_GB2312"/>
          <w:bCs/>
          <w:color w:val="000000"/>
          <w:sz w:val="32"/>
          <w:szCs w:val="32"/>
        </w:rPr>
      </w:pPr>
      <w:r>
        <w:rPr>
          <w:rFonts w:hint="eastAsia" w:ascii="仿宋_GB2312" w:hAnsi="Times New Roman" w:eastAsia="仿宋_GB2312"/>
          <w:bCs/>
          <w:color w:val="000000"/>
          <w:sz w:val="32"/>
          <w:szCs w:val="32"/>
        </w:rPr>
        <w:t>（一）质量管理工作基础薄弱，多数中小企业缺少质量管理人才，缺乏相应制度。政府扶持质量创新、质量提升的政策还较少，财力、物力、人力投入还不够。质量管理技术水平仍需加强，公共技术平台仍不完善。信息化投入和建设滞后于当前综合监管的需求，严重制约了监管体系的建设。</w:t>
      </w:r>
    </w:p>
    <w:p w14:paraId="45AAE011">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二）质量管理工作还没有形成合力宏观质量管理由市场质量管理、社会质量管理和政府质量管理共同构成，这三类不同的主体在宏观质量管理中都有其自身不可替代的功能，从而构成完整的宏观质量管理系统。在当前的宏观质量管理中，政府发挥着绝大部分的作用，社会组织和市场组织的参与度较少。人人追求质量、崇尚质量的氛围还不浓厚，致使一些伪劣产品仍有市场。面对复杂的质量管理对象，宣传部门要围绕质量兴区工作整体部署，根据各成员单位的工作成效、经验措施和取得的成绩，多形式、多渠道做好宣传报道工作，通过加强宣传引导，形成人人重视质量、人人参与质量、人人监督质量、人人享受质量的良好社会氛围。</w:t>
      </w:r>
    </w:p>
    <w:p w14:paraId="555269CB">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（三）质量安全监管仍需加强</w:t>
      </w:r>
    </w:p>
    <w:p w14:paraId="294CC0AD">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目前，监管主体职责职能交叉、多头监管现象严重，同时缺乏专业的监管人员，甚至有些监管机构存在不依法行政等问题。质量标准体系建设滞后，全过程可跟踪反馈追溯监管体系仍未建立。质量检测方法不合理，检测的可操作性不强，执法能力水平与实际需要有一定差距。</w:t>
      </w:r>
    </w:p>
    <w:p w14:paraId="60F26739">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（四）质量责任主体落实不到位</w:t>
      </w:r>
    </w:p>
    <w:p w14:paraId="6DD8DC3C">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 xml:space="preserve">从微观主体角度来看，质量兴企是质量兴区的关键环节，企业是质量安全的主体和第一责任人。质量问题主要出现在中小微企业，而五华区目前中小型企业占很大比重，他们的质量管理基础能力一般较薄弱，一定程度上存在注重经营成绩而忽视质量提升的问题。多数企业缺乏以质量为核心竞争力的战略眼光，以短期内降低生产成本为目的，使用低廉的原材料，甚至偷工减料，缺失诚信，为追求企业利益而损害消费者权益。企业普遍质量工作投入不足，缺少高素质的质量管理和技术人才，质量管理、计量检测、标准等全过程体系建设不健全，创新能力弱，产品技术标准水平低，品牌产品规模小，竞争力不强。 </w:t>
      </w:r>
    </w:p>
    <w:p w14:paraId="5AA72AAE">
      <w:pPr>
        <w:spacing w:line="580" w:lineRule="exact"/>
        <w:ind w:firstLine="630" w:firstLineChars="196"/>
        <w:rPr>
          <w:rFonts w:ascii="方正小标宋简体" w:hAnsi="Times New Roman" w:eastAsia="方正小标宋简体"/>
          <w:b/>
          <w:bCs/>
          <w:color w:val="000000"/>
          <w:sz w:val="32"/>
          <w:szCs w:val="32"/>
        </w:rPr>
      </w:pPr>
      <w:r>
        <w:rPr>
          <w:rFonts w:hint="eastAsia" w:ascii="方正小标宋简体" w:hAnsi="Times New Roman" w:eastAsia="方正小标宋简体"/>
          <w:b/>
          <w:bCs/>
          <w:color w:val="000000"/>
          <w:sz w:val="32"/>
          <w:szCs w:val="32"/>
        </w:rPr>
        <w:t>二、对策与建议</w:t>
      </w:r>
    </w:p>
    <w:p w14:paraId="1B9F224A">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质量强区工作是一项持续推动、不断完善、与时俱进的系统工程，是进一步改善民生，实现好、维护好、发展好人民群众的根本利益，维护社会稳定和谐的必然要求。我们应采取有力措施，扎实推进质量工作深入开展，着力提高辖区内质量宣传工作水平，努力构建“大质量”工作平台，为促进全区经济社会高质量发展奠定坚实基础。为巩固“争创全国质量强市示范城市”成果，结合质量强区工作实际，下一步应继续加强领导、提高认识、统一思想、加强协调，把质量强区作为树立区域形象、推动经济又好又快发展的一项重要工作抓手，加快推进“全面城市化、率先现代化、充分国际化”进程，努力开创经济、政治、文化、社会和生态文明建设的新局面，实现既定的主要发展目标。</w:t>
      </w:r>
    </w:p>
    <w:p w14:paraId="775ECC7E">
      <w:pPr>
        <w:spacing w:line="580" w:lineRule="exact"/>
        <w:ind w:firstLine="630" w:firstLineChars="196"/>
        <w:rPr>
          <w:rFonts w:ascii="楷体_GB2312" w:hAnsi="Times New Roman" w:eastAsia="楷体_GB2312"/>
          <w:b/>
          <w:bCs/>
          <w:color w:val="000000"/>
          <w:sz w:val="32"/>
          <w:szCs w:val="32"/>
        </w:rPr>
      </w:pPr>
      <w:r>
        <w:rPr>
          <w:rFonts w:hint="eastAsia" w:ascii="楷体_GB2312" w:hAnsi="Times New Roman" w:eastAsia="楷体_GB2312"/>
          <w:b/>
          <w:bCs/>
          <w:color w:val="000000"/>
          <w:sz w:val="32"/>
          <w:szCs w:val="32"/>
        </w:rPr>
        <w:t>（一）深入实施质量战略，推动质量强区工作</w:t>
      </w:r>
    </w:p>
    <w:p w14:paraId="62A7266A">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1、加大质量工作的必要投入。坚持“政府牵头、部门合力、企业主体、群众参与”的原则，引导相关示范点、示范企业等市场主体提升产品质量、服务质量、环境质量、工程质量，夯实质量发展基础，建立与我区经济社会发展相适应的质量工作体系。政府财政统筹安排质量工作经费，列入年度预算，并逐年增加。在质量强区工作推进、质量安全监管、质量监督抽查、技术标准体系和公共检验检测平台建设等专项工作方面，进一步加大投入力度。构建落实企业主体责任，社会各界广泛参与的质量治理模式。加大对质量技术人员的培育力度，造就一支热爱质量事业、精通质量专业的人才队伍。</w:t>
      </w:r>
    </w:p>
    <w:p w14:paraId="1F0AC821">
      <w:pPr>
        <w:spacing w:line="580" w:lineRule="exact"/>
        <w:ind w:firstLine="627" w:firstLineChars="196"/>
        <w:rPr>
          <w:rFonts w:hint="eastAsia" w:ascii="仿宋_GB2312" w:hAnsi="Times New Roman" w:eastAsia="仿宋_GB2312"/>
          <w:bCs/>
          <w:color w:val="000000"/>
          <w:sz w:val="32"/>
          <w:szCs w:val="32"/>
        </w:rPr>
      </w:pPr>
      <w:r>
        <w:rPr>
          <w:rFonts w:hint="eastAsia" w:ascii="仿宋_GB2312" w:hAnsi="Times New Roman" w:eastAsia="仿宋_GB2312"/>
          <w:bCs/>
          <w:color w:val="000000"/>
          <w:sz w:val="32"/>
          <w:szCs w:val="32"/>
        </w:rPr>
        <w:t>2、着力聚焦提质增效。提升质量以促进产业发展，打造区域发展新亮点，精准发力稳增长，进一步提升有效投资的规模和质量，确保经济平稳增长。把质量工作贯穿于经济发展全过程。实现速度与质量、规模与效益的有机统一。支持企业以提升质量水平为主要内容的创新活动，不断提升高端技术。全力攻坚项目建设。做强科技园区，凸显“一园多区，一区一主业”特色 。</w:t>
      </w:r>
    </w:p>
    <w:p w14:paraId="29A8E75C">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3、完善加强质量考核进程。将质量工作纳入政府年度绩效考核体系，对各项目标任务层层分解，落实到具体单位和责任人，建立起一级抓一级、层层抓落实的目标责任体系。丰富考核指标，完善考核方法，健全考核机制，将考核结果有效利用，认真落实质量工作责任制和责任追究制。这既是推动部门质量工作的重要手段，也是职能部门树立以质量为中心的必要引导。通过提高考核工作的可比性和可操作性，让各职能部门能够真正重视质量考核工作，从而重视质量工作。</w:t>
      </w:r>
    </w:p>
    <w:p w14:paraId="505B0524">
      <w:pPr>
        <w:spacing w:line="580" w:lineRule="exact"/>
        <w:ind w:firstLine="630" w:firstLineChars="196"/>
        <w:rPr>
          <w:rFonts w:ascii="楷体_GB2312" w:hAnsi="Times New Roman" w:eastAsia="楷体_GB2312"/>
          <w:b/>
          <w:bCs/>
          <w:color w:val="000000"/>
          <w:sz w:val="32"/>
          <w:szCs w:val="32"/>
        </w:rPr>
      </w:pPr>
      <w:r>
        <w:rPr>
          <w:rFonts w:hint="eastAsia" w:ascii="楷体_GB2312" w:hAnsi="Times New Roman" w:eastAsia="楷体_GB2312"/>
          <w:b/>
          <w:bCs/>
          <w:color w:val="000000"/>
          <w:sz w:val="32"/>
          <w:szCs w:val="32"/>
        </w:rPr>
        <w:t>（二）实施技术标准战略，加强产品品牌培育</w:t>
      </w:r>
    </w:p>
    <w:p w14:paraId="76EB1142">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1、提高标准化工作水平。标准化是企业核心竞争力的基本组成要素，也是衡量一个企业乃至一个区域质量水平的重要标志。有效实施技术标准发展战略对于提高产品质量和核心竞争力起到积极的推动作用。加快现代农业、现代服务业、新型工业等领域地方标准体系建设。对新兴产业，鼓励龙头企业先行制订服务标准，再逐步推广，提升标准对经济发展的贡献率。对待现有产业，引荐吸收国外先进标准经验，鼓励企业采用国际标准和国外先进标准，支持我区优势产业、企业将具有比较优势产品的企业标准上升为国家标准或国际标准。</w:t>
      </w:r>
    </w:p>
    <w:p w14:paraId="1DEE2C71">
      <w:pPr>
        <w:spacing w:line="580" w:lineRule="exact"/>
        <w:ind w:firstLine="630" w:firstLineChars="196"/>
        <w:rPr>
          <w:rFonts w:ascii="楷体_GB2312" w:hAnsi="Times New Roman" w:eastAsia="楷体_GB2312"/>
          <w:b/>
          <w:bCs/>
          <w:color w:val="000000"/>
          <w:sz w:val="32"/>
          <w:szCs w:val="32"/>
        </w:rPr>
      </w:pPr>
      <w:r>
        <w:rPr>
          <w:rFonts w:hint="eastAsia" w:ascii="楷体_GB2312" w:hAnsi="Times New Roman" w:eastAsia="楷体_GB2312"/>
          <w:b/>
          <w:bCs/>
          <w:color w:val="000000"/>
          <w:sz w:val="32"/>
          <w:szCs w:val="32"/>
        </w:rPr>
        <w:t>（三）完善检验检测体系，增加检测资源供给</w:t>
      </w:r>
    </w:p>
    <w:p w14:paraId="1815B40F">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质量检验检测是判断产品质量是否合格的重要手段,为行政执法、市场监管提供强有力的技术保障,建立产品质量检验检测体系对保护消费者利益及维护市场经济秩序都起到了重要的保护作用。大力发展检测行业需要继续完善公共技术平台，构建产品检测、新产品研发、技术信息服务为一体检验检测体系。不仅实验室检测设备配置和管理要与市场经济发展相适应，质检机构还要提高检验水平和检验效果。并进一步提高检测人员素质，对检测人员进行分类管理和全方位培训，以规范检测行为、增强技术机构综合实力。</w:t>
      </w:r>
    </w:p>
    <w:p w14:paraId="12E3549A">
      <w:pPr>
        <w:spacing w:line="580" w:lineRule="exact"/>
        <w:ind w:firstLine="630" w:firstLineChars="196"/>
        <w:rPr>
          <w:rFonts w:ascii="楷体_GB2312" w:hAnsi="Times New Roman" w:eastAsia="楷体_GB2312"/>
          <w:b/>
          <w:bCs/>
          <w:color w:val="000000"/>
          <w:sz w:val="32"/>
          <w:szCs w:val="32"/>
        </w:rPr>
      </w:pPr>
      <w:r>
        <w:rPr>
          <w:rFonts w:hint="eastAsia" w:ascii="楷体_GB2312" w:hAnsi="Times New Roman" w:eastAsia="楷体_GB2312"/>
          <w:b/>
          <w:bCs/>
          <w:color w:val="000000"/>
          <w:sz w:val="32"/>
          <w:szCs w:val="32"/>
        </w:rPr>
        <w:t>（四）重视学科教育，培养高质量人才</w:t>
      </w:r>
    </w:p>
    <w:p w14:paraId="0A8C72C6">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在各生产要素中，人才是最重要、最活跃的因素。针对我区质量人才资源缺乏的现状，要在激烈竞争中要站住脚跟、助力质量强区，就要丰富质量学科专业的建设，加强质量人才培训，推进完善质量安全人才培养体系，加快完成质量技术工程专业群建设与人才培养层次的衔接，为全区培养、输送不同层次的高素质质量人才。通过搭建平台，吸引社会资源共同办教育，提高教育资源的深度融合，提升办学层次、规模和教育质量。鼓励建立社会化质量教育培训机构，加强现有员工专业技术培训，提高专业技术水平。应重视高端人才的引进，建立质量人才交流激励机制，鼓励企业引进国内外高端质量人才，或激励本企业员工外出深造学习，培养具备国际视野的复合型、应用型质量技术人才，促进国际文化技术交流。</w:t>
      </w:r>
    </w:p>
    <w:p w14:paraId="7AA53669">
      <w:pPr>
        <w:spacing w:line="580" w:lineRule="exact"/>
        <w:ind w:firstLine="630" w:firstLineChars="196"/>
        <w:rPr>
          <w:rFonts w:ascii="楷体_GB2312" w:hAnsi="Times New Roman" w:eastAsia="楷体_GB2312"/>
          <w:b/>
          <w:bCs/>
          <w:color w:val="000000"/>
          <w:sz w:val="32"/>
          <w:szCs w:val="32"/>
        </w:rPr>
      </w:pPr>
      <w:r>
        <w:rPr>
          <w:rFonts w:hint="eastAsia" w:ascii="楷体_GB2312" w:hAnsi="Times New Roman" w:eastAsia="楷体_GB2312"/>
          <w:b/>
          <w:bCs/>
          <w:color w:val="000000"/>
          <w:sz w:val="32"/>
          <w:szCs w:val="32"/>
        </w:rPr>
        <w:t>（五）加快信用体系建设，优化质量竞争秩序</w:t>
      </w:r>
    </w:p>
    <w:p w14:paraId="59EF10C4">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加快推进社会信用体系建设，建立健全信用评价、信用承诺、行业领域红黑名单等制度，对质量违规企业下重手，全面实施守信联合激励、失信联合惩戒制度，构建以信用为核心的新型市场监管体制。加强产品监管、维护市场秩序的工作力度。通过严格生产过程监管、严格监督抽查、严格执法打假，形成质量安全监管常态机制。整合质量安全监管信息资源，完善企业质量信用档案和产品质量信用信息记录，利用质量信用评价体系，实施质量信用分类监管。</w:t>
      </w:r>
    </w:p>
    <w:p w14:paraId="0B55AB52">
      <w:pPr>
        <w:spacing w:line="580" w:lineRule="exact"/>
        <w:ind w:firstLine="627" w:firstLineChars="196"/>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把产品质量状况作为衡量企业诚信水平的重要标志。形成质量优胜劣汰效应，切实保障消费者权益。以企业质量诚信体系建设为载体，以质量</w:t>
      </w:r>
      <w:r>
        <w:rPr>
          <w:rFonts w:hint="eastAsia" w:ascii="仿宋_GB2312" w:hAnsi="Times New Roman" w:eastAsia="仿宋_GB2312"/>
          <w:bCs/>
          <w:color w:val="000000"/>
          <w:sz w:val="32"/>
          <w:szCs w:val="32"/>
          <w:lang w:val="en-US" w:eastAsia="zh-CN"/>
        </w:rPr>
        <w:t>法治</w:t>
      </w:r>
      <w:r>
        <w:rPr>
          <w:rFonts w:hint="eastAsia" w:ascii="仿宋_GB2312" w:hAnsi="Times New Roman" w:eastAsia="仿宋_GB2312"/>
          <w:bCs/>
          <w:color w:val="000000"/>
          <w:sz w:val="32"/>
          <w:szCs w:val="32"/>
        </w:rPr>
        <w:t>意识和质量诚信意识教育为主要内容，加强企业质量诚信文化宣传和教育。引导和推动行业组织制定行业质量诚信守则规范，明确各行业诚信责任和义务，加快行业质量诚信自律机制建设，营造公平有序的市场消费环境。</w:t>
      </w:r>
    </w:p>
    <w:p w14:paraId="121A5303">
      <w:pPr>
        <w:pStyle w:val="33"/>
        <w:widowControl/>
        <w:ind w:firstLine="0" w:firstLineChars="0"/>
        <w:rPr>
          <w:rFonts w:hint="eastAsia" w:ascii="黑体" w:hAnsi="黑体" w:eastAsia="黑体" w:cs="黑体"/>
          <w:bCs/>
          <w:color w:val="000000"/>
          <w:sz w:val="44"/>
          <w:szCs w:val="44"/>
        </w:rPr>
      </w:pPr>
    </w:p>
    <w:p w14:paraId="4DC096A2">
      <w:pPr>
        <w:pStyle w:val="33"/>
        <w:widowControl/>
        <w:ind w:left="960" w:firstLine="0" w:firstLineChars="0"/>
        <w:jc w:val="left"/>
        <w:rPr>
          <w:rFonts w:hint="eastAsia" w:ascii="黑体" w:hAnsi="黑体" w:eastAsia="黑体" w:cs="黑体"/>
          <w:bCs/>
          <w:color w:val="000000"/>
          <w:sz w:val="44"/>
          <w:szCs w:val="44"/>
        </w:rPr>
      </w:pPr>
    </w:p>
    <w:p w14:paraId="2674848E">
      <w:pPr>
        <w:pStyle w:val="33"/>
        <w:widowControl/>
        <w:ind w:firstLine="0" w:firstLineChars="0"/>
        <w:rPr>
          <w:rFonts w:hint="eastAsia" w:ascii="黑体" w:hAnsi="黑体" w:eastAsia="黑体" w:cs="黑体"/>
          <w:bCs/>
          <w:color w:val="000000"/>
          <w:sz w:val="44"/>
          <w:szCs w:val="44"/>
        </w:rPr>
      </w:pPr>
    </w:p>
    <w:p w14:paraId="0659684E">
      <w:pPr>
        <w:jc w:val="left"/>
        <w:rPr>
          <w:rFonts w:hint="eastAsia" w:ascii="仿宋_GB2312" w:eastAsia="仿宋_GB2312"/>
          <w:sz w:val="32"/>
          <w:szCs w:val="32"/>
        </w:rPr>
      </w:pPr>
    </w:p>
    <w:sectPr>
      <w:footerReference r:id="rId9"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AE5B0D-B1CE-4A61-AD1F-020127F1B4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180598F-FEB6-4C6C-A6B1-B05AD6E6E015}"/>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1" w:usb1="080E0000" w:usb2="00000000" w:usb3="00000000" w:csb0="00040000" w:csb1="00000000"/>
    <w:embedRegular r:id="rId3" w:fontKey="{B3F2E117-4196-4C62-B767-74D629240A59}"/>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1" w:usb1="080E0000" w:usb2="00000000" w:usb3="00000000" w:csb0="00040000" w:csb1="00000000"/>
    <w:embedRegular r:id="rId4" w:fontKey="{4AF66BC1-7EB3-4AEE-960A-BA0AD48C4E01}"/>
  </w:font>
  <w:font w:name="楷体">
    <w:panose1 w:val="02010609060101010101"/>
    <w:charset w:val="86"/>
    <w:family w:val="modern"/>
    <w:pitch w:val="default"/>
    <w:sig w:usb0="800002BF" w:usb1="38CF7CFA" w:usb2="00000016" w:usb3="00000000" w:csb0="00040001" w:csb1="00000000"/>
    <w:embedRegular r:id="rId5" w:fontKey="{CCB63B12-0E12-4589-9C7C-A5CA0BCB30F1}"/>
  </w:font>
  <w:font w:name="方正小标宋简体">
    <w:altName w:val="方正小标宋简体"/>
    <w:panose1 w:val="02000000000000000000"/>
    <w:charset w:val="86"/>
    <w:family w:val="auto"/>
    <w:pitch w:val="default"/>
    <w:sig w:usb0="00000001" w:usb1="08000000" w:usb2="00000000" w:usb3="00000000" w:csb0="00040000" w:csb1="00000000"/>
    <w:embedRegular r:id="rId6" w:fontKey="{289E64B3-D5A0-43C2-9EB7-CD41ABBD3BBA}"/>
  </w:font>
  <w:font w:name="华文楷体">
    <w:panose1 w:val="02010600040101010101"/>
    <w:charset w:val="86"/>
    <w:family w:val="auto"/>
    <w:pitch w:val="default"/>
    <w:sig w:usb0="00000287" w:usb1="080F0000" w:usb2="00000000" w:usb3="00000000" w:csb0="0004009F" w:csb1="DFD70000"/>
    <w:embedRegular r:id="rId7" w:fontKey="{2446250F-63CD-4EB4-9043-3E2D5CA66C2E}"/>
  </w:font>
  <w:font w:name="等线">
    <w:panose1 w:val="02010600030101010101"/>
    <w:charset w:val="86"/>
    <w:family w:val="auto"/>
    <w:pitch w:val="default"/>
    <w:sig w:usb0="A00002BF" w:usb1="38CF7CFA" w:usb2="00000016" w:usb3="00000000" w:csb0="0004000F" w:csb1="00000000"/>
    <w:embedRegular r:id="rId8" w:fontKey="{F13F855F-A25C-49B1-828C-44A416DA8977}"/>
  </w:font>
  <w:font w:name="仿宋">
    <w:panose1 w:val="02010609060101010101"/>
    <w:charset w:val="86"/>
    <w:family w:val="modern"/>
    <w:pitch w:val="default"/>
    <w:sig w:usb0="800002BF" w:usb1="38CF7CFA" w:usb2="00000016" w:usb3="00000000" w:csb0="00040001" w:csb1="00000000"/>
    <w:embedRegular r:id="rId9" w:fontKey="{E6A5F37B-3D05-414F-8F0F-C9C52862A286}"/>
  </w:font>
  <w:font w:name="Arial">
    <w:panose1 w:val="020B0604020202020204"/>
    <w:charset w:val="00"/>
    <w:family w:val="swiss"/>
    <w:pitch w:val="default"/>
    <w:sig w:usb0="E0002EFF" w:usb1="C000785B" w:usb2="00000009" w:usb3="00000000" w:csb0="400001FF" w:csb1="FFFF0000"/>
    <w:embedRegular r:id="rId10" w:fontKey="{CFAAEA72-BAC1-42BB-A634-5593CD2DE4A0}"/>
  </w:font>
  <w:font w:name="新宋体">
    <w:panose1 w:val="02010609030101010101"/>
    <w:charset w:val="86"/>
    <w:family w:val="modern"/>
    <w:pitch w:val="default"/>
    <w:sig w:usb0="00000203" w:usb1="288F0000" w:usb2="00000006" w:usb3="00000000" w:csb0="00040001" w:csb1="00000000"/>
    <w:embedRegular r:id="rId11" w:fontKey="{05BAE1C6-9D1C-4268-B03D-542ECB99D764}"/>
  </w:font>
  <w:font w:name="Verdana">
    <w:panose1 w:val="020B0604030504040204"/>
    <w:charset w:val="00"/>
    <w:family w:val="swiss"/>
    <w:pitch w:val="default"/>
    <w:sig w:usb0="A00006FF" w:usb1="4000205B" w:usb2="00000010" w:usb3="00000000" w:csb0="2000019F" w:csb1="00000000"/>
    <w:embedRegular r:id="rId12" w:fontKey="{FCDC4770-EE6D-4B24-9B01-20FBEB255E8F}"/>
  </w:font>
  <w:font w:name="方正仿宋_GBK">
    <w:altName w:val="方正仿宋_GBK"/>
    <w:panose1 w:val="03000509000000000000"/>
    <w:charset w:val="86"/>
    <w:family w:val="script"/>
    <w:pitch w:val="default"/>
    <w:sig w:usb0="00000001" w:usb1="080E0000" w:usb2="00000000" w:usb3="00000000" w:csb0="00040000" w:csb1="00000000"/>
    <w:embedRegular r:id="rId13" w:fontKey="{616BE1AB-2E10-4933-BC29-8FB173359AB8}"/>
  </w:font>
  <w:font w:name="微软雅黑">
    <w:panose1 w:val="020B0503020204020204"/>
    <w:charset w:val="86"/>
    <w:family w:val="swiss"/>
    <w:pitch w:val="default"/>
    <w:sig w:usb0="80000287" w:usb1="2ACF3C50" w:usb2="00000016" w:usb3="00000000" w:csb0="0004001F" w:csb1="00000000"/>
    <w:embedRegular r:id="rId14" w:fontKey="{885ABE7E-0B92-4DE1-A22A-52406EB63963}"/>
  </w:font>
  <w:font w:name="华文仿宋">
    <w:panose1 w:val="02010600040101010101"/>
    <w:charset w:val="86"/>
    <w:family w:val="auto"/>
    <w:pitch w:val="default"/>
    <w:sig w:usb0="00000287" w:usb1="080F0000" w:usb2="00000000" w:usb3="00000000" w:csb0="0004009F" w:csb1="DFD70000"/>
    <w:embedRegular r:id="rId15" w:fontKey="{C46A08F5-DAF1-485A-8F4B-10519E5D952C}"/>
  </w:font>
  <w:font w:name="Malgun Gothic Semilight">
    <w:panose1 w:val="020B0502040204020203"/>
    <w:charset w:val="86"/>
    <w:family w:val="swiss"/>
    <w:pitch w:val="default"/>
    <w:sig w:usb0="900002AF" w:usb1="01D77CFB" w:usb2="00000012" w:usb3="00000000" w:csb0="203E01BD" w:csb1="D7FF0000"/>
    <w:embedRegular r:id="rId16" w:fontKey="{123A4448-AA3A-40F4-AFFB-4C2C40027550}"/>
  </w:font>
  <w:font w:name="绛夌嚎">
    <w:altName w:val="宋体"/>
    <w:panose1 w:val="00000000000000000000"/>
    <w:charset w:val="86"/>
    <w:family w:val="auto"/>
    <w:pitch w:val="default"/>
    <w:sig w:usb0="00000001" w:usb1="080E0000" w:usb2="00000010" w:usb3="00000000" w:csb0="00040000" w:csb1="00000000"/>
    <w:embedRegular r:id="rId17" w:fontKey="{EA174B7C-F031-46FB-AE7F-3E412EC3AB00}"/>
  </w:font>
  <w:font w:name="WPSEMBED6">
    <w:panose1 w:val="02000000000000000000"/>
    <w:charset w:val="86"/>
    <w:family w:val="auto"/>
    <w:pitch w:val="default"/>
    <w:sig w:usb0="00000001" w:usb1="08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WPSEMBED13">
    <w:panose1 w:val="03000509000000000000"/>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235B4">
    <w:pPr>
      <w:pStyle w:val="9"/>
      <w:jc w:val="center"/>
    </w:pPr>
    <w:r>
      <w:fldChar w:fldCharType="begin"/>
    </w:r>
    <w:r>
      <w:instrText xml:space="preserve"> PAGE   \* MERGEFORMAT </w:instrText>
    </w:r>
    <w:r>
      <w:fldChar w:fldCharType="separate"/>
    </w:r>
    <w:r>
      <w:rPr>
        <w:lang w:val="zh-CN"/>
      </w:rPr>
      <w:t>-</w:t>
    </w:r>
    <w:r>
      <w:rPr>
        <w:lang/>
      </w:rPr>
      <w:t xml:space="preserve"> 60 -</w:t>
    </w:r>
    <w:r>
      <w:fldChar w:fldCharType="end"/>
    </w:r>
  </w:p>
  <w:p w14:paraId="0A9CEC36">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7A3CA">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C37D2">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37C97">
    <w:pPr>
      <w:pStyle w:val="9"/>
      <w:jc w:val="right"/>
    </w:pPr>
    <w:r>
      <w:fldChar w:fldCharType="begin"/>
    </w:r>
    <w:r>
      <w:instrText xml:space="preserve"> PAGE   \* MERGEFORMAT </w:instrText>
    </w:r>
    <w:r>
      <w:fldChar w:fldCharType="separate"/>
    </w:r>
    <w:r>
      <w:rPr>
        <w:lang w:val="zh-CN"/>
      </w:rPr>
      <w:t>129</w:t>
    </w:r>
    <w:r>
      <w:fldChar w:fldCharType="end"/>
    </w:r>
  </w:p>
  <w:p w14:paraId="4F51DA47">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1493B">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056C0">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01A6E">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D61BF5"/>
    <w:multiLevelType w:val="multilevel"/>
    <w:tmpl w:val="01D61BF5"/>
    <w:lvl w:ilvl="0" w:tentative="0">
      <w:start w:val="3"/>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0F0A19E1"/>
    <w:multiLevelType w:val="multilevel"/>
    <w:tmpl w:val="0F0A19E1"/>
    <w:lvl w:ilvl="0" w:tentative="0">
      <w:start w:val="1"/>
      <w:numFmt w:val="none"/>
      <w:lvlText w:val="一、"/>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2">
    <w:nsid w:val="1AEA2864"/>
    <w:multiLevelType w:val="multilevel"/>
    <w:tmpl w:val="1AEA2864"/>
    <w:lvl w:ilvl="0" w:tentative="0">
      <w:start w:val="2"/>
      <w:numFmt w:val="japaneseCounting"/>
      <w:lvlText w:val="%1、"/>
      <w:lvlJc w:val="left"/>
      <w:pPr>
        <w:ind w:left="987" w:hanging="4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3">
    <w:nsid w:val="30E92658"/>
    <w:multiLevelType w:val="multilevel"/>
    <w:tmpl w:val="30E92658"/>
    <w:lvl w:ilvl="0" w:tentative="0">
      <w:start w:val="1"/>
      <w:numFmt w:val="japaneseCounting"/>
      <w:lvlText w:val="（%1）"/>
      <w:lvlJc w:val="left"/>
      <w:pPr>
        <w:ind w:left="1140" w:hanging="720"/>
      </w:pPr>
      <w:rPr>
        <w:rFonts w:hint="default" w:ascii="Times New Roman" w:hAnsi="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30EA3805"/>
    <w:multiLevelType w:val="multilevel"/>
    <w:tmpl w:val="30EA3805"/>
    <w:lvl w:ilvl="0" w:tentative="0">
      <w:start w:val="1"/>
      <w:numFmt w:val="japaneseCounting"/>
      <w:lvlText w:val="（%1）"/>
      <w:lvlJc w:val="left"/>
      <w:pPr>
        <w:ind w:left="1647" w:hanging="10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1FC23E7"/>
    <w:multiLevelType w:val="multilevel"/>
    <w:tmpl w:val="41FC23E7"/>
    <w:lvl w:ilvl="0" w:tentative="0">
      <w:start w:val="1"/>
      <w:numFmt w:val="japaneseCounting"/>
      <w:lvlText w:val="%1、"/>
      <w:lvlJc w:val="left"/>
      <w:pPr>
        <w:ind w:left="1287"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6">
    <w:nsid w:val="4BCC086B"/>
    <w:multiLevelType w:val="multilevel"/>
    <w:tmpl w:val="4BCC086B"/>
    <w:lvl w:ilvl="0" w:tentative="0">
      <w:start w:val="1"/>
      <w:numFmt w:val="japaneseCounting"/>
      <w:lvlText w:val="第%1章"/>
      <w:lvlJc w:val="left"/>
      <w:pPr>
        <w:ind w:left="960" w:hanging="960"/>
      </w:pPr>
      <w:rPr>
        <w:rFonts w:hint="eastAsia" w:ascii="楷体_GB2312" w:hAnsi="黑体" w:eastAsia="楷体_GB2312"/>
        <w:sz w:val="36"/>
        <w:szCs w:val="36"/>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5"/>
  </w:num>
  <w:num w:numId="3">
    <w:abstractNumId w:val="2"/>
  </w:num>
  <w:num w:numId="4">
    <w:abstractNumId w:val="0"/>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lNzQyMzg5YmZjMjE5ZTE1MTdiMzJkYzQxNmE5NDcifQ=="/>
  </w:docVars>
  <w:rsids>
    <w:rsidRoot w:val="002F61FB"/>
    <w:rsid w:val="00033A17"/>
    <w:rsid w:val="00064133"/>
    <w:rsid w:val="00083DCE"/>
    <w:rsid w:val="00087D43"/>
    <w:rsid w:val="000B5C98"/>
    <w:rsid w:val="000D4AE7"/>
    <w:rsid w:val="000F012D"/>
    <w:rsid w:val="001427C0"/>
    <w:rsid w:val="0014783A"/>
    <w:rsid w:val="00155D8C"/>
    <w:rsid w:val="001655EA"/>
    <w:rsid w:val="00173450"/>
    <w:rsid w:val="001A7948"/>
    <w:rsid w:val="001C02BE"/>
    <w:rsid w:val="001C0B04"/>
    <w:rsid w:val="001C34B9"/>
    <w:rsid w:val="001C7D73"/>
    <w:rsid w:val="001F3E67"/>
    <w:rsid w:val="00220B26"/>
    <w:rsid w:val="00241774"/>
    <w:rsid w:val="00262315"/>
    <w:rsid w:val="00275858"/>
    <w:rsid w:val="00285CA7"/>
    <w:rsid w:val="002A0F9B"/>
    <w:rsid w:val="002A44F6"/>
    <w:rsid w:val="002A4EB1"/>
    <w:rsid w:val="002E7D4D"/>
    <w:rsid w:val="002F61FB"/>
    <w:rsid w:val="003218B2"/>
    <w:rsid w:val="00351C9A"/>
    <w:rsid w:val="00356DDC"/>
    <w:rsid w:val="00362B91"/>
    <w:rsid w:val="00364E90"/>
    <w:rsid w:val="003C2387"/>
    <w:rsid w:val="004441FA"/>
    <w:rsid w:val="004718EF"/>
    <w:rsid w:val="00476ED8"/>
    <w:rsid w:val="004A24BB"/>
    <w:rsid w:val="004A3275"/>
    <w:rsid w:val="004C20A2"/>
    <w:rsid w:val="004C2461"/>
    <w:rsid w:val="004E1689"/>
    <w:rsid w:val="00523F59"/>
    <w:rsid w:val="00554AE0"/>
    <w:rsid w:val="00582651"/>
    <w:rsid w:val="005B0584"/>
    <w:rsid w:val="005E4634"/>
    <w:rsid w:val="006249FC"/>
    <w:rsid w:val="00640CDD"/>
    <w:rsid w:val="00690E01"/>
    <w:rsid w:val="00696A12"/>
    <w:rsid w:val="006F2DB3"/>
    <w:rsid w:val="007073A5"/>
    <w:rsid w:val="00720C9B"/>
    <w:rsid w:val="00767F9C"/>
    <w:rsid w:val="007716BE"/>
    <w:rsid w:val="00774DD9"/>
    <w:rsid w:val="007A53D8"/>
    <w:rsid w:val="007B1386"/>
    <w:rsid w:val="007C113F"/>
    <w:rsid w:val="007D1F88"/>
    <w:rsid w:val="008134FB"/>
    <w:rsid w:val="00826C92"/>
    <w:rsid w:val="008512B9"/>
    <w:rsid w:val="00854A9B"/>
    <w:rsid w:val="0086528A"/>
    <w:rsid w:val="00873848"/>
    <w:rsid w:val="00876C59"/>
    <w:rsid w:val="00885556"/>
    <w:rsid w:val="008B5481"/>
    <w:rsid w:val="008D67E6"/>
    <w:rsid w:val="008D7182"/>
    <w:rsid w:val="008D7D0D"/>
    <w:rsid w:val="008E4199"/>
    <w:rsid w:val="008F2B75"/>
    <w:rsid w:val="00902720"/>
    <w:rsid w:val="00916F54"/>
    <w:rsid w:val="009348A5"/>
    <w:rsid w:val="00983A45"/>
    <w:rsid w:val="009F68E6"/>
    <w:rsid w:val="00A33F03"/>
    <w:rsid w:val="00A5614E"/>
    <w:rsid w:val="00A756E2"/>
    <w:rsid w:val="00A910C4"/>
    <w:rsid w:val="00AA4DD8"/>
    <w:rsid w:val="00AF2352"/>
    <w:rsid w:val="00AF6EF3"/>
    <w:rsid w:val="00B06C3A"/>
    <w:rsid w:val="00B417E5"/>
    <w:rsid w:val="00B4243F"/>
    <w:rsid w:val="00B44C54"/>
    <w:rsid w:val="00B45A68"/>
    <w:rsid w:val="00B51535"/>
    <w:rsid w:val="00B521BD"/>
    <w:rsid w:val="00B558DC"/>
    <w:rsid w:val="00BA6A94"/>
    <w:rsid w:val="00BB20AE"/>
    <w:rsid w:val="00BB4BFC"/>
    <w:rsid w:val="00BB4FE5"/>
    <w:rsid w:val="00BD2D76"/>
    <w:rsid w:val="00C07786"/>
    <w:rsid w:val="00C34915"/>
    <w:rsid w:val="00C36C66"/>
    <w:rsid w:val="00C42E92"/>
    <w:rsid w:val="00C77435"/>
    <w:rsid w:val="00C80D80"/>
    <w:rsid w:val="00C83E41"/>
    <w:rsid w:val="00C94E13"/>
    <w:rsid w:val="00CA2D32"/>
    <w:rsid w:val="00CA497C"/>
    <w:rsid w:val="00CD2745"/>
    <w:rsid w:val="00CD56BD"/>
    <w:rsid w:val="00CD58FE"/>
    <w:rsid w:val="00CF7156"/>
    <w:rsid w:val="00D45808"/>
    <w:rsid w:val="00DB1A56"/>
    <w:rsid w:val="00E2178E"/>
    <w:rsid w:val="00E32FF9"/>
    <w:rsid w:val="00E51758"/>
    <w:rsid w:val="00E5396D"/>
    <w:rsid w:val="00E64E33"/>
    <w:rsid w:val="00E97F2F"/>
    <w:rsid w:val="00EE67ED"/>
    <w:rsid w:val="00F05AC8"/>
    <w:rsid w:val="00F141E6"/>
    <w:rsid w:val="00F36A56"/>
    <w:rsid w:val="00F46A19"/>
    <w:rsid w:val="00F528DA"/>
    <w:rsid w:val="00F7382C"/>
    <w:rsid w:val="00F87CBD"/>
    <w:rsid w:val="00F901D8"/>
    <w:rsid w:val="00F92B56"/>
    <w:rsid w:val="00FC1BF3"/>
    <w:rsid w:val="00FE723F"/>
    <w:rsid w:val="37F57A89"/>
    <w:rsid w:val="40D63F13"/>
    <w:rsid w:val="4BE10AB0"/>
    <w:rsid w:val="562875BC"/>
    <w:rsid w:val="7BDFBF5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0"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uiPriority w:val="1"/>
  </w:style>
  <w:style w:type="table" w:default="1" w:styleId="13">
    <w:name w:val="Normal Table"/>
    <w:unhideWhenUsed/>
    <w:qFormat/>
    <w:uiPriority w:val="99"/>
    <w:tblPr>
      <w:tblStyle w:val="13"/>
      <w:tblCellMar>
        <w:top w:w="0" w:type="dxa"/>
        <w:left w:w="108" w:type="dxa"/>
        <w:bottom w:w="0" w:type="dxa"/>
        <w:right w:w="108" w:type="dxa"/>
      </w:tblCellMar>
    </w:tblPr>
  </w:style>
  <w:style w:type="paragraph" w:styleId="5">
    <w:name w:val="Body Text"/>
    <w:basedOn w:val="1"/>
    <w:link w:val="21"/>
    <w:uiPriority w:val="0"/>
    <w:pPr>
      <w:spacing w:after="120"/>
    </w:pPr>
    <w:rPr>
      <w:rFonts w:eastAsia="仿宋_GB2312"/>
      <w:sz w:val="32"/>
      <w:szCs w:val="20"/>
    </w:rPr>
  </w:style>
  <w:style w:type="paragraph" w:styleId="6">
    <w:name w:val="Body Text Indent"/>
    <w:basedOn w:val="1"/>
    <w:link w:val="22"/>
    <w:unhideWhenUsed/>
    <w:uiPriority w:val="99"/>
    <w:pPr>
      <w:spacing w:after="120"/>
      <w:ind w:left="420" w:leftChars="200"/>
    </w:pPr>
  </w:style>
  <w:style w:type="paragraph" w:styleId="7">
    <w:name w:val="Plain Text"/>
    <w:basedOn w:val="1"/>
    <w:link w:val="23"/>
    <w:qFormat/>
    <w:uiPriority w:val="0"/>
    <w:rPr>
      <w:rFonts w:ascii="宋体" w:hAnsi="Courier New" w:cs="Courier New"/>
      <w:szCs w:val="21"/>
    </w:rPr>
  </w:style>
  <w:style w:type="paragraph" w:styleId="8">
    <w:name w:val="Body Text Indent 2"/>
    <w:basedOn w:val="1"/>
    <w:link w:val="24"/>
    <w:uiPriority w:val="0"/>
    <w:pPr>
      <w:spacing w:after="120" w:line="480" w:lineRule="auto"/>
      <w:ind w:left="420" w:leftChars="200"/>
    </w:pPr>
    <w:rPr>
      <w:szCs w:val="24"/>
    </w:rPr>
  </w:style>
  <w:style w:type="paragraph" w:styleId="9">
    <w:name w:val="footer"/>
    <w:basedOn w:val="1"/>
    <w:link w:val="25"/>
    <w:unhideWhenUsed/>
    <w:uiPriority w:val="99"/>
    <w:pPr>
      <w:tabs>
        <w:tab w:val="center" w:pos="4153"/>
        <w:tab w:val="right" w:pos="8306"/>
      </w:tabs>
      <w:snapToGrid w:val="0"/>
      <w:jc w:val="left"/>
    </w:pPr>
    <w:rPr>
      <w:sz w:val="18"/>
      <w:szCs w:val="18"/>
    </w:rPr>
  </w:style>
  <w:style w:type="paragraph" w:styleId="10">
    <w:name w:val="header"/>
    <w:basedOn w:val="1"/>
    <w:link w:val="26"/>
    <w:unhideWhenUsed/>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link w:val="27"/>
    <w:unhideWhenUsed/>
    <w:qFormat/>
    <w:uiPriority w:val="0"/>
    <w:pPr>
      <w:spacing w:before="100" w:beforeAutospacing="1" w:after="100" w:afterAutospacing="1"/>
      <w:jc w:val="left"/>
    </w:pPr>
    <w:rPr>
      <w:rFonts w:ascii="Calibri" w:hAnsi="Calibri" w:eastAsia="宋体" w:cs="Times New Roman"/>
      <w:kern w:val="0"/>
      <w:sz w:val="24"/>
      <w:szCs w:val="20"/>
    </w:rPr>
  </w:style>
  <w:style w:type="paragraph" w:styleId="12">
    <w:name w:val="Body Text First Indent 2"/>
    <w:basedOn w:val="6"/>
    <w:link w:val="28"/>
    <w:unhideWhenUsed/>
    <w:uiPriority w:val="99"/>
    <w:pPr>
      <w:ind w:firstLine="420" w:firstLineChars="200"/>
    </w:pPr>
  </w:style>
  <w:style w:type="character" w:styleId="15">
    <w:name w:val="page number"/>
    <w:basedOn w:val="14"/>
    <w:uiPriority w:val="0"/>
  </w:style>
  <w:style w:type="character" w:styleId="16">
    <w:name w:val="Emphasis"/>
    <w:basedOn w:val="14"/>
    <w:qFormat/>
    <w:uiPriority w:val="20"/>
    <w:rPr>
      <w:i/>
      <w:iCs/>
    </w:rPr>
  </w:style>
  <w:style w:type="character" w:styleId="17">
    <w:name w:val="Hyperlink"/>
    <w:basedOn w:val="14"/>
    <w:unhideWhenUsed/>
    <w:uiPriority w:val="99"/>
    <w:rPr>
      <w:color w:val="0000FF"/>
      <w:u w:val="single"/>
    </w:rPr>
  </w:style>
  <w:style w:type="character" w:customStyle="1" w:styleId="18">
    <w:name w:val="标题 1 Char"/>
    <w:basedOn w:val="14"/>
    <w:link w:val="2"/>
    <w:uiPriority w:val="9"/>
    <w:rPr>
      <w:b/>
      <w:bCs/>
      <w:kern w:val="44"/>
      <w:sz w:val="44"/>
      <w:szCs w:val="44"/>
    </w:rPr>
  </w:style>
  <w:style w:type="character" w:customStyle="1" w:styleId="19">
    <w:name w:val="标题 2 Char"/>
    <w:basedOn w:val="14"/>
    <w:link w:val="3"/>
    <w:uiPriority w:val="9"/>
    <w:rPr>
      <w:rFonts w:ascii="Cambria" w:hAnsi="Cambria" w:eastAsia="宋体" w:cs="Times New Roman"/>
      <w:b/>
      <w:bCs/>
      <w:sz w:val="32"/>
      <w:szCs w:val="32"/>
    </w:rPr>
  </w:style>
  <w:style w:type="character" w:customStyle="1" w:styleId="20">
    <w:name w:val="标题 3 Char"/>
    <w:basedOn w:val="14"/>
    <w:link w:val="4"/>
    <w:uiPriority w:val="9"/>
    <w:rPr>
      <w:b/>
      <w:bCs/>
      <w:sz w:val="32"/>
      <w:szCs w:val="32"/>
    </w:rPr>
  </w:style>
  <w:style w:type="character" w:customStyle="1" w:styleId="21">
    <w:name w:val="正文文本 Char"/>
    <w:basedOn w:val="14"/>
    <w:link w:val="5"/>
    <w:uiPriority w:val="0"/>
    <w:rPr>
      <w:rFonts w:eastAsia="仿宋_GB2312"/>
      <w:kern w:val="2"/>
      <w:sz w:val="32"/>
    </w:rPr>
  </w:style>
  <w:style w:type="character" w:customStyle="1" w:styleId="22">
    <w:name w:val="正文文本缩进 Char"/>
    <w:basedOn w:val="14"/>
    <w:link w:val="6"/>
    <w:semiHidden/>
    <w:uiPriority w:val="99"/>
    <w:rPr>
      <w:kern w:val="2"/>
      <w:sz w:val="21"/>
      <w:szCs w:val="22"/>
    </w:rPr>
  </w:style>
  <w:style w:type="character" w:customStyle="1" w:styleId="23">
    <w:name w:val="纯文本 Char"/>
    <w:basedOn w:val="14"/>
    <w:link w:val="7"/>
    <w:uiPriority w:val="0"/>
    <w:rPr>
      <w:rFonts w:ascii="宋体" w:hAnsi="Courier New" w:cs="Courier New"/>
      <w:kern w:val="2"/>
      <w:sz w:val="21"/>
      <w:szCs w:val="21"/>
    </w:rPr>
  </w:style>
  <w:style w:type="character" w:customStyle="1" w:styleId="24">
    <w:name w:val="正文文本缩进 2 Char"/>
    <w:basedOn w:val="14"/>
    <w:link w:val="8"/>
    <w:uiPriority w:val="0"/>
    <w:rPr>
      <w:kern w:val="2"/>
      <w:sz w:val="21"/>
      <w:szCs w:val="24"/>
    </w:rPr>
  </w:style>
  <w:style w:type="character" w:customStyle="1" w:styleId="25">
    <w:name w:val="页脚 Char"/>
    <w:basedOn w:val="14"/>
    <w:link w:val="9"/>
    <w:uiPriority w:val="99"/>
    <w:rPr>
      <w:sz w:val="18"/>
      <w:szCs w:val="18"/>
    </w:rPr>
  </w:style>
  <w:style w:type="character" w:customStyle="1" w:styleId="26">
    <w:name w:val="页眉 Char"/>
    <w:basedOn w:val="14"/>
    <w:link w:val="10"/>
    <w:semiHidden/>
    <w:uiPriority w:val="99"/>
    <w:rPr>
      <w:sz w:val="18"/>
      <w:szCs w:val="18"/>
    </w:rPr>
  </w:style>
  <w:style w:type="character" w:customStyle="1" w:styleId="27">
    <w:name w:val="普通(网站) Char"/>
    <w:basedOn w:val="14"/>
    <w:link w:val="11"/>
    <w:qFormat/>
    <w:uiPriority w:val="0"/>
    <w:rPr>
      <w:rFonts w:ascii="Calibri" w:hAnsi="Calibri" w:eastAsia="宋体" w:cs="Times New Roman"/>
      <w:kern w:val="0"/>
      <w:sz w:val="24"/>
      <w:szCs w:val="20"/>
    </w:rPr>
  </w:style>
  <w:style w:type="character" w:customStyle="1" w:styleId="28">
    <w:name w:val="正文首行缩进 2 Char"/>
    <w:basedOn w:val="22"/>
    <w:link w:val="12"/>
    <w:semiHidden/>
    <w:uiPriority w:val="99"/>
  </w:style>
  <w:style w:type="character" w:customStyle="1" w:styleId="29">
    <w:name w:val="公文文号"/>
    <w:basedOn w:val="14"/>
    <w:qFormat/>
    <w:uiPriority w:val="0"/>
    <w:rPr>
      <w:rFonts w:ascii="仿宋_GB2312" w:eastAsia="仿宋_GB2312"/>
    </w:rPr>
  </w:style>
  <w:style w:type="paragraph" w:customStyle="1" w:styleId="30">
    <w:name w:val="Char"/>
    <w:basedOn w:val="1"/>
    <w:uiPriority w:val="0"/>
    <w:rPr>
      <w:rFonts w:ascii="Times New Roman" w:hAnsi="Times New Roman"/>
      <w:szCs w:val="24"/>
    </w:rPr>
  </w:style>
  <w:style w:type="paragraph" w:customStyle="1" w:styleId="31">
    <w:name w:val="正文2"/>
    <w:basedOn w:val="1"/>
    <w:qFormat/>
    <w:uiPriority w:val="0"/>
    <w:pPr>
      <w:ind w:firstLine="200" w:firstLineChars="200"/>
    </w:pPr>
    <w:rPr>
      <w:rFonts w:eastAsia="仿宋_GB2312"/>
      <w:color w:val="000000"/>
      <w:sz w:val="24"/>
      <w:szCs w:val="20"/>
    </w:rPr>
  </w:style>
  <w:style w:type="paragraph" w:customStyle="1" w:styleId="32">
    <w:name w:val="p0"/>
    <w:basedOn w:val="1"/>
    <w:uiPriority w:val="0"/>
    <w:pPr>
      <w:widowControl/>
      <w:ind w:firstLine="800" w:firstLineChars="250"/>
    </w:pPr>
    <w:rPr>
      <w:rFonts w:ascii="仿宋_GB2312" w:hAnsi="宋体" w:eastAsia="仿宋_GB2312" w:cs="宋体"/>
      <w:kern w:val="0"/>
      <w:sz w:val="32"/>
      <w:szCs w:val="21"/>
    </w:rPr>
  </w:style>
  <w:style w:type="paragraph" w:styleId="33">
    <w:name w:val="List Paragraph"/>
    <w:basedOn w:val="1"/>
    <w:qFormat/>
    <w:uiPriority w:val="34"/>
    <w:pPr>
      <w:ind w:firstLine="420" w:firstLineChars="200"/>
    </w:pPr>
  </w:style>
  <w:style w:type="paragraph" w:customStyle="1" w:styleId="34">
    <w:name w:val="正文_0"/>
    <w:next w:val="8"/>
    <w:qFormat/>
    <w:uiPriority w:val="0"/>
    <w:pPr>
      <w:widowControl w:val="0"/>
      <w:jc w:val="both"/>
    </w:pPr>
    <w:rPr>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chart" Target="charts/chart12.xml"/><Relationship Id="rId25" Type="http://schemas.openxmlformats.org/officeDocument/2006/relationships/chart" Target="charts/chart11.xml"/><Relationship Id="rId24" Type="http://schemas.openxmlformats.org/officeDocument/2006/relationships/image" Target="media/image4.png"/><Relationship Id="rId23" Type="http://schemas.openxmlformats.org/officeDocument/2006/relationships/chart" Target="charts/chart10.xml"/><Relationship Id="rId22" Type="http://schemas.openxmlformats.org/officeDocument/2006/relationships/chart" Target="charts/chart9.xml"/><Relationship Id="rId21" Type="http://schemas.openxmlformats.org/officeDocument/2006/relationships/chart" Target="charts/chart8.xml"/><Relationship Id="rId20" Type="http://schemas.openxmlformats.org/officeDocument/2006/relationships/chart" Target="charts/chart7.xml"/><Relationship Id="rId2" Type="http://schemas.openxmlformats.org/officeDocument/2006/relationships/settings" Target="settings.xml"/><Relationship Id="rId19" Type="http://schemas.openxmlformats.org/officeDocument/2006/relationships/chart" Target="charts/chart6.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10.xml.rels><?xml version="1.0" encoding="UTF-8" standalone="yes"?>
<Relationships xmlns="http://schemas.openxmlformats.org/package/2006/relationships"><Relationship Id="rId1" Type="http://schemas.openxmlformats.org/officeDocument/2006/relationships/oleObject" Target="file:///I:\&#25237;&#35785;&#20030;&#25253;&#21672;&#35810;&#20998;&#26512;\2020&#24180;&#20840;&#24180;\2020&#24180;&#20840;&#24180;&#25237;&#35785;&#38382;&#39064;&#31867;&#21035;&#25490;&#21517;&#3492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I:\&#25237;&#35785;&#20030;&#25253;&#21672;&#35810;&#20998;&#26512;\2020&#24180;&#20840;&#24180;\2020&#24180;&#20840;&#24180;&#25237;&#35785;&#28909;&#28857;&#25490;&#3489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I:\&#25237;&#35785;&#20030;&#25253;&#21672;&#35810;&#20998;&#26512;\2020&#24180;&#20840;&#24180;\2020&#24180;&#20840;&#24180;&#20030;&#25253;&#28909;&#28857;&#25490;&#34892;.xlsx"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oleObject" Target="file:///I:\&#25237;&#35785;&#20030;&#25253;&#21672;&#35810;&#20998;&#26512;\2020&#24180;&#20840;&#24180;\2019&#19982;2020&#24180;&#20840;&#24180;&#25237;&#35785;&#20030;&#25253;&#21672;&#35810;&#25968;&#37327;&#23545;&#27604;&#349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I:\&#25237;&#35785;&#20030;&#25253;&#21672;&#35810;&#20998;&#26512;\2020&#24180;&#20840;&#24180;\2020&#24180;&#20840;&#24180;&#25237;&#35785;&#20030;&#25253;&#25968;&#37327;&#37197;&#27604;&#349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I:\&#25237;&#35785;&#20030;&#25253;&#21672;&#35810;&#20998;&#26512;\2020&#24180;&#20840;&#24180;\2020&#24180;&#20840;&#24180;&#25237;&#35785;&#20030;&#25253;&#23458;&#20307;&#31867;&#21035;&#21344;&#27604;&#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1.2020</a:t>
            </a:r>
            <a:r>
              <a:rPr altLang="en-US"/>
              <a:t>年项目数分布图</a:t>
            </a:r>
            <a:endParaRPr altLang="en-US"/>
          </a:p>
        </c:rich>
      </c:tx>
      <c:layout/>
      <c:overlay val="0"/>
      <c:spPr>
        <a:noFill/>
        <a:ln>
          <a:noFill/>
        </a:ln>
        <a:effectLst/>
      </c:spPr>
    </c:title>
    <c:autoTitleDeleted val="0"/>
    <c:plotArea>
      <c:layout>
        <c:manualLayout>
          <c:layoutTarget val="inner"/>
          <c:xMode val="edge"/>
          <c:yMode val="edge"/>
          <c:x val="0.0255"/>
          <c:y val="0.1275"/>
          <c:w val="0.80325"/>
          <c:h val="0.835833333333333"/>
        </c:manualLayout>
      </c:layout>
      <c:pieChart>
        <c:varyColors val="1"/>
        <c:ser>
          <c:idx val="0"/>
          <c:order val="0"/>
          <c:tx>
            <c:strRef>
              <c:f>Sheet1!$B$1</c:f>
              <c:strCache>
                <c:ptCount val="1"/>
                <c:pt idx="0">
                  <c:v>项目占比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0</a:t>
                    </a:r>
                    <a:endParaRPr lang="en-US" altLang="zh-CN"/>
                  </a:p>
                </c:rich>
              </c:tx>
              <c:dLblPos val="bestFit"/>
              <c:showLegendKey val="1"/>
              <c:showVal val="1"/>
              <c:showCatName val="1"/>
              <c:showSerName val="1"/>
              <c:showPercent val="1"/>
              <c:showBubbleSize val="1"/>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新建工程</c:v>
                </c:pt>
                <c:pt idx="1">
                  <c:v>养护工程</c:v>
                </c:pt>
              </c:strCache>
            </c:strRef>
          </c:cat>
          <c:val>
            <c:numRef>
              <c:f>Sheet1!$B$2:$B$3</c:f>
              <c:numCache>
                <c:formatCode>General</c:formatCode>
                <c:ptCount val="2"/>
                <c:pt idx="0">
                  <c:v>0</c:v>
                </c:pt>
                <c:pt idx="1">
                  <c:v>1</c:v>
                </c:pt>
              </c:numCache>
            </c:numRef>
          </c:val>
        </c:ser>
        <c:dLbls>
          <c:showLegendKey val="1"/>
          <c:showVal val="1"/>
          <c:showCatName val="1"/>
          <c:showSerName val="1"/>
          <c:showPercent val="1"/>
          <c:showBubbleSize val="1"/>
          <c:showLeaderLines val="1"/>
        </c:dLbls>
        <c:firstSliceAng val="100"/>
      </c:pieChart>
      <c:spPr>
        <a:noFill/>
        <a:ln>
          <a:noFill/>
        </a:ln>
        <a:effectLst/>
      </c:spPr>
    </c:plotArea>
    <c:legend>
      <c:legendPos val="r"/>
      <c:layout>
        <c:manualLayout>
          <c:xMode val="edge"/>
          <c:yMode val="edge"/>
          <c:x val="0.85825"/>
          <c:y val="0.43358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67f79921-4813-4ba3-b439-bdeddd8eae9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2020</a:t>
            </a:r>
            <a:r>
              <a:rPr lang="zh-CN" altLang="en-US"/>
              <a:t>年全年投诉问题类别排名表</a:t>
            </a:r>
            <a:endParaRPr lang="zh-CN" altLang="en-US"/>
          </a:p>
        </c:rich>
      </c:tx>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3"/>
          <c:order val="3"/>
          <c:tx>
            <c:strRef>
              <c:f>Sheet1!$B$2</c:f>
              <c:strCache>
                <c:ptCount val="1"/>
                <c:pt idx="0">
                  <c:v>受理数量（件）</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Sheet1!$A$3:$A$18</c:f>
              <c:strCache>
                <c:ptCount val="17"/>
                <c:pt idx="0">
                  <c:v>合同</c:v>
                </c:pt>
                <c:pt idx="1">
                  <c:v>售后服务</c:v>
                </c:pt>
                <c:pt idx="2">
                  <c:v>质量</c:v>
                </c:pt>
                <c:pt idx="3">
                  <c:v>其他</c:v>
                </c:pt>
                <c:pt idx="4">
                  <c:v>食品安全</c:v>
                </c:pt>
                <c:pt idx="5">
                  <c:v>广告</c:v>
                </c:pt>
                <c:pt idx="6">
                  <c:v>安全</c:v>
                </c:pt>
                <c:pt idx="7">
                  <c:v>价格投诉</c:v>
                </c:pt>
                <c:pt idx="8">
                  <c:v>人身权利</c:v>
                </c:pt>
                <c:pt idx="9">
                  <c:v>不正当竞争</c:v>
                </c:pt>
                <c:pt idx="10">
                  <c:v>计量</c:v>
                </c:pt>
                <c:pt idx="11">
                  <c:v>标准化</c:v>
                </c:pt>
                <c:pt idx="12">
                  <c:v>认证认可</c:v>
                </c:pt>
                <c:pt idx="13">
                  <c:v>检验检测</c:v>
                </c:pt>
                <c:pt idx="14">
                  <c:v>商标</c:v>
                </c:pt>
                <c:pt idx="15">
                  <c:v>地理标志</c:v>
                </c:pt>
                <c:pt idx="16">
                  <c:v>合计</c:v>
                </c:pt>
              </c:strCache>
            </c:strRef>
          </c:cat>
          <c:val>
            <c:numRef>
              <c:f>Sheet1!$B$3:$B$18</c:f>
              <c:numCache>
                <c:formatCode>General</c:formatCode>
                <c:ptCount val="16"/>
                <c:pt idx="0">
                  <c:v>4320</c:v>
                </c:pt>
                <c:pt idx="1">
                  <c:v>1122</c:v>
                </c:pt>
                <c:pt idx="2">
                  <c:v>504</c:v>
                </c:pt>
                <c:pt idx="3">
                  <c:v>469</c:v>
                </c:pt>
                <c:pt idx="4">
                  <c:v>420</c:v>
                </c:pt>
                <c:pt idx="5">
                  <c:v>217</c:v>
                </c:pt>
                <c:pt idx="6">
                  <c:v>205</c:v>
                </c:pt>
                <c:pt idx="7">
                  <c:v>139</c:v>
                </c:pt>
                <c:pt idx="8">
                  <c:v>128</c:v>
                </c:pt>
                <c:pt idx="9">
                  <c:v>108</c:v>
                </c:pt>
                <c:pt idx="10">
                  <c:v>27</c:v>
                </c:pt>
                <c:pt idx="11">
                  <c:v>8</c:v>
                </c:pt>
                <c:pt idx="12">
                  <c:v>7</c:v>
                </c:pt>
                <c:pt idx="13">
                  <c:v>3</c:v>
                </c:pt>
                <c:pt idx="14">
                  <c:v>3</c:v>
                </c:pt>
                <c:pt idx="15">
                  <c:v>2</c:v>
                </c:pt>
              </c:numCache>
            </c:numRef>
          </c:val>
        </c:ser>
        <c:ser>
          <c:idx val="4"/>
          <c:order val="4"/>
          <c:tx>
            <c:strRef>
              <c:f>Sheet1!$C$2</c:f>
              <c:strCache>
                <c:ptCount val="1"/>
                <c:pt idx="0">
                  <c:v>所占比重（%）</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Sheet1!$A$3:$A$18</c:f>
              <c:strCache>
                <c:ptCount val="17"/>
                <c:pt idx="0">
                  <c:v>合同</c:v>
                </c:pt>
                <c:pt idx="1">
                  <c:v>售后服务</c:v>
                </c:pt>
                <c:pt idx="2">
                  <c:v>质量</c:v>
                </c:pt>
                <c:pt idx="3">
                  <c:v>其他</c:v>
                </c:pt>
                <c:pt idx="4">
                  <c:v>食品安全</c:v>
                </c:pt>
                <c:pt idx="5">
                  <c:v>广告</c:v>
                </c:pt>
                <c:pt idx="6">
                  <c:v>安全</c:v>
                </c:pt>
                <c:pt idx="7">
                  <c:v>价格投诉</c:v>
                </c:pt>
                <c:pt idx="8">
                  <c:v>人身权利</c:v>
                </c:pt>
                <c:pt idx="9">
                  <c:v>不正当竞争</c:v>
                </c:pt>
                <c:pt idx="10">
                  <c:v>计量</c:v>
                </c:pt>
                <c:pt idx="11">
                  <c:v>标准化</c:v>
                </c:pt>
                <c:pt idx="12">
                  <c:v>认证认可</c:v>
                </c:pt>
                <c:pt idx="13">
                  <c:v>检验检测</c:v>
                </c:pt>
                <c:pt idx="14">
                  <c:v>商标</c:v>
                </c:pt>
                <c:pt idx="15">
                  <c:v>地理标志</c:v>
                </c:pt>
                <c:pt idx="16">
                  <c:v>合计</c:v>
                </c:pt>
              </c:strCache>
            </c:strRef>
          </c:cat>
          <c:val>
            <c:numRef>
              <c:f>Sheet1!$C$3:$C$18</c:f>
              <c:numCache>
                <c:formatCode>0.00%</c:formatCode>
                <c:ptCount val="16"/>
                <c:pt idx="0">
                  <c:v>0.5624</c:v>
                </c:pt>
                <c:pt idx="1">
                  <c:v>0.1461</c:v>
                </c:pt>
                <c:pt idx="2">
                  <c:v>0.0656</c:v>
                </c:pt>
                <c:pt idx="3">
                  <c:v>0.0611</c:v>
                </c:pt>
                <c:pt idx="4">
                  <c:v>0.0547</c:v>
                </c:pt>
                <c:pt idx="5">
                  <c:v>0.0282</c:v>
                </c:pt>
                <c:pt idx="6">
                  <c:v>0.0267</c:v>
                </c:pt>
                <c:pt idx="7">
                  <c:v>0.018</c:v>
                </c:pt>
                <c:pt idx="8">
                  <c:v>0.0167</c:v>
                </c:pt>
                <c:pt idx="9">
                  <c:v>0.014</c:v>
                </c:pt>
                <c:pt idx="10">
                  <c:v>0.0035</c:v>
                </c:pt>
                <c:pt idx="11">
                  <c:v>0.0011</c:v>
                </c:pt>
                <c:pt idx="12">
                  <c:v>0.0009</c:v>
                </c:pt>
                <c:pt idx="13">
                  <c:v>0.0004</c:v>
                </c:pt>
                <c:pt idx="14">
                  <c:v>0.0004</c:v>
                </c:pt>
                <c:pt idx="15">
                  <c:v>0.0002</c:v>
                </c:pt>
              </c:numCache>
            </c:numRef>
          </c:val>
        </c:ser>
        <c:ser>
          <c:idx val="0"/>
          <c:order val="0"/>
          <c:tx>
            <c:strRef>
              <c:f>Sheet1!$B$2</c:f>
              <c:strCache>
                <c:ptCount val="1"/>
                <c:pt idx="0">
                  <c:v>受理数量（件）</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Pt>
            <c:idx val="1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Sheet1!$A$3:$A$19</c:f>
              <c:strCache>
                <c:ptCount val="17"/>
                <c:pt idx="0">
                  <c:v>合同</c:v>
                </c:pt>
                <c:pt idx="1">
                  <c:v>售后服务</c:v>
                </c:pt>
                <c:pt idx="2">
                  <c:v>质量</c:v>
                </c:pt>
                <c:pt idx="3">
                  <c:v>其他</c:v>
                </c:pt>
                <c:pt idx="4">
                  <c:v>食品安全</c:v>
                </c:pt>
                <c:pt idx="5">
                  <c:v>广告</c:v>
                </c:pt>
                <c:pt idx="6">
                  <c:v>安全</c:v>
                </c:pt>
                <c:pt idx="7">
                  <c:v>价格投诉</c:v>
                </c:pt>
                <c:pt idx="8">
                  <c:v>人身权利</c:v>
                </c:pt>
                <c:pt idx="9">
                  <c:v>不正当竞争</c:v>
                </c:pt>
                <c:pt idx="10">
                  <c:v>计量</c:v>
                </c:pt>
                <c:pt idx="11">
                  <c:v>标准化</c:v>
                </c:pt>
                <c:pt idx="12">
                  <c:v>认证认可</c:v>
                </c:pt>
                <c:pt idx="13">
                  <c:v>检验检测</c:v>
                </c:pt>
                <c:pt idx="14">
                  <c:v>商标</c:v>
                </c:pt>
                <c:pt idx="15">
                  <c:v>地理标志</c:v>
                </c:pt>
                <c:pt idx="16">
                  <c:v>合计</c:v>
                </c:pt>
              </c:strCache>
            </c:strRef>
          </c:cat>
          <c:val>
            <c:numRef>
              <c:f>Sheet1!$B$3:$B$19</c:f>
              <c:numCache>
                <c:formatCode>General</c:formatCode>
                <c:ptCount val="17"/>
                <c:pt idx="0">
                  <c:v>4320</c:v>
                </c:pt>
                <c:pt idx="1">
                  <c:v>1122</c:v>
                </c:pt>
                <c:pt idx="2">
                  <c:v>504</c:v>
                </c:pt>
                <c:pt idx="3">
                  <c:v>469</c:v>
                </c:pt>
                <c:pt idx="4">
                  <c:v>420</c:v>
                </c:pt>
                <c:pt idx="5">
                  <c:v>217</c:v>
                </c:pt>
                <c:pt idx="6">
                  <c:v>205</c:v>
                </c:pt>
                <c:pt idx="7">
                  <c:v>139</c:v>
                </c:pt>
                <c:pt idx="8">
                  <c:v>128</c:v>
                </c:pt>
                <c:pt idx="9">
                  <c:v>108</c:v>
                </c:pt>
                <c:pt idx="10">
                  <c:v>27</c:v>
                </c:pt>
                <c:pt idx="11">
                  <c:v>8</c:v>
                </c:pt>
                <c:pt idx="12">
                  <c:v>7</c:v>
                </c:pt>
                <c:pt idx="13">
                  <c:v>3</c:v>
                </c:pt>
                <c:pt idx="14">
                  <c:v>3</c:v>
                </c:pt>
                <c:pt idx="15">
                  <c:v>2</c:v>
                </c:pt>
                <c:pt idx="16">
                  <c:v>7682</c:v>
                </c:pt>
              </c:numCache>
            </c:numRef>
          </c:val>
        </c:ser>
        <c:ser>
          <c:idx val="1"/>
          <c:order val="1"/>
          <c:tx>
            <c:strRef>
              <c:f>Sheet1!$C$2</c:f>
              <c:strCache>
                <c:ptCount val="1"/>
                <c:pt idx="0">
                  <c:v>所占比重（%）</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Pt>
            <c:idx val="1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Sheet1!$A$3:$A$19</c:f>
              <c:strCache>
                <c:ptCount val="17"/>
                <c:pt idx="0">
                  <c:v>合同</c:v>
                </c:pt>
                <c:pt idx="1">
                  <c:v>售后服务</c:v>
                </c:pt>
                <c:pt idx="2">
                  <c:v>质量</c:v>
                </c:pt>
                <c:pt idx="3">
                  <c:v>其他</c:v>
                </c:pt>
                <c:pt idx="4">
                  <c:v>食品安全</c:v>
                </c:pt>
                <c:pt idx="5">
                  <c:v>广告</c:v>
                </c:pt>
                <c:pt idx="6">
                  <c:v>安全</c:v>
                </c:pt>
                <c:pt idx="7">
                  <c:v>价格投诉</c:v>
                </c:pt>
                <c:pt idx="8">
                  <c:v>人身权利</c:v>
                </c:pt>
                <c:pt idx="9">
                  <c:v>不正当竞争</c:v>
                </c:pt>
                <c:pt idx="10">
                  <c:v>计量</c:v>
                </c:pt>
                <c:pt idx="11">
                  <c:v>标准化</c:v>
                </c:pt>
                <c:pt idx="12">
                  <c:v>认证认可</c:v>
                </c:pt>
                <c:pt idx="13">
                  <c:v>检验检测</c:v>
                </c:pt>
                <c:pt idx="14">
                  <c:v>商标</c:v>
                </c:pt>
                <c:pt idx="15">
                  <c:v>地理标志</c:v>
                </c:pt>
                <c:pt idx="16">
                  <c:v>合计</c:v>
                </c:pt>
              </c:strCache>
            </c:strRef>
          </c:cat>
          <c:val>
            <c:numRef>
              <c:f>Sheet1!$C$3:$C$19</c:f>
              <c:numCache>
                <c:formatCode>0.00%</c:formatCode>
                <c:ptCount val="17"/>
                <c:pt idx="0">
                  <c:v>0.5624</c:v>
                </c:pt>
                <c:pt idx="1">
                  <c:v>0.1461</c:v>
                </c:pt>
                <c:pt idx="2">
                  <c:v>0.0656</c:v>
                </c:pt>
                <c:pt idx="3">
                  <c:v>0.0611</c:v>
                </c:pt>
                <c:pt idx="4">
                  <c:v>0.0547</c:v>
                </c:pt>
                <c:pt idx="5">
                  <c:v>0.0282</c:v>
                </c:pt>
                <c:pt idx="6">
                  <c:v>0.0267</c:v>
                </c:pt>
                <c:pt idx="7">
                  <c:v>0.018</c:v>
                </c:pt>
                <c:pt idx="8">
                  <c:v>0.0167</c:v>
                </c:pt>
                <c:pt idx="9">
                  <c:v>0.014</c:v>
                </c:pt>
                <c:pt idx="10">
                  <c:v>0.0035</c:v>
                </c:pt>
                <c:pt idx="11">
                  <c:v>0.0011</c:v>
                </c:pt>
                <c:pt idx="12">
                  <c:v>0.0009</c:v>
                </c:pt>
                <c:pt idx="13">
                  <c:v>0.0004</c:v>
                </c:pt>
                <c:pt idx="14">
                  <c:v>0.0004</c:v>
                </c:pt>
                <c:pt idx="15">
                  <c:v>0.0002</c:v>
                </c:pt>
                <c:pt idx="16">
                  <c:v>1</c:v>
                </c:pt>
              </c:numCache>
            </c:numRef>
          </c:val>
        </c:ser>
        <c:ser>
          <c:idx val="2"/>
          <c:order val="2"/>
          <c:tx>
            <c:strRef>
              <c:f>Sheet1!$D$2</c:f>
              <c:strCache>
                <c:ptCount val="1"/>
                <c:pt idx="0">
                  <c:v>排  名</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Pt>
            <c:idx val="1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Sheet1!$A$3:$A$19</c:f>
              <c:strCache>
                <c:ptCount val="17"/>
                <c:pt idx="0">
                  <c:v>合同</c:v>
                </c:pt>
                <c:pt idx="1">
                  <c:v>售后服务</c:v>
                </c:pt>
                <c:pt idx="2">
                  <c:v>质量</c:v>
                </c:pt>
                <c:pt idx="3">
                  <c:v>其他</c:v>
                </c:pt>
                <c:pt idx="4">
                  <c:v>食品安全</c:v>
                </c:pt>
                <c:pt idx="5">
                  <c:v>广告</c:v>
                </c:pt>
                <c:pt idx="6">
                  <c:v>安全</c:v>
                </c:pt>
                <c:pt idx="7">
                  <c:v>价格投诉</c:v>
                </c:pt>
                <c:pt idx="8">
                  <c:v>人身权利</c:v>
                </c:pt>
                <c:pt idx="9">
                  <c:v>不正当竞争</c:v>
                </c:pt>
                <c:pt idx="10">
                  <c:v>计量</c:v>
                </c:pt>
                <c:pt idx="11">
                  <c:v>标准化</c:v>
                </c:pt>
                <c:pt idx="12">
                  <c:v>认证认可</c:v>
                </c:pt>
                <c:pt idx="13">
                  <c:v>检验检测</c:v>
                </c:pt>
                <c:pt idx="14">
                  <c:v>商标</c:v>
                </c:pt>
                <c:pt idx="15">
                  <c:v>地理标志</c:v>
                </c:pt>
                <c:pt idx="16">
                  <c:v>合计</c:v>
                </c:pt>
              </c:strCache>
            </c:strRef>
          </c:cat>
          <c:val>
            <c:numRef>
              <c:f>Sheet1!$D$3:$D$19</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14</c:v>
                </c:pt>
                <c:pt idx="15">
                  <c:v>15</c:v>
                </c:pt>
              </c:numCache>
            </c:numRef>
          </c:val>
        </c:ser>
        <c:dLbls>
          <c:showLegendKey val="1"/>
          <c:showVal val="1"/>
          <c:showCatName val="1"/>
          <c:showSerName val="1"/>
          <c:showPercent val="1"/>
          <c:showBubbleSize val="1"/>
        </c:dLbls>
      </c:pie3DChart>
      <c:spPr>
        <a:noFill/>
        <a:ln w="25400">
          <a:noFill/>
        </a:ln>
      </c:spPr>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4c0e19f2-3f29-4829-91c4-34f8f642e28e}"/>
      </c:ext>
    </c:extLst>
  </c:chart>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2020</a:t>
            </a:r>
            <a:r>
              <a:rPr lang="zh-CN" altLang="en-US"/>
              <a:t>年全年投诉热点排行</a:t>
            </a:r>
            <a:endParaRPr lang="zh-CN" altLang="en-US"/>
          </a:p>
        </c:rich>
      </c:tx>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3"/>
          <c:order val="3"/>
          <c:tx>
            <c:strRef>
              <c:f>Sheet1!$B$2</c:f>
              <c:strCache>
                <c:ptCount val="1"/>
                <c:pt idx="0">
                  <c:v>受理数量（件）</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Sheet1!$A$3:$A$12</c:f>
              <c:strCache>
                <c:ptCount val="11"/>
                <c:pt idx="0">
                  <c:v>车辆出租服务</c:v>
                </c:pt>
                <c:pt idx="1">
                  <c:v>餐馆服务</c:v>
                </c:pt>
                <c:pt idx="2">
                  <c:v>便携式计算机</c:v>
                </c:pt>
                <c:pt idx="3">
                  <c:v>手持移动电话（手机）</c:v>
                </c:pt>
                <c:pt idx="4">
                  <c:v>其他移动电话服务</c:v>
                </c:pt>
                <c:pt idx="5">
                  <c:v>房屋租赁中介服务</c:v>
                </c:pt>
                <c:pt idx="6">
                  <c:v>普通乘用车</c:v>
                </c:pt>
                <c:pt idx="7">
                  <c:v>宾馆住宿服务</c:v>
                </c:pt>
                <c:pt idx="8">
                  <c:v>室内运动场服务</c:v>
                </c:pt>
                <c:pt idx="9">
                  <c:v>普通住宅</c:v>
                </c:pt>
                <c:pt idx="10">
                  <c:v>合计</c:v>
                </c:pt>
              </c:strCache>
            </c:strRef>
          </c:cat>
          <c:val>
            <c:numRef>
              <c:f>Sheet1!$B$3:$B$12</c:f>
              <c:numCache>
                <c:formatCode>General</c:formatCode>
                <c:ptCount val="10"/>
                <c:pt idx="0">
                  <c:v>528</c:v>
                </c:pt>
                <c:pt idx="1">
                  <c:v>371</c:v>
                </c:pt>
                <c:pt idx="2">
                  <c:v>285</c:v>
                </c:pt>
                <c:pt idx="3">
                  <c:v>244</c:v>
                </c:pt>
                <c:pt idx="4">
                  <c:v>232</c:v>
                </c:pt>
                <c:pt idx="5">
                  <c:v>222</c:v>
                </c:pt>
                <c:pt idx="6">
                  <c:v>190</c:v>
                </c:pt>
                <c:pt idx="7">
                  <c:v>188</c:v>
                </c:pt>
                <c:pt idx="8">
                  <c:v>178</c:v>
                </c:pt>
                <c:pt idx="9">
                  <c:v>135</c:v>
                </c:pt>
              </c:numCache>
            </c:numRef>
          </c:val>
        </c:ser>
        <c:ser>
          <c:idx val="4"/>
          <c:order val="4"/>
          <c:tx>
            <c:strRef>
              <c:f>Sheet1!$C$2</c:f>
              <c:strCache>
                <c:ptCount val="1"/>
                <c:pt idx="0">
                  <c:v>占热点比例(%)</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Sheet1!$A$3:$A$12</c:f>
              <c:strCache>
                <c:ptCount val="11"/>
                <c:pt idx="0">
                  <c:v>车辆出租服务</c:v>
                </c:pt>
                <c:pt idx="1">
                  <c:v>餐馆服务</c:v>
                </c:pt>
                <c:pt idx="2">
                  <c:v>便携式计算机</c:v>
                </c:pt>
                <c:pt idx="3">
                  <c:v>手持移动电话（手机）</c:v>
                </c:pt>
                <c:pt idx="4">
                  <c:v>其他移动电话服务</c:v>
                </c:pt>
                <c:pt idx="5">
                  <c:v>房屋租赁中介服务</c:v>
                </c:pt>
                <c:pt idx="6">
                  <c:v>普通乘用车</c:v>
                </c:pt>
                <c:pt idx="7">
                  <c:v>宾馆住宿服务</c:v>
                </c:pt>
                <c:pt idx="8">
                  <c:v>室内运动场服务</c:v>
                </c:pt>
                <c:pt idx="9">
                  <c:v>普通住宅</c:v>
                </c:pt>
                <c:pt idx="10">
                  <c:v>合计</c:v>
                </c:pt>
              </c:strCache>
            </c:strRef>
          </c:cat>
          <c:val>
            <c:numRef>
              <c:f>Sheet1!$C$3:$C$12</c:f>
              <c:numCache>
                <c:formatCode>General</c:formatCode>
                <c:ptCount val="10"/>
                <c:pt idx="0">
                  <c:v>20.52</c:v>
                </c:pt>
                <c:pt idx="1">
                  <c:v>14.42</c:v>
                </c:pt>
                <c:pt idx="2">
                  <c:v>11.08</c:v>
                </c:pt>
                <c:pt idx="3">
                  <c:v>9.48</c:v>
                </c:pt>
                <c:pt idx="4">
                  <c:v>9.02</c:v>
                </c:pt>
                <c:pt idx="5">
                  <c:v>8.63</c:v>
                </c:pt>
                <c:pt idx="6">
                  <c:v>7.38</c:v>
                </c:pt>
                <c:pt idx="7">
                  <c:v>7.31</c:v>
                </c:pt>
                <c:pt idx="8">
                  <c:v>6.92</c:v>
                </c:pt>
                <c:pt idx="9">
                  <c:v>5.25</c:v>
                </c:pt>
              </c:numCache>
            </c:numRef>
          </c:val>
        </c:ser>
        <c:ser>
          <c:idx val="0"/>
          <c:order val="0"/>
          <c:tx>
            <c:strRef>
              <c:f>Sheet1!$B$2</c:f>
              <c:strCache>
                <c:ptCount val="1"/>
                <c:pt idx="0">
                  <c:v>受理数量（件）</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Sheet1!$A$3:$A$13</c:f>
              <c:strCache>
                <c:ptCount val="11"/>
                <c:pt idx="0">
                  <c:v>车辆出租服务</c:v>
                </c:pt>
                <c:pt idx="1">
                  <c:v>餐馆服务</c:v>
                </c:pt>
                <c:pt idx="2">
                  <c:v>便携式计算机</c:v>
                </c:pt>
                <c:pt idx="3">
                  <c:v>手持移动电话（手机）</c:v>
                </c:pt>
                <c:pt idx="4">
                  <c:v>其他移动电话服务</c:v>
                </c:pt>
                <c:pt idx="5">
                  <c:v>房屋租赁中介服务</c:v>
                </c:pt>
                <c:pt idx="6">
                  <c:v>普通乘用车</c:v>
                </c:pt>
                <c:pt idx="7">
                  <c:v>宾馆住宿服务</c:v>
                </c:pt>
                <c:pt idx="8">
                  <c:v>室内运动场服务</c:v>
                </c:pt>
                <c:pt idx="9">
                  <c:v>普通住宅</c:v>
                </c:pt>
                <c:pt idx="10">
                  <c:v>合计</c:v>
                </c:pt>
              </c:strCache>
            </c:strRef>
          </c:cat>
          <c:val>
            <c:numRef>
              <c:f>Sheet1!$B$3:$B$13</c:f>
              <c:numCache>
                <c:formatCode>General</c:formatCode>
                <c:ptCount val="11"/>
                <c:pt idx="0">
                  <c:v>528</c:v>
                </c:pt>
                <c:pt idx="1">
                  <c:v>371</c:v>
                </c:pt>
                <c:pt idx="2">
                  <c:v>285</c:v>
                </c:pt>
                <c:pt idx="3">
                  <c:v>244</c:v>
                </c:pt>
                <c:pt idx="4">
                  <c:v>232</c:v>
                </c:pt>
                <c:pt idx="5">
                  <c:v>222</c:v>
                </c:pt>
                <c:pt idx="6">
                  <c:v>190</c:v>
                </c:pt>
                <c:pt idx="7">
                  <c:v>188</c:v>
                </c:pt>
                <c:pt idx="8">
                  <c:v>178</c:v>
                </c:pt>
                <c:pt idx="9">
                  <c:v>135</c:v>
                </c:pt>
                <c:pt idx="10">
                  <c:v>2573</c:v>
                </c:pt>
              </c:numCache>
            </c:numRef>
          </c:val>
        </c:ser>
        <c:ser>
          <c:idx val="1"/>
          <c:order val="1"/>
          <c:tx>
            <c:strRef>
              <c:f>Sheet1!$C$2</c:f>
              <c:strCache>
                <c:ptCount val="1"/>
                <c:pt idx="0">
                  <c:v>占热点比例(%)</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Sheet1!$A$3:$A$13</c:f>
              <c:strCache>
                <c:ptCount val="11"/>
                <c:pt idx="0">
                  <c:v>车辆出租服务</c:v>
                </c:pt>
                <c:pt idx="1">
                  <c:v>餐馆服务</c:v>
                </c:pt>
                <c:pt idx="2">
                  <c:v>便携式计算机</c:v>
                </c:pt>
                <c:pt idx="3">
                  <c:v>手持移动电话（手机）</c:v>
                </c:pt>
                <c:pt idx="4">
                  <c:v>其他移动电话服务</c:v>
                </c:pt>
                <c:pt idx="5">
                  <c:v>房屋租赁中介服务</c:v>
                </c:pt>
                <c:pt idx="6">
                  <c:v>普通乘用车</c:v>
                </c:pt>
                <c:pt idx="7">
                  <c:v>宾馆住宿服务</c:v>
                </c:pt>
                <c:pt idx="8">
                  <c:v>室内运动场服务</c:v>
                </c:pt>
                <c:pt idx="9">
                  <c:v>普通住宅</c:v>
                </c:pt>
                <c:pt idx="10">
                  <c:v>合计</c:v>
                </c:pt>
              </c:strCache>
            </c:strRef>
          </c:cat>
          <c:val>
            <c:numRef>
              <c:f>Sheet1!$C$3:$C$13</c:f>
              <c:numCache>
                <c:formatCode>General</c:formatCode>
                <c:ptCount val="11"/>
                <c:pt idx="0">
                  <c:v>20.52</c:v>
                </c:pt>
                <c:pt idx="1">
                  <c:v>14.42</c:v>
                </c:pt>
                <c:pt idx="2">
                  <c:v>11.08</c:v>
                </c:pt>
                <c:pt idx="3">
                  <c:v>9.48</c:v>
                </c:pt>
                <c:pt idx="4">
                  <c:v>9.02</c:v>
                </c:pt>
                <c:pt idx="5">
                  <c:v>8.63</c:v>
                </c:pt>
                <c:pt idx="6">
                  <c:v>7.38</c:v>
                </c:pt>
                <c:pt idx="7">
                  <c:v>7.31</c:v>
                </c:pt>
                <c:pt idx="8">
                  <c:v>6.92</c:v>
                </c:pt>
                <c:pt idx="9">
                  <c:v>5.25</c:v>
                </c:pt>
                <c:pt idx="10">
                  <c:v>100</c:v>
                </c:pt>
              </c:numCache>
            </c:numRef>
          </c:val>
        </c:ser>
        <c:ser>
          <c:idx val="2"/>
          <c:order val="2"/>
          <c:tx>
            <c:strRef>
              <c:f>Sheet1!$E$2</c:f>
              <c:strCache>
                <c:ptCount val="1"/>
                <c:pt idx="0">
                  <c:v>排  名</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Sheet1!$A$3:$A$13</c:f>
              <c:strCache>
                <c:ptCount val="11"/>
                <c:pt idx="0">
                  <c:v>车辆出租服务</c:v>
                </c:pt>
                <c:pt idx="1">
                  <c:v>餐馆服务</c:v>
                </c:pt>
                <c:pt idx="2">
                  <c:v>便携式计算机</c:v>
                </c:pt>
                <c:pt idx="3">
                  <c:v>手持移动电话（手机）</c:v>
                </c:pt>
                <c:pt idx="4">
                  <c:v>其他移动电话服务</c:v>
                </c:pt>
                <c:pt idx="5">
                  <c:v>房屋租赁中介服务</c:v>
                </c:pt>
                <c:pt idx="6">
                  <c:v>普通乘用车</c:v>
                </c:pt>
                <c:pt idx="7">
                  <c:v>宾馆住宿服务</c:v>
                </c:pt>
                <c:pt idx="8">
                  <c:v>室内运动场服务</c:v>
                </c:pt>
                <c:pt idx="9">
                  <c:v>普通住宅</c:v>
                </c:pt>
                <c:pt idx="10">
                  <c:v>合计</c:v>
                </c:pt>
              </c:strCache>
            </c:strRef>
          </c:cat>
          <c:val>
            <c:numRef>
              <c:f>Sheet1!$E$3:$E$13</c:f>
              <c:numCache>
                <c:formatCode>General</c:formatCode>
                <c:ptCount val="11"/>
                <c:pt idx="0">
                  <c:v>1</c:v>
                </c:pt>
                <c:pt idx="1">
                  <c:v>2</c:v>
                </c:pt>
                <c:pt idx="2">
                  <c:v>3</c:v>
                </c:pt>
                <c:pt idx="3">
                  <c:v>4</c:v>
                </c:pt>
                <c:pt idx="4">
                  <c:v>5</c:v>
                </c:pt>
                <c:pt idx="5">
                  <c:v>6</c:v>
                </c:pt>
                <c:pt idx="6">
                  <c:v>7</c:v>
                </c:pt>
                <c:pt idx="7">
                  <c:v>8</c:v>
                </c:pt>
                <c:pt idx="8">
                  <c:v>9</c:v>
                </c:pt>
                <c:pt idx="9">
                  <c:v>10</c:v>
                </c:pt>
              </c:numCache>
            </c:numRef>
          </c:val>
        </c:ser>
        <c:dLbls>
          <c:showLegendKey val="1"/>
          <c:showVal val="1"/>
          <c:showCatName val="1"/>
          <c:showSerName val="1"/>
          <c:showPercent val="1"/>
          <c:showBubbleSize val="1"/>
        </c:dLbls>
      </c:pie3DChart>
      <c:spPr>
        <a:noFill/>
        <a:ln w="25400">
          <a:noFill/>
        </a:ln>
      </c:spPr>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d6ca5b86-417e-4b19-8427-a0540ca27523}"/>
      </c:ext>
    </c:extLst>
  </c:chart>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2020</a:t>
            </a:r>
            <a:r>
              <a:rPr lang="zh-CN" altLang="en-US"/>
              <a:t>年全年举报热点排行</a:t>
            </a:r>
            <a:endParaRPr lang="zh-CN" altLang="en-US"/>
          </a:p>
        </c:rich>
      </c:tx>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3"/>
          <c:order val="3"/>
          <c:tx>
            <c:strRef>
              <c:f>Sheet1!$B$2</c:f>
              <c:strCache>
                <c:ptCount val="1"/>
                <c:pt idx="0">
                  <c:v>受理数量（件）</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Sheet1!$A$3:$A$12</c:f>
              <c:strCache>
                <c:ptCount val="11"/>
                <c:pt idx="0">
                  <c:v>餐馆服务</c:v>
                </c:pt>
                <c:pt idx="1">
                  <c:v>注输、护理和防护器械</c:v>
                </c:pt>
                <c:pt idx="2">
                  <c:v>其他食品</c:v>
                </c:pt>
                <c:pt idx="3">
                  <c:v>其他日杂用品</c:v>
                </c:pt>
                <c:pt idx="4">
                  <c:v>停车场及其他</c:v>
                </c:pt>
                <c:pt idx="5">
                  <c:v>其他农资用品</c:v>
                </c:pt>
                <c:pt idx="6">
                  <c:v>医用口罩</c:v>
                </c:pt>
                <c:pt idx="7">
                  <c:v>猪肉</c:v>
                </c:pt>
                <c:pt idx="8">
                  <c:v>道路停车</c:v>
                </c:pt>
                <c:pt idx="9">
                  <c:v>其他收藏品和工艺品</c:v>
                </c:pt>
                <c:pt idx="10">
                  <c:v>总计</c:v>
                </c:pt>
              </c:strCache>
            </c:strRef>
          </c:cat>
          <c:val>
            <c:numRef>
              <c:f>Sheet1!$B$3:$B$12</c:f>
              <c:numCache>
                <c:formatCode>General</c:formatCode>
                <c:ptCount val="10"/>
                <c:pt idx="0">
                  <c:v>215</c:v>
                </c:pt>
                <c:pt idx="1">
                  <c:v>131</c:v>
                </c:pt>
                <c:pt idx="2">
                  <c:v>129</c:v>
                </c:pt>
                <c:pt idx="3">
                  <c:v>109</c:v>
                </c:pt>
                <c:pt idx="4">
                  <c:v>91</c:v>
                </c:pt>
                <c:pt idx="5">
                  <c:v>89</c:v>
                </c:pt>
                <c:pt idx="6">
                  <c:v>87</c:v>
                </c:pt>
                <c:pt idx="7">
                  <c:v>75</c:v>
                </c:pt>
                <c:pt idx="8">
                  <c:v>46</c:v>
                </c:pt>
                <c:pt idx="9">
                  <c:v>41</c:v>
                </c:pt>
              </c:numCache>
            </c:numRef>
          </c:val>
        </c:ser>
        <c:ser>
          <c:idx val="4"/>
          <c:order val="4"/>
          <c:tx>
            <c:strRef>
              <c:f>Sheet1!$C$2</c:f>
              <c:strCache>
                <c:ptCount val="1"/>
                <c:pt idx="0">
                  <c:v>占热点比例(%)</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Sheet1!$A$3:$A$12</c:f>
              <c:strCache>
                <c:ptCount val="11"/>
                <c:pt idx="0">
                  <c:v>餐馆服务</c:v>
                </c:pt>
                <c:pt idx="1">
                  <c:v>注输、护理和防护器械</c:v>
                </c:pt>
                <c:pt idx="2">
                  <c:v>其他食品</c:v>
                </c:pt>
                <c:pt idx="3">
                  <c:v>其他日杂用品</c:v>
                </c:pt>
                <c:pt idx="4">
                  <c:v>停车场及其他</c:v>
                </c:pt>
                <c:pt idx="5">
                  <c:v>其他农资用品</c:v>
                </c:pt>
                <c:pt idx="6">
                  <c:v>医用口罩</c:v>
                </c:pt>
                <c:pt idx="7">
                  <c:v>猪肉</c:v>
                </c:pt>
                <c:pt idx="8">
                  <c:v>道路停车</c:v>
                </c:pt>
                <c:pt idx="9">
                  <c:v>其他收藏品和工艺品</c:v>
                </c:pt>
                <c:pt idx="10">
                  <c:v>总计</c:v>
                </c:pt>
              </c:strCache>
            </c:strRef>
          </c:cat>
          <c:val>
            <c:numRef>
              <c:f>Sheet1!$C$3:$C$12</c:f>
              <c:numCache>
                <c:formatCode>General</c:formatCode>
                <c:ptCount val="10"/>
                <c:pt idx="0">
                  <c:v>21.22</c:v>
                </c:pt>
                <c:pt idx="1">
                  <c:v>12.93</c:v>
                </c:pt>
                <c:pt idx="2">
                  <c:v>12.73</c:v>
                </c:pt>
                <c:pt idx="3">
                  <c:v>10.76</c:v>
                </c:pt>
                <c:pt idx="4">
                  <c:v>8.98</c:v>
                </c:pt>
                <c:pt idx="5">
                  <c:v>8.79</c:v>
                </c:pt>
                <c:pt idx="6">
                  <c:v>8.59</c:v>
                </c:pt>
                <c:pt idx="7">
                  <c:v>7.4</c:v>
                </c:pt>
                <c:pt idx="8">
                  <c:v>4.54</c:v>
                </c:pt>
                <c:pt idx="9">
                  <c:v>4.05</c:v>
                </c:pt>
              </c:numCache>
            </c:numRef>
          </c:val>
        </c:ser>
        <c:ser>
          <c:idx val="0"/>
          <c:order val="0"/>
          <c:tx>
            <c:strRef>
              <c:f>Sheet1!$B$2</c:f>
              <c:strCache>
                <c:ptCount val="1"/>
                <c:pt idx="0">
                  <c:v>受理数量（件）</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Sheet1!$A$3:$A$13</c:f>
              <c:strCache>
                <c:ptCount val="11"/>
                <c:pt idx="0">
                  <c:v>餐馆服务</c:v>
                </c:pt>
                <c:pt idx="1">
                  <c:v>注输、护理和防护器械</c:v>
                </c:pt>
                <c:pt idx="2">
                  <c:v>其他食品</c:v>
                </c:pt>
                <c:pt idx="3">
                  <c:v>其他日杂用品</c:v>
                </c:pt>
                <c:pt idx="4">
                  <c:v>停车场及其他</c:v>
                </c:pt>
                <c:pt idx="5">
                  <c:v>其他农资用品</c:v>
                </c:pt>
                <c:pt idx="6">
                  <c:v>医用口罩</c:v>
                </c:pt>
                <c:pt idx="7">
                  <c:v>猪肉</c:v>
                </c:pt>
                <c:pt idx="8">
                  <c:v>道路停车</c:v>
                </c:pt>
                <c:pt idx="9">
                  <c:v>其他收藏品和工艺品</c:v>
                </c:pt>
                <c:pt idx="10">
                  <c:v>总计</c:v>
                </c:pt>
              </c:strCache>
            </c:strRef>
          </c:cat>
          <c:val>
            <c:numRef>
              <c:f>Sheet1!$B$3:$B$13</c:f>
              <c:numCache>
                <c:formatCode>General</c:formatCode>
                <c:ptCount val="11"/>
                <c:pt idx="0">
                  <c:v>215</c:v>
                </c:pt>
                <c:pt idx="1">
                  <c:v>131</c:v>
                </c:pt>
                <c:pt idx="2">
                  <c:v>129</c:v>
                </c:pt>
                <c:pt idx="3">
                  <c:v>109</c:v>
                </c:pt>
                <c:pt idx="4">
                  <c:v>91</c:v>
                </c:pt>
                <c:pt idx="5">
                  <c:v>89</c:v>
                </c:pt>
                <c:pt idx="6">
                  <c:v>87</c:v>
                </c:pt>
                <c:pt idx="7">
                  <c:v>75</c:v>
                </c:pt>
                <c:pt idx="8">
                  <c:v>46</c:v>
                </c:pt>
                <c:pt idx="9">
                  <c:v>41</c:v>
                </c:pt>
                <c:pt idx="10">
                  <c:v>1013</c:v>
                </c:pt>
              </c:numCache>
            </c:numRef>
          </c:val>
        </c:ser>
        <c:ser>
          <c:idx val="1"/>
          <c:order val="1"/>
          <c:tx>
            <c:strRef>
              <c:f>Sheet1!$C$2</c:f>
              <c:strCache>
                <c:ptCount val="1"/>
                <c:pt idx="0">
                  <c:v>占热点比例(%)</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Sheet1!$A$3:$A$13</c:f>
              <c:strCache>
                <c:ptCount val="11"/>
                <c:pt idx="0">
                  <c:v>餐馆服务</c:v>
                </c:pt>
                <c:pt idx="1">
                  <c:v>注输、护理和防护器械</c:v>
                </c:pt>
                <c:pt idx="2">
                  <c:v>其他食品</c:v>
                </c:pt>
                <c:pt idx="3">
                  <c:v>其他日杂用品</c:v>
                </c:pt>
                <c:pt idx="4">
                  <c:v>停车场及其他</c:v>
                </c:pt>
                <c:pt idx="5">
                  <c:v>其他农资用品</c:v>
                </c:pt>
                <c:pt idx="6">
                  <c:v>医用口罩</c:v>
                </c:pt>
                <c:pt idx="7">
                  <c:v>猪肉</c:v>
                </c:pt>
                <c:pt idx="8">
                  <c:v>道路停车</c:v>
                </c:pt>
                <c:pt idx="9">
                  <c:v>其他收藏品和工艺品</c:v>
                </c:pt>
                <c:pt idx="10">
                  <c:v>总计</c:v>
                </c:pt>
              </c:strCache>
            </c:strRef>
          </c:cat>
          <c:val>
            <c:numRef>
              <c:f>Sheet1!$C$3:$C$13</c:f>
              <c:numCache>
                <c:formatCode>General</c:formatCode>
                <c:ptCount val="11"/>
                <c:pt idx="0">
                  <c:v>21.22</c:v>
                </c:pt>
                <c:pt idx="1">
                  <c:v>12.93</c:v>
                </c:pt>
                <c:pt idx="2">
                  <c:v>12.73</c:v>
                </c:pt>
                <c:pt idx="3">
                  <c:v>10.76</c:v>
                </c:pt>
                <c:pt idx="4">
                  <c:v>8.98</c:v>
                </c:pt>
                <c:pt idx="5">
                  <c:v>8.79</c:v>
                </c:pt>
                <c:pt idx="6">
                  <c:v>8.59</c:v>
                </c:pt>
                <c:pt idx="7">
                  <c:v>7.4</c:v>
                </c:pt>
                <c:pt idx="8">
                  <c:v>4.54</c:v>
                </c:pt>
                <c:pt idx="9">
                  <c:v>4.05</c:v>
                </c:pt>
                <c:pt idx="10">
                  <c:v>100</c:v>
                </c:pt>
              </c:numCache>
            </c:numRef>
          </c:val>
        </c:ser>
        <c:ser>
          <c:idx val="2"/>
          <c:order val="2"/>
          <c:tx>
            <c:strRef>
              <c:f>Sheet1!$E$2</c:f>
              <c:strCache>
                <c:ptCount val="1"/>
                <c:pt idx="0">
                  <c:v>排  名</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Sheet1!$A$3:$A$13</c:f>
              <c:strCache>
                <c:ptCount val="11"/>
                <c:pt idx="0">
                  <c:v>餐馆服务</c:v>
                </c:pt>
                <c:pt idx="1">
                  <c:v>注输、护理和防护器械</c:v>
                </c:pt>
                <c:pt idx="2">
                  <c:v>其他食品</c:v>
                </c:pt>
                <c:pt idx="3">
                  <c:v>其他日杂用品</c:v>
                </c:pt>
                <c:pt idx="4">
                  <c:v>停车场及其他</c:v>
                </c:pt>
                <c:pt idx="5">
                  <c:v>其他农资用品</c:v>
                </c:pt>
                <c:pt idx="6">
                  <c:v>医用口罩</c:v>
                </c:pt>
                <c:pt idx="7">
                  <c:v>猪肉</c:v>
                </c:pt>
                <c:pt idx="8">
                  <c:v>道路停车</c:v>
                </c:pt>
                <c:pt idx="9">
                  <c:v>其他收藏品和工艺品</c:v>
                </c:pt>
                <c:pt idx="10">
                  <c:v>总计</c:v>
                </c:pt>
              </c:strCache>
            </c:strRef>
          </c:cat>
          <c:val>
            <c:numRef>
              <c:f>Sheet1!$E$3:$E$13</c:f>
              <c:numCache>
                <c:formatCode>General</c:formatCode>
                <c:ptCount val="11"/>
                <c:pt idx="0">
                  <c:v>1</c:v>
                </c:pt>
                <c:pt idx="1">
                  <c:v>2</c:v>
                </c:pt>
                <c:pt idx="2">
                  <c:v>3</c:v>
                </c:pt>
                <c:pt idx="3">
                  <c:v>4</c:v>
                </c:pt>
                <c:pt idx="4">
                  <c:v>5</c:v>
                </c:pt>
                <c:pt idx="5">
                  <c:v>6</c:v>
                </c:pt>
                <c:pt idx="6">
                  <c:v>7</c:v>
                </c:pt>
                <c:pt idx="7">
                  <c:v>8</c:v>
                </c:pt>
                <c:pt idx="8">
                  <c:v>9</c:v>
                </c:pt>
                <c:pt idx="9">
                  <c:v>10</c:v>
                </c:pt>
              </c:numCache>
            </c:numRef>
          </c:val>
        </c:ser>
        <c:dLbls>
          <c:showLegendKey val="1"/>
          <c:showVal val="1"/>
          <c:showCatName val="1"/>
          <c:showSerName val="1"/>
          <c:showPercent val="1"/>
          <c:showBubbleSize val="1"/>
        </c:dLbls>
      </c:pie3DChart>
      <c:spPr>
        <a:noFill/>
        <a:ln w="25400">
          <a:noFill/>
        </a:ln>
      </c:spPr>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26680d7b-8d29-4fe7-853f-5566f6e60c6d}"/>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2.2019—2020</a:t>
            </a:r>
            <a:r>
              <a:rPr altLang="en-US"/>
              <a:t>年项目数量变化图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新建</c:v>
                </c:pt>
              </c:strCache>
            </c:strRef>
          </c:tx>
          <c:spPr>
            <a:solidFill>
              <a:schemeClr val="accent1"/>
            </a:solidFill>
            <a:ln w="28575" cmpd="sng">
              <a:noFill/>
              <a:prstDash val="solid"/>
            </a:ln>
            <a:effectLst/>
            <a:sp3d contourW="28575"/>
          </c:spPr>
          <c:invertIfNegative val="0"/>
          <c:dLbls>
            <c:delete val="1"/>
          </c:dLbls>
          <c:cat>
            <c:strRef>
              <c:f>Sheet1!$A$2:$A$3</c:f>
              <c:strCache>
                <c:ptCount val="2"/>
                <c:pt idx="0">
                  <c:v>2019年</c:v>
                </c:pt>
                <c:pt idx="1">
                  <c:v>2020年</c:v>
                </c:pt>
              </c:strCache>
            </c:strRef>
          </c:cat>
          <c:val>
            <c:numRef>
              <c:f>Sheet1!$B$2:$B$3</c:f>
              <c:numCache>
                <c:formatCode>General</c:formatCode>
                <c:ptCount val="2"/>
                <c:pt idx="0">
                  <c:v>2</c:v>
                </c:pt>
                <c:pt idx="1">
                  <c:v>0</c:v>
                </c:pt>
              </c:numCache>
            </c:numRef>
          </c:val>
        </c:ser>
        <c:ser>
          <c:idx val="2"/>
          <c:order val="3"/>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70202240"/>
        <c:axId val="170203776"/>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c:v>
                      </c:pt>
                      <c:pt idx="1">
                        <c:v>2020年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3"/>
                <c:order val="2"/>
                <c:tx>
                  <c:strRef>
                    <c:extLst>
                      <c:ext uri="{02D57815-91ED-43cb-92C2-25804820EDAC}">
                        <c15:formulaRef>
                          <c15:sqref>Sheet1!$C$1</c15:sqref>
                        </c15:formulaRef>
                      </c:ext>
                    </c:extLst>
                    <c:strCache>
                      <c:ptCount val="1"/>
                      <c:pt idx="0">
                        <c:v>养护</c:v>
                      </c:pt>
                    </c:strCache>
                  </c:strRef>
                </c:tx>
                <c:spPr>
                  <a:solidFill>
                    <a:schemeClr val="accent4"/>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c:v>
                      </c:pt>
                      <c:pt idx="1">
                        <c:v>2020年</c:v>
                      </c:pt>
                    </c:strCache>
                  </c:strRef>
                </c:cat>
                <c:val>
                  <c:numRef>
                    <c:extLst>
                      <c:ext uri="{02D57815-91ED-43cb-92C2-25804820EDAC}">
                        <c15:formulaRef>
                          <c15:sqref>Sheet1!$C$2:$C$3</c15:sqref>
                        </c15:formulaRef>
                      </c:ext>
                    </c:extLst>
                    <c:numCache>
                      <c:formatCode>General</c:formatCode>
                      <c:ptCount val="2"/>
                      <c:pt idx="0">
                        <c:v>0</c:v>
                      </c:pt>
                      <c:pt idx="1">
                        <c:v>3</c:v>
                      </c:pt>
                    </c:numCache>
                  </c:numRef>
                </c:val>
              </c15:ser>
            </c15:filteredBarSeries>
          </c:ext>
        </c:extLst>
      </c:barChart>
      <c:catAx>
        <c:axId val="1702022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203776"/>
        <c:crosses val="autoZero"/>
        <c:auto val="1"/>
        <c:lblAlgn val="ctr"/>
        <c:lblOffset val="100"/>
        <c:noMultiLvlLbl val="0"/>
      </c:catAx>
      <c:valAx>
        <c:axId val="170203776"/>
        <c:scaling>
          <c:orientation val="minMax"/>
          <c:max val="5"/>
        </c:scaling>
        <c:delete val="0"/>
        <c:axPos val="l"/>
        <c:majorGridlines>
          <c:spPr>
            <a:ln w="9525" cap="flat" cmpd="sng" algn="ctr">
              <a:solidFill>
                <a:schemeClr val="tx1">
                  <a:lumMod val="15000"/>
                  <a:lumOff val="85000"/>
                </a:schemeClr>
              </a:solidFill>
              <a:prstDash val="solid"/>
              <a:round/>
            </a:ln>
            <a:effectLst/>
          </c:spPr>
        </c:majorGridlines>
        <c:numFmt formatCode="#,##0_);[Red]\(#,##0\)" sourceLinked="0"/>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202240"/>
        <c:crosses val="autoZero"/>
        <c:crossBetween val="between"/>
        <c:majorUnit val="1"/>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6b6f0a-d1c0-48e3-87fb-33b6bd39fc7e}"/>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3.</a:t>
            </a:r>
            <a:r>
              <a:rPr altLang="en-US"/>
              <a:t>工程总体抽检合格率</a:t>
            </a:r>
            <a:endParaRPr altLang="en-US"/>
          </a:p>
        </c:rich>
      </c:tx>
      <c:layout/>
      <c:overlay val="0"/>
      <c:spPr>
        <a:noFill/>
        <a:ln>
          <a:noFill/>
        </a:ln>
        <a:effectLst/>
      </c:spPr>
    </c:title>
    <c:autoTitleDeleted val="0"/>
    <c:plotArea>
      <c:layout/>
      <c:barChart>
        <c:barDir val="col"/>
        <c:grouping val="clustered"/>
        <c:varyColors val="0"/>
        <c:ser>
          <c:idx val="1"/>
          <c:order val="0"/>
          <c:tx>
            <c:strRef>
              <c:f>Sheet1!$C$1</c:f>
              <c:strCache>
                <c:ptCount val="1"/>
                <c:pt idx="0">
                  <c:v>2019年</c:v>
                </c:pt>
              </c:strCache>
            </c:strRef>
          </c:tx>
          <c:spPr>
            <a:solidFill>
              <a:schemeClr val="accent2"/>
            </a:solidFill>
            <a:ln>
              <a:noFill/>
            </a:ln>
            <a:effectLst/>
          </c:spPr>
          <c:invertIfNegative val="0"/>
          <c:dLbls>
            <c:delete val="1"/>
          </c:dLbls>
          <c:cat>
            <c:strRef>
              <c:f>Sheet1!$A$2:$A$4</c:f>
              <c:strCache>
                <c:ptCount val="3"/>
                <c:pt idx="0">
                  <c:v>路基工程</c:v>
                </c:pt>
                <c:pt idx="1">
                  <c:v>路面工程</c:v>
                </c:pt>
                <c:pt idx="2">
                  <c:v>交安设施</c:v>
                </c:pt>
              </c:strCache>
            </c:strRef>
          </c:cat>
          <c:val>
            <c:numRef>
              <c:f>Sheet1!$C$2:$C$4</c:f>
              <c:numCache>
                <c:formatCode>0.0%</c:formatCode>
                <c:ptCount val="3"/>
                <c:pt idx="0">
                  <c:v>0.901</c:v>
                </c:pt>
                <c:pt idx="1">
                  <c:v>0.939</c:v>
                </c:pt>
                <c:pt idx="2">
                  <c:v>0.961</c:v>
                </c:pt>
              </c:numCache>
            </c:numRef>
          </c:val>
        </c:ser>
        <c:ser>
          <c:idx val="2"/>
          <c:order val="1"/>
          <c:tx>
            <c:strRef>
              <c:f>Sheet1!$D$1</c:f>
              <c:strCache>
                <c:ptCount val="1"/>
                <c:pt idx="0">
                  <c:v>2020年</c:v>
                </c:pt>
              </c:strCache>
            </c:strRef>
          </c:tx>
          <c:spPr>
            <a:solidFill>
              <a:schemeClr val="accent3"/>
            </a:solidFill>
            <a:ln>
              <a:noFill/>
            </a:ln>
            <a:effectLst/>
          </c:spPr>
          <c:invertIfNegative val="0"/>
          <c:dLbls>
            <c:delete val="1"/>
          </c:dLbls>
          <c:cat>
            <c:strRef>
              <c:f>Sheet1!$A$2:$A$4</c:f>
              <c:strCache>
                <c:ptCount val="3"/>
                <c:pt idx="0">
                  <c:v>路基工程</c:v>
                </c:pt>
                <c:pt idx="1">
                  <c:v>路面工程</c:v>
                </c:pt>
                <c:pt idx="2">
                  <c:v>交安设施</c:v>
                </c:pt>
              </c:strCache>
            </c:strRef>
          </c:cat>
          <c:val>
            <c:numRef>
              <c:f>Sheet1!$D$2:$D$4</c:f>
              <c:numCache>
                <c:formatCode>0.0%</c:formatCode>
                <c:ptCount val="3"/>
                <c:pt idx="0">
                  <c:v>0.975</c:v>
                </c:pt>
                <c:pt idx="1">
                  <c:v>0.98</c:v>
                </c:pt>
                <c:pt idx="2">
                  <c:v>0.942</c:v>
                </c:pt>
              </c:numCache>
            </c:numRef>
          </c:val>
        </c:ser>
        <c:dLbls>
          <c:showLegendKey val="0"/>
          <c:showVal val="0"/>
          <c:showCatName val="0"/>
          <c:showSerName val="0"/>
          <c:showPercent val="0"/>
          <c:showBubbleSize val="0"/>
        </c:dLbls>
        <c:gapWidth val="219"/>
        <c:overlap val="-27"/>
        <c:axId val="117326592"/>
        <c:axId val="117328128"/>
      </c:barChart>
      <c:catAx>
        <c:axId val="117326592"/>
        <c:scaling>
          <c:orientation val="minMax"/>
        </c:scaling>
        <c:delete val="0"/>
        <c:axPos val="b"/>
        <c:numFmt formatCode="0.0%"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328128"/>
        <c:crosses val="autoZero"/>
        <c:auto val="1"/>
        <c:lblAlgn val="ctr"/>
        <c:lblOffset val="100"/>
        <c:noMultiLvlLbl val="0"/>
      </c:catAx>
      <c:valAx>
        <c:axId val="117328128"/>
        <c:scaling>
          <c:orientation val="minMax"/>
          <c:max val="1"/>
          <c:min val="0.1"/>
        </c:scaling>
        <c:delete val="0"/>
        <c:axPos val="l"/>
        <c:majorGridlines>
          <c:spPr>
            <a:ln w="9525" cap="flat" cmpd="sng" algn="ctr">
              <a:solidFill>
                <a:schemeClr val="tx1">
                  <a:lumMod val="15000"/>
                  <a:lumOff val="85000"/>
                </a:schemeClr>
              </a:solidFill>
              <a:prstDash val="solid"/>
              <a:round/>
            </a:ln>
            <a:effectLst/>
          </c:spPr>
        </c:majorGridlines>
        <c:numFmt formatCode="0.0%" sourceLinked="0"/>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326592"/>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02e21b6-cf59-4313-964d-471e5a1a96c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4.</a:t>
            </a:r>
            <a:r>
              <a:rPr altLang="en-US"/>
              <a:t>路基工程主要指标合格率</a:t>
            </a:r>
            <a:endParaRPr altLang="en-US"/>
          </a:p>
        </c:rich>
      </c:tx>
      <c:layout/>
      <c:overlay val="0"/>
      <c:spPr>
        <a:noFill/>
        <a:ln>
          <a:noFill/>
        </a:ln>
        <a:effectLst/>
      </c:spPr>
    </c:title>
    <c:autoTitleDeleted val="0"/>
    <c:plotArea>
      <c:layout/>
      <c:barChart>
        <c:barDir val="col"/>
        <c:grouping val="clustered"/>
        <c:varyColors val="0"/>
        <c:ser>
          <c:idx val="1"/>
          <c:order val="0"/>
          <c:tx>
            <c:strRef>
              <c:f>Sheet1!$C$1</c:f>
              <c:strCache>
                <c:ptCount val="1"/>
                <c:pt idx="0">
                  <c:v>2019年</c:v>
                </c:pt>
              </c:strCache>
            </c:strRef>
          </c:tx>
          <c:spPr>
            <a:solidFill>
              <a:schemeClr val="accent2"/>
            </a:solidFill>
            <a:ln>
              <a:noFill/>
            </a:ln>
            <a:effectLst/>
          </c:spPr>
          <c:invertIfNegative val="0"/>
          <c:dLbls>
            <c:delete val="1"/>
          </c:dLbls>
          <c:cat>
            <c:strRef>
              <c:f>Sheet1!$A$2:$A$5</c:f>
              <c:strCache>
                <c:ptCount val="4"/>
                <c:pt idx="0">
                  <c:v>排水工程断面尺寸</c:v>
                </c:pt>
                <c:pt idx="1">
                  <c:v>排水工程铺砌厚度</c:v>
                </c:pt>
                <c:pt idx="2">
                  <c:v>支挡工程砼强度</c:v>
                </c:pt>
                <c:pt idx="3">
                  <c:v>支挡工程断面尺寸</c:v>
                </c:pt>
              </c:strCache>
            </c:strRef>
          </c:cat>
          <c:val>
            <c:numRef>
              <c:f>Sheet1!$C$2:$C$5</c:f>
              <c:numCache>
                <c:formatCode>0.0%</c:formatCode>
                <c:ptCount val="4"/>
                <c:pt idx="0">
                  <c:v>0.875</c:v>
                </c:pt>
                <c:pt idx="1">
                  <c:v>0.75</c:v>
                </c:pt>
                <c:pt idx="2">
                  <c:v>1</c:v>
                </c:pt>
                <c:pt idx="3">
                  <c:v>0.933</c:v>
                </c:pt>
              </c:numCache>
            </c:numRef>
          </c:val>
        </c:ser>
        <c:ser>
          <c:idx val="2"/>
          <c:order val="1"/>
          <c:tx>
            <c:strRef>
              <c:f>Sheet1!$D$1</c:f>
              <c:strCache>
                <c:ptCount val="1"/>
                <c:pt idx="0">
                  <c:v>2020年</c:v>
                </c:pt>
              </c:strCache>
            </c:strRef>
          </c:tx>
          <c:spPr>
            <a:solidFill>
              <a:schemeClr val="accent3"/>
            </a:solidFill>
            <a:ln>
              <a:noFill/>
            </a:ln>
            <a:effectLst/>
          </c:spPr>
          <c:invertIfNegative val="0"/>
          <c:dLbls>
            <c:delete val="1"/>
          </c:dLbls>
          <c:cat>
            <c:strRef>
              <c:f>Sheet1!$A$2:$A$5</c:f>
              <c:strCache>
                <c:ptCount val="4"/>
                <c:pt idx="0">
                  <c:v>排水工程断面尺寸</c:v>
                </c:pt>
                <c:pt idx="1">
                  <c:v>排水工程铺砌厚度</c:v>
                </c:pt>
                <c:pt idx="2">
                  <c:v>支挡工程砼强度</c:v>
                </c:pt>
                <c:pt idx="3">
                  <c:v>支挡工程断面尺寸</c:v>
                </c:pt>
              </c:strCache>
            </c:strRef>
          </c:cat>
          <c:val>
            <c:numRef>
              <c:f>Sheet1!$D$2:$D$5</c:f>
              <c:numCache>
                <c:formatCode>0.0%</c:formatCode>
                <c:ptCount val="4"/>
                <c:pt idx="0">
                  <c:v>0.969</c:v>
                </c:pt>
                <c:pt idx="1">
                  <c:v>0.96</c:v>
                </c:pt>
                <c:pt idx="2">
                  <c:v>1</c:v>
                </c:pt>
                <c:pt idx="3">
                  <c:v>0.957</c:v>
                </c:pt>
              </c:numCache>
            </c:numRef>
          </c:val>
        </c:ser>
        <c:dLbls>
          <c:showLegendKey val="0"/>
          <c:showVal val="0"/>
          <c:showCatName val="0"/>
          <c:showSerName val="0"/>
          <c:showPercent val="0"/>
          <c:showBubbleSize val="0"/>
        </c:dLbls>
        <c:gapWidth val="219"/>
        <c:overlap val="-27"/>
        <c:axId val="170664320"/>
        <c:axId val="170665856"/>
      </c:barChart>
      <c:catAx>
        <c:axId val="170664320"/>
        <c:scaling>
          <c:orientation val="minMax"/>
        </c:scaling>
        <c:delete val="0"/>
        <c:axPos val="b"/>
        <c:numFmt formatCode="0.0%"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665856"/>
        <c:crosses val="autoZero"/>
        <c:auto val="1"/>
        <c:lblAlgn val="ctr"/>
        <c:lblOffset val="100"/>
        <c:noMultiLvlLbl val="0"/>
      </c:catAx>
      <c:valAx>
        <c:axId val="170665856"/>
        <c:scaling>
          <c:orientation val="minMax"/>
          <c:max val="1"/>
          <c:min val="0.1"/>
        </c:scaling>
        <c:delete val="0"/>
        <c:axPos val="l"/>
        <c:majorGridlines>
          <c:spPr>
            <a:ln w="9525" cap="flat" cmpd="sng" algn="ctr">
              <a:solidFill>
                <a:schemeClr val="tx1">
                  <a:lumMod val="15000"/>
                  <a:lumOff val="85000"/>
                </a:schemeClr>
              </a:solidFill>
              <a:prstDash val="solid"/>
              <a:round/>
            </a:ln>
            <a:effectLst/>
          </c:spPr>
        </c:majorGridlines>
        <c:numFmt formatCode="0.0%" sourceLinked="0"/>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664320"/>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b396cde-ea9e-4f8c-91c1-f61743d17eba}"/>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5.</a:t>
            </a:r>
            <a:r>
              <a:rPr altLang="en-US"/>
              <a:t>路面工程主要指标合格率</a:t>
            </a:r>
            <a:endParaRPr altLang="en-US"/>
          </a:p>
        </c:rich>
      </c:tx>
      <c:layout/>
      <c:overlay val="0"/>
      <c:spPr>
        <a:noFill/>
        <a:ln>
          <a:noFill/>
        </a:ln>
        <a:effectLst/>
      </c:spPr>
    </c:title>
    <c:autoTitleDeleted val="0"/>
    <c:plotArea>
      <c:layout/>
      <c:barChart>
        <c:barDir val="col"/>
        <c:grouping val="clustered"/>
        <c:varyColors val="0"/>
        <c:ser>
          <c:idx val="1"/>
          <c:order val="0"/>
          <c:tx>
            <c:strRef>
              <c:f>Sheet1!$C$1</c:f>
              <c:strCache>
                <c:ptCount val="1"/>
                <c:pt idx="0">
                  <c:v>2019年</c:v>
                </c:pt>
              </c:strCache>
            </c:strRef>
          </c:tx>
          <c:spPr>
            <a:solidFill>
              <a:schemeClr val="accent2"/>
            </a:solidFill>
            <a:ln>
              <a:noFill/>
            </a:ln>
            <a:effectLst/>
          </c:spPr>
          <c:invertIfNegative val="0"/>
          <c:dLbls>
            <c:delete val="1"/>
          </c:dLbls>
          <c:cat>
            <c:strRef>
              <c:f>Sheet1!$A$2:$A$5</c:f>
              <c:strCache>
                <c:ptCount val="4"/>
                <c:pt idx="0">
                  <c:v>沥青路面压实度</c:v>
                </c:pt>
                <c:pt idx="1">
                  <c:v>厚度</c:v>
                </c:pt>
                <c:pt idx="2">
                  <c:v>砼路面强度</c:v>
                </c:pt>
                <c:pt idx="3">
                  <c:v>路面尺寸</c:v>
                </c:pt>
              </c:strCache>
            </c:strRef>
          </c:cat>
          <c:val>
            <c:numRef>
              <c:f>Sheet1!$C$2:$C$5</c:f>
              <c:numCache>
                <c:formatCode>0.0%</c:formatCode>
                <c:ptCount val="4"/>
                <c:pt idx="0">
                  <c:v>1</c:v>
                </c:pt>
                <c:pt idx="1">
                  <c:v>1</c:v>
                </c:pt>
                <c:pt idx="2">
                  <c:v>1</c:v>
                </c:pt>
                <c:pt idx="3">
                  <c:v>0.818</c:v>
                </c:pt>
              </c:numCache>
            </c:numRef>
          </c:val>
        </c:ser>
        <c:ser>
          <c:idx val="2"/>
          <c:order val="1"/>
          <c:tx>
            <c:strRef>
              <c:f>Sheet1!$D$1</c:f>
              <c:strCache>
                <c:ptCount val="1"/>
                <c:pt idx="0">
                  <c:v>2020年</c:v>
                </c:pt>
              </c:strCache>
            </c:strRef>
          </c:tx>
          <c:spPr>
            <a:solidFill>
              <a:schemeClr val="accent3"/>
            </a:solidFill>
            <a:ln>
              <a:noFill/>
            </a:ln>
            <a:effectLst/>
          </c:spPr>
          <c:invertIfNegative val="0"/>
          <c:dLbls>
            <c:delete val="1"/>
          </c:dLbls>
          <c:cat>
            <c:strRef>
              <c:f>Sheet1!$A$2:$A$5</c:f>
              <c:strCache>
                <c:ptCount val="4"/>
                <c:pt idx="0">
                  <c:v>沥青路面压实度</c:v>
                </c:pt>
                <c:pt idx="1">
                  <c:v>厚度</c:v>
                </c:pt>
                <c:pt idx="2">
                  <c:v>砼路面强度</c:v>
                </c:pt>
                <c:pt idx="3">
                  <c:v>路面尺寸</c:v>
                </c:pt>
              </c:strCache>
            </c:strRef>
          </c:cat>
          <c:val>
            <c:numRef>
              <c:f>Sheet1!$D$2:$D$5</c:f>
              <c:numCache>
                <c:formatCode>0.0%</c:formatCode>
                <c:ptCount val="4"/>
                <c:pt idx="0">
                  <c:v>1</c:v>
                </c:pt>
                <c:pt idx="1">
                  <c:v>1</c:v>
                </c:pt>
                <c:pt idx="2">
                  <c:v>1</c:v>
                </c:pt>
                <c:pt idx="3">
                  <c:v>0.96</c:v>
                </c:pt>
              </c:numCache>
            </c:numRef>
          </c:val>
        </c:ser>
        <c:dLbls>
          <c:showLegendKey val="0"/>
          <c:showVal val="0"/>
          <c:showCatName val="0"/>
          <c:showSerName val="0"/>
          <c:showPercent val="0"/>
          <c:showBubbleSize val="0"/>
        </c:dLbls>
        <c:gapWidth val="219"/>
        <c:overlap val="-27"/>
        <c:axId val="90308608"/>
        <c:axId val="90310144"/>
      </c:barChart>
      <c:catAx>
        <c:axId val="90308608"/>
        <c:scaling>
          <c:orientation val="minMax"/>
        </c:scaling>
        <c:delete val="0"/>
        <c:axPos val="b"/>
        <c:numFmt formatCode="0.0%"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310144"/>
        <c:crosses val="autoZero"/>
        <c:auto val="1"/>
        <c:lblAlgn val="ctr"/>
        <c:lblOffset val="100"/>
        <c:noMultiLvlLbl val="0"/>
      </c:catAx>
      <c:valAx>
        <c:axId val="90310144"/>
        <c:scaling>
          <c:orientation val="minMax"/>
          <c:max val="1"/>
          <c:min val="0.1"/>
        </c:scaling>
        <c:delete val="0"/>
        <c:axPos val="l"/>
        <c:majorGridlines>
          <c:spPr>
            <a:ln w="9525" cap="flat" cmpd="sng" algn="ctr">
              <a:solidFill>
                <a:schemeClr val="tx1">
                  <a:lumMod val="15000"/>
                  <a:lumOff val="85000"/>
                </a:schemeClr>
              </a:solidFill>
              <a:prstDash val="solid"/>
              <a:round/>
            </a:ln>
            <a:effectLst/>
          </c:spPr>
        </c:majorGridlines>
        <c:numFmt formatCode="0.0%" sourceLinked="0"/>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308608"/>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009a44f-5137-4db0-ac1d-45afb2d641ae}"/>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6.</a:t>
            </a:r>
            <a:r>
              <a:rPr altLang="en-US"/>
              <a:t>交通安全设施主要指标合格率</a:t>
            </a:r>
            <a:endParaRPr altLang="en-US"/>
          </a:p>
        </c:rich>
      </c:tx>
      <c:layout/>
      <c:overlay val="0"/>
      <c:spPr>
        <a:noFill/>
        <a:ln>
          <a:noFill/>
        </a:ln>
        <a:effectLst/>
      </c:spPr>
    </c:title>
    <c:autoTitleDeleted val="0"/>
    <c:plotArea>
      <c:layout/>
      <c:barChart>
        <c:barDir val="col"/>
        <c:grouping val="clustered"/>
        <c:varyColors val="0"/>
        <c:ser>
          <c:idx val="1"/>
          <c:order val="0"/>
          <c:tx>
            <c:strRef>
              <c:f>Sheet1!$C$1</c:f>
              <c:strCache>
                <c:ptCount val="1"/>
                <c:pt idx="0">
                  <c:v>2019年</c:v>
                </c:pt>
              </c:strCache>
            </c:strRef>
          </c:tx>
          <c:spPr>
            <a:solidFill>
              <a:schemeClr val="accent2"/>
            </a:solidFill>
            <a:ln>
              <a:noFill/>
            </a:ln>
            <a:effectLst/>
          </c:spPr>
          <c:invertIfNegative val="0"/>
          <c:dLbls>
            <c:delete val="1"/>
          </c:dLbls>
          <c:cat>
            <c:strRef>
              <c:f>Sheet1!$A$2:$A$11</c:f>
              <c:strCache>
                <c:ptCount val="10"/>
                <c:pt idx="0">
                  <c:v>砼护栏强度</c:v>
                </c:pt>
                <c:pt idx="1">
                  <c:v>砼护栏断面尺寸</c:v>
                </c:pt>
                <c:pt idx="2">
                  <c:v>波形护栏基底金属厚度</c:v>
                </c:pt>
                <c:pt idx="3">
                  <c:v>波形护栏立柱壁厚</c:v>
                </c:pt>
                <c:pt idx="4">
                  <c:v>波形护栏立柱埋入深度</c:v>
                </c:pt>
                <c:pt idx="5">
                  <c:v>波形护栏横梁中心高度</c:v>
                </c:pt>
                <c:pt idx="6">
                  <c:v>波形护栏立柱中距</c:v>
                </c:pt>
                <c:pt idx="7">
                  <c:v>标志板净空高度</c:v>
                </c:pt>
                <c:pt idx="8">
                  <c:v>标志立柱竖直度</c:v>
                </c:pt>
                <c:pt idx="9">
                  <c:v>标志板厚度</c:v>
                </c:pt>
              </c:strCache>
            </c:strRef>
          </c:cat>
          <c:val>
            <c:numRef>
              <c:f>Sheet1!$C$2:$C$11</c:f>
              <c:numCache>
                <c:formatCode>0.0%</c:formatCode>
                <c:ptCount val="10"/>
                <c:pt idx="0">
                  <c:v>1</c:v>
                </c:pt>
                <c:pt idx="1">
                  <c:v>0.933</c:v>
                </c:pt>
                <c:pt idx="2">
                  <c:v>1</c:v>
                </c:pt>
                <c:pt idx="3">
                  <c:v>1</c:v>
                </c:pt>
                <c:pt idx="4">
                  <c:v>1</c:v>
                </c:pt>
                <c:pt idx="5">
                  <c:v>0.9</c:v>
                </c:pt>
                <c:pt idx="6">
                  <c:v>0.93</c:v>
                </c:pt>
                <c:pt idx="7">
                  <c:v>0.917</c:v>
                </c:pt>
                <c:pt idx="8">
                  <c:v>0.947</c:v>
                </c:pt>
                <c:pt idx="9">
                  <c:v>0.926</c:v>
                </c:pt>
              </c:numCache>
            </c:numRef>
          </c:val>
        </c:ser>
        <c:ser>
          <c:idx val="2"/>
          <c:order val="1"/>
          <c:tx>
            <c:strRef>
              <c:f>Sheet1!$D$1</c:f>
              <c:strCache>
                <c:ptCount val="1"/>
                <c:pt idx="0">
                  <c:v>2020年</c:v>
                </c:pt>
              </c:strCache>
            </c:strRef>
          </c:tx>
          <c:spPr>
            <a:solidFill>
              <a:schemeClr val="accent3"/>
            </a:solidFill>
            <a:ln>
              <a:noFill/>
            </a:ln>
            <a:effectLst/>
          </c:spPr>
          <c:invertIfNegative val="0"/>
          <c:dLbls>
            <c:delete val="1"/>
          </c:dLbls>
          <c:cat>
            <c:strRef>
              <c:f>Sheet1!$A$2:$A$11</c:f>
              <c:strCache>
                <c:ptCount val="10"/>
                <c:pt idx="0">
                  <c:v>砼护栏强度</c:v>
                </c:pt>
                <c:pt idx="1">
                  <c:v>砼护栏断面尺寸</c:v>
                </c:pt>
                <c:pt idx="2">
                  <c:v>波形护栏基底金属厚度</c:v>
                </c:pt>
                <c:pt idx="3">
                  <c:v>波形护栏立柱壁厚</c:v>
                </c:pt>
                <c:pt idx="4">
                  <c:v>波形护栏立柱埋入深度</c:v>
                </c:pt>
                <c:pt idx="5">
                  <c:v>波形护栏横梁中心高度</c:v>
                </c:pt>
                <c:pt idx="6">
                  <c:v>波形护栏立柱中距</c:v>
                </c:pt>
                <c:pt idx="7">
                  <c:v>标志板净空高度</c:v>
                </c:pt>
                <c:pt idx="8">
                  <c:v>标志立柱竖直度</c:v>
                </c:pt>
                <c:pt idx="9">
                  <c:v>标志板厚度</c:v>
                </c:pt>
              </c:strCache>
            </c:strRef>
          </c:cat>
          <c:val>
            <c:numRef>
              <c:f>Sheet1!$D$2:$D$11</c:f>
              <c:numCache>
                <c:formatCode>0.0%</c:formatCode>
                <c:ptCount val="10"/>
                <c:pt idx="0">
                  <c:v>1</c:v>
                </c:pt>
                <c:pt idx="1">
                  <c:v>0.88</c:v>
                </c:pt>
                <c:pt idx="2">
                  <c:v>0.958</c:v>
                </c:pt>
                <c:pt idx="3">
                  <c:v>1</c:v>
                </c:pt>
                <c:pt idx="4">
                  <c:v>0.854</c:v>
                </c:pt>
                <c:pt idx="5">
                  <c:v>0.95</c:v>
                </c:pt>
                <c:pt idx="6">
                  <c:v>0.92</c:v>
                </c:pt>
                <c:pt idx="7">
                  <c:v>0.867</c:v>
                </c:pt>
                <c:pt idx="8">
                  <c:v>0.933</c:v>
                </c:pt>
                <c:pt idx="9">
                  <c:v>1</c:v>
                </c:pt>
              </c:numCache>
            </c:numRef>
          </c:val>
        </c:ser>
        <c:dLbls>
          <c:showLegendKey val="0"/>
          <c:showVal val="0"/>
          <c:showCatName val="0"/>
          <c:showSerName val="0"/>
          <c:showPercent val="0"/>
          <c:showBubbleSize val="0"/>
        </c:dLbls>
        <c:gapWidth val="219"/>
        <c:overlap val="-27"/>
        <c:axId val="90336640"/>
        <c:axId val="168498304"/>
      </c:barChart>
      <c:catAx>
        <c:axId val="90336640"/>
        <c:scaling>
          <c:orientation val="minMax"/>
        </c:scaling>
        <c:delete val="0"/>
        <c:axPos val="b"/>
        <c:numFmt formatCode="0.0%"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8498304"/>
        <c:crosses val="autoZero"/>
        <c:auto val="1"/>
        <c:lblAlgn val="ctr"/>
        <c:lblOffset val="100"/>
        <c:noMultiLvlLbl val="0"/>
      </c:catAx>
      <c:valAx>
        <c:axId val="168498304"/>
        <c:scaling>
          <c:orientation val="minMax"/>
          <c:max val="1"/>
          <c:min val="0.1"/>
        </c:scaling>
        <c:delete val="0"/>
        <c:axPos val="l"/>
        <c:majorGridlines>
          <c:spPr>
            <a:ln w="9525" cap="flat" cmpd="sng" algn="ctr">
              <a:solidFill>
                <a:schemeClr val="tx1">
                  <a:lumMod val="15000"/>
                  <a:lumOff val="85000"/>
                </a:schemeClr>
              </a:solidFill>
              <a:prstDash val="solid"/>
              <a:round/>
            </a:ln>
            <a:effectLst/>
          </c:spPr>
        </c:majorGridlines>
        <c:numFmt formatCode="0.0%" sourceLinked="0"/>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336640"/>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ac512a-f864-4bc6-82e2-68c43d0d9d84}"/>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2019年</c:v>
                </c:pt>
              </c:strCache>
            </c:strRef>
          </c:tx>
          <c:invertIfNegative val="0"/>
          <c:dLbls>
            <c:delete val="1"/>
          </c:dLbls>
          <c:cat>
            <c:strRef>
              <c:f>Sheet1!$B$2:$D$2</c:f>
              <c:strCache>
                <c:ptCount val="3"/>
                <c:pt idx="0">
                  <c:v>投诉案件数量（件）</c:v>
                </c:pt>
                <c:pt idx="1">
                  <c:v>举报案件数量（件）</c:v>
                </c:pt>
                <c:pt idx="2">
                  <c:v>咨询件数（件）</c:v>
                </c:pt>
              </c:strCache>
            </c:strRef>
          </c:cat>
          <c:val>
            <c:numRef>
              <c:f>Sheet1!$B$3:$D$3</c:f>
              <c:numCache>
                <c:formatCode>General</c:formatCode>
                <c:ptCount val="3"/>
                <c:pt idx="0">
                  <c:v>7055</c:v>
                </c:pt>
                <c:pt idx="1">
                  <c:v>1580</c:v>
                </c:pt>
                <c:pt idx="2">
                  <c:v>5393</c:v>
                </c:pt>
              </c:numCache>
            </c:numRef>
          </c:val>
        </c:ser>
        <c:ser>
          <c:idx val="1"/>
          <c:order val="1"/>
          <c:tx>
            <c:strRef>
              <c:f>Sheet1!$A$4</c:f>
              <c:strCache>
                <c:ptCount val="1"/>
                <c:pt idx="0">
                  <c:v>2020年</c:v>
                </c:pt>
              </c:strCache>
            </c:strRef>
          </c:tx>
          <c:invertIfNegative val="0"/>
          <c:dLbls>
            <c:delete val="1"/>
          </c:dLbls>
          <c:cat>
            <c:strRef>
              <c:f>Sheet1!$B$2:$D$2</c:f>
              <c:strCache>
                <c:ptCount val="3"/>
                <c:pt idx="0">
                  <c:v>投诉案件数量（件）</c:v>
                </c:pt>
                <c:pt idx="1">
                  <c:v>举报案件数量（件）</c:v>
                </c:pt>
                <c:pt idx="2">
                  <c:v>咨询件数（件）</c:v>
                </c:pt>
              </c:strCache>
            </c:strRef>
          </c:cat>
          <c:val>
            <c:numRef>
              <c:f>Sheet1!$B$4:$D$4</c:f>
              <c:numCache>
                <c:formatCode>General</c:formatCode>
                <c:ptCount val="3"/>
                <c:pt idx="0">
                  <c:v>7682</c:v>
                </c:pt>
                <c:pt idx="1">
                  <c:v>3014</c:v>
                </c:pt>
                <c:pt idx="2">
                  <c:v>5193</c:v>
                </c:pt>
              </c:numCache>
            </c:numRef>
          </c:val>
        </c:ser>
        <c:dLbls>
          <c:showLegendKey val="0"/>
          <c:showVal val="0"/>
          <c:showCatName val="0"/>
          <c:showSerName val="0"/>
          <c:showPercent val="0"/>
          <c:showBubbleSize val="0"/>
        </c:dLbls>
        <c:gapWidth val="150"/>
        <c:axId val="81542528"/>
        <c:axId val="132113920"/>
      </c:barChart>
      <c:catAx>
        <c:axId val="8154252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2113920"/>
        <c:crosses val="autoZero"/>
        <c:auto val="1"/>
        <c:lblAlgn val="ctr"/>
        <c:lblOffset val="100"/>
        <c:noMultiLvlLbl val="0"/>
      </c:catAx>
      <c:valAx>
        <c:axId val="1321139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1542528"/>
        <c:crosses val="autoZero"/>
        <c:crossBetween val="between"/>
      </c:val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de81996-ebd4-4b02-b9a5-cb8973d9db8d}"/>
      </c:ext>
    </c:extLst>
  </c:chart>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   </a:t>
            </a:r>
            <a:r>
              <a:rPr lang="en-US" altLang="zh-CN"/>
              <a:t>2020</a:t>
            </a:r>
            <a:r>
              <a:rPr lang="zh-CN" altLang="en-US"/>
              <a:t>年全年投诉举报数量配比表</a:t>
            </a:r>
            <a:endParaRPr lang="zh-CN" altLang="en-US"/>
          </a:p>
        </c:rich>
      </c:tx>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Sheet1!$B$20</c:f>
              <c:strCache>
                <c:ptCount val="1"/>
                <c:pt idx="0">
                  <c:v>合计</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Sheet1!$A$21:$A$31</c:f>
              <c:strCache>
                <c:ptCount val="11"/>
                <c:pt idx="0">
                  <c:v>护国</c:v>
                </c:pt>
                <c:pt idx="1">
                  <c:v>华山</c:v>
                </c:pt>
                <c:pt idx="2">
                  <c:v>大观</c:v>
                </c:pt>
                <c:pt idx="3">
                  <c:v>龙翔</c:v>
                </c:pt>
                <c:pt idx="4">
                  <c:v>莲华</c:v>
                </c:pt>
                <c:pt idx="5">
                  <c:v>红云</c:v>
                </c:pt>
                <c:pt idx="6">
                  <c:v>丰宁</c:v>
                </c:pt>
                <c:pt idx="7">
                  <c:v>普吉</c:v>
                </c:pt>
                <c:pt idx="8">
                  <c:v>黑林铺</c:v>
                </c:pt>
                <c:pt idx="9">
                  <c:v>西翥</c:v>
                </c:pt>
                <c:pt idx="10">
                  <c:v>消保科</c:v>
                </c:pt>
              </c:strCache>
            </c:strRef>
          </c:cat>
          <c:val>
            <c:numRef>
              <c:f>Sheet1!$B$21:$B$31</c:f>
              <c:numCache>
                <c:formatCode>General</c:formatCode>
                <c:ptCount val="11"/>
                <c:pt idx="0">
                  <c:v>2010</c:v>
                </c:pt>
                <c:pt idx="1">
                  <c:v>936</c:v>
                </c:pt>
                <c:pt idx="2">
                  <c:v>1797</c:v>
                </c:pt>
                <c:pt idx="3">
                  <c:v>301</c:v>
                </c:pt>
                <c:pt idx="4">
                  <c:v>726</c:v>
                </c:pt>
                <c:pt idx="5">
                  <c:v>996</c:v>
                </c:pt>
                <c:pt idx="6">
                  <c:v>1060</c:v>
                </c:pt>
                <c:pt idx="7">
                  <c:v>745</c:v>
                </c:pt>
                <c:pt idx="8">
                  <c:v>671</c:v>
                </c:pt>
                <c:pt idx="9">
                  <c:v>51</c:v>
                </c:pt>
                <c:pt idx="10">
                  <c:v>1409</c:v>
                </c:pt>
              </c:numCache>
            </c:numRef>
          </c:val>
        </c:ser>
        <c:ser>
          <c:idx val="1"/>
          <c:order val="1"/>
          <c:tx>
            <c:strRef>
              <c:f>Sheet1!$C$20</c:f>
              <c:strCache>
                <c:ptCount val="1"/>
                <c:pt idx="0">
                  <c:v>所占比例</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Sheet1!$A$21:$A$31</c:f>
              <c:strCache>
                <c:ptCount val="11"/>
                <c:pt idx="0">
                  <c:v>护国</c:v>
                </c:pt>
                <c:pt idx="1">
                  <c:v>华山</c:v>
                </c:pt>
                <c:pt idx="2">
                  <c:v>大观</c:v>
                </c:pt>
                <c:pt idx="3">
                  <c:v>龙翔</c:v>
                </c:pt>
                <c:pt idx="4">
                  <c:v>莲华</c:v>
                </c:pt>
                <c:pt idx="5">
                  <c:v>红云</c:v>
                </c:pt>
                <c:pt idx="6">
                  <c:v>丰宁</c:v>
                </c:pt>
                <c:pt idx="7">
                  <c:v>普吉</c:v>
                </c:pt>
                <c:pt idx="8">
                  <c:v>黑林铺</c:v>
                </c:pt>
                <c:pt idx="9">
                  <c:v>西翥</c:v>
                </c:pt>
                <c:pt idx="10">
                  <c:v>消保科</c:v>
                </c:pt>
              </c:strCache>
            </c:strRef>
          </c:cat>
          <c:val>
            <c:numRef>
              <c:f>Sheet1!$C$21:$C$31</c:f>
              <c:numCache>
                <c:formatCode>0.00%</c:formatCode>
                <c:ptCount val="11"/>
                <c:pt idx="0">
                  <c:v>0.1879</c:v>
                </c:pt>
                <c:pt idx="1">
                  <c:v>0.0876</c:v>
                </c:pt>
                <c:pt idx="2">
                  <c:v>0.1674</c:v>
                </c:pt>
                <c:pt idx="3">
                  <c:v>0.0281</c:v>
                </c:pt>
                <c:pt idx="4">
                  <c:v>0.0679</c:v>
                </c:pt>
                <c:pt idx="5">
                  <c:v>0.0991</c:v>
                </c:pt>
                <c:pt idx="6">
                  <c:v>0.0931</c:v>
                </c:pt>
                <c:pt idx="7">
                  <c:v>0.0697</c:v>
                </c:pt>
                <c:pt idx="8">
                  <c:v>0.0627</c:v>
                </c:pt>
                <c:pt idx="9">
                  <c:v>0.0048</c:v>
                </c:pt>
                <c:pt idx="10">
                  <c:v>0.1317</c:v>
                </c:pt>
              </c:numCache>
            </c:numRef>
          </c:val>
        </c:ser>
        <c:dLbls>
          <c:showLegendKey val="1"/>
          <c:showVal val="1"/>
          <c:showCatName val="1"/>
          <c:showSerName val="1"/>
          <c:showPercent val="1"/>
          <c:showBubbleSize val="1"/>
        </c:dLbls>
      </c:pie3D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d871e9d-9d94-4524-b34b-60da6240dcbf}"/>
      </c:ext>
    </c:extLst>
  </c:chart>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2020</a:t>
            </a:r>
            <a:r>
              <a:rPr lang="zh-CN" altLang="en-US"/>
              <a:t>年全年投诉举报客体类别占比表</a:t>
            </a:r>
            <a:endParaRPr lang="zh-CN" altLang="en-US"/>
          </a:p>
        </c:rich>
      </c:tx>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3"/>
          <c:order val="3"/>
          <c:tx>
            <c:strRef>
              <c:f>Sheet1!$B$2</c:f>
              <c:strCache>
                <c:ptCount val="1"/>
                <c:pt idx="0">
                  <c:v>受理数量（件）</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Sheet1!$A$3:$A$4</c:f>
              <c:strCache>
                <c:ptCount val="3"/>
                <c:pt idx="0">
                  <c:v>商品类</c:v>
                </c:pt>
                <c:pt idx="1">
                  <c:v>服务类</c:v>
                </c:pt>
                <c:pt idx="2">
                  <c:v>合计</c:v>
                </c:pt>
              </c:strCache>
            </c:strRef>
          </c:cat>
          <c:val>
            <c:numRef>
              <c:f>Sheet1!$B$3:$B$4</c:f>
              <c:numCache>
                <c:formatCode>General</c:formatCode>
                <c:ptCount val="2"/>
                <c:pt idx="0">
                  <c:v>5001</c:v>
                </c:pt>
                <c:pt idx="1">
                  <c:v>5695</c:v>
                </c:pt>
              </c:numCache>
            </c:numRef>
          </c:val>
        </c:ser>
        <c:ser>
          <c:idx val="4"/>
          <c:order val="4"/>
          <c:tx>
            <c:strRef>
              <c:f>Sheet1!$C$2</c:f>
              <c:strCache>
                <c:ptCount val="1"/>
                <c:pt idx="0">
                  <c:v>所占比重</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Sheet1!$A$3:$A$4</c:f>
              <c:strCache>
                <c:ptCount val="3"/>
                <c:pt idx="0">
                  <c:v>商品类</c:v>
                </c:pt>
                <c:pt idx="1">
                  <c:v>服务类</c:v>
                </c:pt>
                <c:pt idx="2">
                  <c:v>合计</c:v>
                </c:pt>
              </c:strCache>
            </c:strRef>
          </c:cat>
          <c:val>
            <c:numRef>
              <c:f>Sheet1!$C$3:$C$4</c:f>
              <c:numCache>
                <c:formatCode>0.00%</c:formatCode>
                <c:ptCount val="2"/>
                <c:pt idx="0">
                  <c:v>0.4676</c:v>
                </c:pt>
                <c:pt idx="1">
                  <c:v>0.5324</c:v>
                </c:pt>
              </c:numCache>
            </c:numRef>
          </c:val>
        </c:ser>
        <c:ser>
          <c:idx val="0"/>
          <c:order val="0"/>
          <c:tx>
            <c:strRef>
              <c:f>Sheet1!$B$2</c:f>
              <c:strCache>
                <c:ptCount val="1"/>
                <c:pt idx="0">
                  <c:v>受理数量（件）</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Sheet1!$A$3:$A$5</c:f>
              <c:strCache>
                <c:ptCount val="3"/>
                <c:pt idx="0">
                  <c:v>商品类</c:v>
                </c:pt>
                <c:pt idx="1">
                  <c:v>服务类</c:v>
                </c:pt>
                <c:pt idx="2">
                  <c:v>合计</c:v>
                </c:pt>
              </c:strCache>
            </c:strRef>
          </c:cat>
          <c:val>
            <c:numRef>
              <c:f>Sheet1!$B$3:$B$5</c:f>
              <c:numCache>
                <c:formatCode>General</c:formatCode>
                <c:ptCount val="3"/>
                <c:pt idx="0">
                  <c:v>5001</c:v>
                </c:pt>
                <c:pt idx="1">
                  <c:v>5695</c:v>
                </c:pt>
                <c:pt idx="2">
                  <c:v>10696</c:v>
                </c:pt>
              </c:numCache>
            </c:numRef>
          </c:val>
        </c:ser>
        <c:ser>
          <c:idx val="1"/>
          <c:order val="1"/>
          <c:tx>
            <c:strRef>
              <c:f>Sheet1!$C$2</c:f>
              <c:strCache>
                <c:ptCount val="1"/>
                <c:pt idx="0">
                  <c:v>所占比重</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Sheet1!$A$3:$A$5</c:f>
              <c:strCache>
                <c:ptCount val="3"/>
                <c:pt idx="0">
                  <c:v>商品类</c:v>
                </c:pt>
                <c:pt idx="1">
                  <c:v>服务类</c:v>
                </c:pt>
                <c:pt idx="2">
                  <c:v>合计</c:v>
                </c:pt>
              </c:strCache>
            </c:strRef>
          </c:cat>
          <c:val>
            <c:numRef>
              <c:f>Sheet1!$C$3:$C$5</c:f>
              <c:numCache>
                <c:formatCode>0.00%</c:formatCode>
                <c:ptCount val="3"/>
                <c:pt idx="0">
                  <c:v>0.4676</c:v>
                </c:pt>
                <c:pt idx="1">
                  <c:v>0.5324</c:v>
                </c:pt>
                <c:pt idx="2">
                  <c:v>1</c:v>
                </c:pt>
              </c:numCache>
            </c:numRef>
          </c:val>
        </c:ser>
        <c:ser>
          <c:idx val="2"/>
          <c:order val="2"/>
          <c:tx>
            <c:strRef>
              <c:f>Sheet1!$F$2</c:f>
              <c:strCache>
                <c:ptCount val="1"/>
                <c:pt idx="0">
                  <c:v>排  名</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Sheet1!$A$3:$A$5</c:f>
              <c:strCache>
                <c:ptCount val="3"/>
                <c:pt idx="0">
                  <c:v>商品类</c:v>
                </c:pt>
                <c:pt idx="1">
                  <c:v>服务类</c:v>
                </c:pt>
                <c:pt idx="2">
                  <c:v>合计</c:v>
                </c:pt>
              </c:strCache>
            </c:strRef>
          </c:cat>
          <c:val>
            <c:numRef>
              <c:f>Sheet1!$F$3:$F$5</c:f>
              <c:numCache>
                <c:formatCode>General</c:formatCode>
                <c:ptCount val="3"/>
                <c:pt idx="0">
                  <c:v>2</c:v>
                </c:pt>
                <c:pt idx="1">
                  <c:v>1</c:v>
                </c:pt>
              </c:numCache>
            </c:numRef>
          </c:val>
        </c:ser>
        <c:dLbls>
          <c:showLegendKey val="1"/>
          <c:showVal val="1"/>
          <c:showCatName val="1"/>
          <c:showSerName val="1"/>
          <c:showPercent val="1"/>
          <c:showBubbleSize val="1"/>
        </c:dLbls>
      </c:pie3DChart>
      <c:spPr>
        <a:noFill/>
        <a:ln w="25400">
          <a:noFill/>
        </a:ln>
      </c:spPr>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592e344-c1ab-4dcd-87d7-3053d264abc5}"/>
      </c:ext>
    </c:extLst>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129</Pages>
  <Words>2173</Words>
  <Characters>2274</Characters>
  <Lines>444</Lines>
  <Paragraphs>125</Paragraphs>
  <TotalTime>0</TotalTime>
  <ScaleCrop>false</ScaleCrop>
  <LinksUpToDate>false</LinksUpToDate>
  <CharactersWithSpaces>2299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2020-05-27T15:00:00Z</dcterms:created>
  <dc:creator>Administrator</dc:creator>
  <cp:lastModifiedBy>符号</cp:lastModifiedBy>
  <dcterms:modified xsi:type="dcterms:W3CDTF">2026-07-15T05:56:05Z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684A5C00EA064F2493BDD9BCEFE0CA81_13</vt:lpwstr>
  </property>
  <property fmtid="{D5CDD505-2E9C-101B-9397-08002B2CF9AE}" pid="4" name="KSOTemplateDocerSaveRecord">
    <vt:lpwstr>eyJoZGlkIjoiNGI0NTYxYTJlZGY2MTJiZTAzNTdkNzA5NGExNjZkYTMiLCJ1c2VySWQiOiIzNjE2NjA5NTcifQ==</vt:lpwstr>
  </property>
</Properties>
</file>