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1A5B3">
      <w:pPr>
        <w:snapToGrid w:val="0"/>
        <w:spacing w:line="570" w:lineRule="exact"/>
        <w:jc w:val="both"/>
        <w:rPr>
          <w:rFonts w:hint="default" w:ascii="仿宋_GB2312" w:hAnsi="仿宋_GB2312" w:eastAsia="仿宋_GB2312" w:cs="仿宋_GB2312"/>
          <w:spacing w:val="14"/>
          <w:sz w:val="32"/>
          <w:szCs w:val="32"/>
          <w:lang w:val="en-US" w:eastAsia="zh-CN"/>
        </w:rPr>
      </w:pPr>
      <w:r>
        <w:rPr>
          <w:rFonts w:hint="eastAsia" w:ascii="仿宋_GB2312" w:hAnsi="仿宋_GB2312" w:eastAsia="仿宋_GB2312" w:cs="仿宋_GB2312"/>
          <w:spacing w:val="14"/>
          <w:sz w:val="32"/>
          <w:szCs w:val="32"/>
          <w:lang w:val="en-US" w:eastAsia="zh-CN"/>
        </w:rPr>
        <w:t>附件4-4</w:t>
      </w:r>
    </w:p>
    <w:p w14:paraId="0C945FCA">
      <w:pPr>
        <w:keepNext w:val="0"/>
        <w:keepLines w:val="0"/>
        <w:pageBreakBefore w:val="0"/>
        <w:wordWrap/>
        <w:overflowPunct/>
        <w:topLinePunct w:val="0"/>
        <w:bidi w:val="0"/>
        <w:spacing w:line="560" w:lineRule="exact"/>
        <w:ind w:left="0" w:firstLine="0"/>
        <w:jc w:val="center"/>
        <w:rPr>
          <w:rFonts w:hint="eastAsia" w:ascii="方正小标宋简体" w:eastAsia="方正小标宋简体"/>
          <w:sz w:val="36"/>
          <w:szCs w:val="36"/>
        </w:rPr>
      </w:pPr>
      <w:r>
        <w:rPr>
          <w:rFonts w:hint="eastAsia" w:ascii="方正小标宋简体" w:eastAsia="方正小标宋简体"/>
          <w:sz w:val="36"/>
          <w:szCs w:val="36"/>
          <w:lang w:val="en-US" w:eastAsia="zh-CN"/>
        </w:rPr>
        <w:t>昆明市五华区卫生健康局（本级）</w:t>
      </w:r>
      <w:r>
        <w:rPr>
          <w:rFonts w:hint="eastAsia" w:ascii="方正小标宋简体" w:eastAsia="方正小标宋简体"/>
          <w:sz w:val="36"/>
          <w:szCs w:val="36"/>
        </w:rPr>
        <w:t>部门</w:t>
      </w:r>
    </w:p>
    <w:p w14:paraId="67A97D1E">
      <w:pPr>
        <w:keepNext w:val="0"/>
        <w:keepLines w:val="0"/>
        <w:pageBreakBefore w:val="0"/>
        <w:wordWrap/>
        <w:overflowPunct/>
        <w:topLinePunct w:val="0"/>
        <w:bidi w:val="0"/>
        <w:spacing w:line="560" w:lineRule="exact"/>
        <w:ind w:left="0" w:firstLine="0"/>
        <w:jc w:val="center"/>
        <w:rPr>
          <w:rFonts w:hint="default" w:ascii="方正小标宋简体" w:hAnsi="Times New Roman" w:eastAsia="方正小标宋简体" w:cs="Times New Roman"/>
          <w:sz w:val="36"/>
          <w:szCs w:val="36"/>
          <w:lang w:val="en-US" w:eastAsia="zh-CN"/>
        </w:rPr>
      </w:pPr>
      <w:r>
        <w:rPr>
          <w:rFonts w:hint="eastAsia" w:ascii="方正小标宋简体" w:eastAsia="方正小标宋简体"/>
          <w:sz w:val="36"/>
          <w:szCs w:val="36"/>
          <w:lang w:val="en-US" w:eastAsia="zh-CN"/>
        </w:rPr>
        <w:t>2026</w:t>
      </w:r>
      <w:r>
        <w:rPr>
          <w:rFonts w:hint="eastAsia" w:ascii="方正小标宋简体" w:eastAsia="方正小标宋简体"/>
          <w:sz w:val="36"/>
          <w:szCs w:val="36"/>
        </w:rPr>
        <w:t>年</w:t>
      </w:r>
      <w:r>
        <w:rPr>
          <w:rFonts w:hint="eastAsia" w:ascii="方正小标宋简体" w:hAnsi="Times New Roman" w:eastAsia="方正小标宋简体" w:cs="Times New Roman"/>
          <w:sz w:val="36"/>
          <w:szCs w:val="36"/>
          <w:lang w:val="en-US" w:eastAsia="zh-CN"/>
        </w:rPr>
        <w:t>五华区机关事业单位职工体检项目经费项目</w:t>
      </w:r>
    </w:p>
    <w:p w14:paraId="481800E4">
      <w:pPr>
        <w:snapToGrid w:val="0"/>
        <w:spacing w:line="570" w:lineRule="exact"/>
        <w:jc w:val="center"/>
        <w:rPr>
          <w:rFonts w:hint="eastAsia" w:ascii="方正小标宋简体" w:hAnsi="华文中宋" w:eastAsia="方正小标宋简体"/>
          <w:spacing w:val="14"/>
          <w:sz w:val="44"/>
          <w:szCs w:val="44"/>
        </w:rPr>
      </w:pPr>
    </w:p>
    <w:p w14:paraId="7F3F522E">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项目名称</w:t>
      </w:r>
    </w:p>
    <w:p w14:paraId="095E3E41">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五华区机关事业单位职工体检项目经费</w:t>
      </w:r>
    </w:p>
    <w:p w14:paraId="5E68D1C4">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立项依据</w:t>
      </w:r>
    </w:p>
    <w:p w14:paraId="56790B1C">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根据《“健康中国2030”规划纲要》《国家职业病防治“十四五”规划》等相关文件精神，以及我市关于落实公职人员健康保障工作的具体要求，五华区决定实施2026年度机关事业单位职工体检项目。</w:t>
      </w:r>
    </w:p>
    <w:p w14:paraId="04AE7047">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项目实施单位</w:t>
      </w:r>
    </w:p>
    <w:p w14:paraId="09A9A56C">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单位名称：昆明市五华区卫生健康局</w:t>
      </w:r>
    </w:p>
    <w:p w14:paraId="2B0E4EBC">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组织机构代码：</w:t>
      </w:r>
      <w:r>
        <w:rPr>
          <w:rFonts w:hint="default" w:ascii="Times New Roman" w:hAnsi="Times New Roman" w:eastAsia="仿宋_GB2312" w:cs="Times New Roman"/>
          <w:kern w:val="0"/>
          <w:sz w:val="30"/>
          <w:szCs w:val="30"/>
          <w:lang w:val="en-US" w:eastAsia="zh-CN"/>
        </w:rPr>
        <w:t>11530102MB0R820125</w:t>
      </w:r>
    </w:p>
    <w:p w14:paraId="1257903C">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地址：</w:t>
      </w:r>
      <w:r>
        <w:rPr>
          <w:rFonts w:hint="default" w:ascii="Times New Roman" w:hAnsi="Times New Roman" w:eastAsia="仿宋_GB2312" w:cs="Times New Roman"/>
          <w:kern w:val="0"/>
          <w:sz w:val="30"/>
          <w:szCs w:val="30"/>
          <w:lang w:val="en-US" w:eastAsia="zh-CN"/>
        </w:rPr>
        <w:t>昆明市五华区人民中路66号办公室</w:t>
      </w:r>
    </w:p>
    <w:p w14:paraId="07B00878">
      <w:pPr>
        <w:widowControl/>
        <w:ind w:firstLine="600" w:firstLineChars="20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联系电话：63638681</w:t>
      </w:r>
    </w:p>
    <w:p w14:paraId="202ABCE6">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法人代表：</w:t>
      </w:r>
      <w:r>
        <w:rPr>
          <w:rFonts w:hint="default" w:ascii="Times New Roman" w:hAnsi="Times New Roman" w:eastAsia="仿宋_GB2312" w:cs="Times New Roman"/>
          <w:kern w:val="0"/>
          <w:sz w:val="30"/>
          <w:szCs w:val="30"/>
          <w:lang w:val="en-US" w:eastAsia="zh-CN"/>
        </w:rPr>
        <w:t>张倩</w:t>
      </w:r>
    </w:p>
    <w:p w14:paraId="0D46CA9F">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经费来源：</w:t>
      </w:r>
      <w:r>
        <w:rPr>
          <w:rFonts w:hint="default" w:ascii="Times New Roman" w:hAnsi="Times New Roman" w:eastAsia="仿宋_GB2312" w:cs="Times New Roman"/>
          <w:kern w:val="0"/>
          <w:sz w:val="30"/>
          <w:szCs w:val="30"/>
          <w:lang w:val="en-US" w:eastAsia="zh-CN"/>
        </w:rPr>
        <w:t>财政拨款收入</w:t>
      </w:r>
    </w:p>
    <w:p w14:paraId="5B97504C">
      <w:pPr>
        <w:widowControl/>
        <w:ind w:firstLine="600" w:firstLineChars="20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单位概况：</w:t>
      </w:r>
      <w:r>
        <w:rPr>
          <w:rFonts w:hint="default" w:ascii="Times New Roman" w:hAnsi="Times New Roman" w:eastAsia="仿宋_GB2312" w:cs="Times New Roman"/>
          <w:kern w:val="0"/>
          <w:sz w:val="30"/>
          <w:szCs w:val="30"/>
          <w:lang w:val="en-US" w:eastAsia="zh-CN"/>
        </w:rPr>
        <w:t>1.贯彻执行国家、省、市有关卫生健康事业发展的法律法规和方针政策，组织拟订区健康工作措施并组织实施。统筹规划卫生健康资源配置，指导区域卫生规划的编制和实施。加强卫生健康人才队伍建设。制定并组织实施推进卫生健康基本公共服务均等化、普惠化、便携化和公共资源向基层延伸等政策措施。</w:t>
      </w:r>
    </w:p>
    <w:p w14:paraId="6B415BDF">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2.协调推进深化医药卫生</w:t>
      </w:r>
      <w:r>
        <w:rPr>
          <w:rFonts w:hint="eastAsia" w:ascii="Times New Roman" w:hAnsi="Times New Roman" w:eastAsia="仿宋_GB2312" w:cs="Times New Roman"/>
          <w:kern w:val="0"/>
          <w:sz w:val="30"/>
          <w:szCs w:val="30"/>
          <w:lang w:val="en-US" w:eastAsia="zh-CN"/>
        </w:rPr>
        <w:t>体制改革</w:t>
      </w:r>
      <w:r>
        <w:rPr>
          <w:rFonts w:hint="default" w:ascii="Times New Roman" w:hAnsi="Times New Roman" w:eastAsia="仿宋_GB2312" w:cs="Times New Roman"/>
          <w:kern w:val="0"/>
          <w:sz w:val="30"/>
          <w:szCs w:val="30"/>
          <w:lang w:val="en-US" w:eastAsia="zh-CN"/>
        </w:rPr>
        <w:t>，落实深化医药卫生</w:t>
      </w:r>
      <w:r>
        <w:rPr>
          <w:rFonts w:hint="eastAsia" w:ascii="Times New Roman" w:hAnsi="Times New Roman" w:eastAsia="仿宋_GB2312" w:cs="Times New Roman"/>
          <w:kern w:val="0"/>
          <w:sz w:val="30"/>
          <w:szCs w:val="30"/>
          <w:lang w:val="en-US" w:eastAsia="zh-CN"/>
        </w:rPr>
        <w:t>体制改革</w:t>
      </w:r>
      <w:bookmarkStart w:id="0" w:name="_GoBack"/>
      <w:bookmarkEnd w:id="0"/>
      <w:r>
        <w:rPr>
          <w:rFonts w:hint="default" w:ascii="Times New Roman" w:hAnsi="Times New Roman" w:eastAsia="仿宋_GB2312" w:cs="Times New Roman"/>
          <w:kern w:val="0"/>
          <w:sz w:val="30"/>
          <w:szCs w:val="30"/>
          <w:lang w:val="en-US" w:eastAsia="zh-CN"/>
        </w:rPr>
        <w:t>政策、措施。组织深化公立医院综合改革，推进管办分离，健全现代医院管理制度。组织实施推动卫生健康公共服务提供多元化、提供方式多样化的政策措施，提出医疗服务价格政策的建议。</w:t>
      </w:r>
    </w:p>
    <w:p w14:paraId="46E10A46">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3.组织落实疾病预防控制规划，国家免疫规划以及严重危害人民健康公共卫生问题的干预措施。负责卫生应急工作，组织指导突发公共卫生事件的预防控制和各类突发公共事件的医疗卫生救援。及时报告法定传染疫情信息。组织开展食品安全风险监督评估工作。</w:t>
      </w:r>
    </w:p>
    <w:p w14:paraId="78811AFA">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4.组织拟订并协调落实应对人口老龄化政策措施，负责推进老年健康服务体系建设和医养结合工作。</w:t>
      </w:r>
    </w:p>
    <w:p w14:paraId="560D77EE">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5.组织实施国家药物政策和国家基本药物制度有关呢政策措施，开展药品使用监测、临床综合评价和短缺药品预警，提出药品价格政策和药品生产鼓励扶持政策的建议。按照要求组织开展食品安全风险监督评估。</w:t>
      </w:r>
    </w:p>
    <w:p w14:paraId="54EF6D6F">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6.完善卫生健康综合监督执法体系，加强综合监督执法机构和队伍建设。负责职责范围内的职业卫生、放射卫生、环境卫生、学校卫生、公共场所卫生、饮用水卫生等公共卫生的安全健康监督管理，负责传染病防治监督，健全卫生健康综合监督体系。牵头《烟草控制框架公约》履约工作。负责本行业领域的安全生产监管工作。</w:t>
      </w:r>
    </w:p>
    <w:p w14:paraId="5497858E">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7.组织制定全区医疗机构、医疗服务行业管理措施并监督实施，逐步建立医疗服务评价和监督管理体系。会同有关部门贯彻执行卫生健康专业技术人员资格标准。组织实施医疗服务规范、标准和卫生专业技术人员职业规则、服务规范。</w:t>
      </w:r>
    </w:p>
    <w:p w14:paraId="41D0BA25">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8.负责计划生育管理和服务工作，开展人口监测预警，研究提出人口与家庭发展有关政策建议，完善计划生育政策。</w:t>
      </w:r>
    </w:p>
    <w:p w14:paraId="1C32BE58">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9.指导推进全区卫生健康工作，指导基层医疗卫生、妇幼健康服务体系和全科医生队伍建设。推进卫生健康科技创新发展。</w:t>
      </w:r>
    </w:p>
    <w:p w14:paraId="1935DB17">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10.贯彻落实国家、省、市中药法律法规、规章政策，地方性法规。组织拟订全区中医药发展总规划和目标，负责综合管理中医（含中西医结合、民族医）医疗、教育、科研等工作。参与拟订中医药产业发展政策。</w:t>
      </w:r>
    </w:p>
    <w:p w14:paraId="0D059B9F">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11.建立健全艾滋病防治工作机制，加强宣传教育，采取行为干预和关怀救助等措施，综合防治艾滋病。</w:t>
      </w:r>
    </w:p>
    <w:p w14:paraId="23619DBC">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12.组织实施全区健康项目和推进健康产业发展，统筹推进医养结合、医体融合等健康政策。</w:t>
      </w:r>
    </w:p>
    <w:p w14:paraId="54E11834">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13.负责重要会议与重大活动的医疗卫生保障工作。</w:t>
      </w:r>
    </w:p>
    <w:p w14:paraId="2AC950DC">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14.指导所属“两新”组织抓好党的建设工作。</w:t>
      </w:r>
    </w:p>
    <w:p w14:paraId="1C55E455">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15.指导昆明市五华区五计划生育协会的业务工作。</w:t>
      </w:r>
    </w:p>
    <w:p w14:paraId="589EC543">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16.完成区委、区政府交办的其他任务。</w:t>
      </w:r>
    </w:p>
    <w:p w14:paraId="7C00F283">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17.职能转变。昆明市五华区卫生健康局应当牢固树立卫生健康理念，以改革创新为动力，以促健康、转模式、强基层、重保障为着力点，把以治病为中心转变到以人民健康为中心，为人民群众提供全方位周期健康服务。</w:t>
      </w:r>
    </w:p>
    <w:p w14:paraId="40ACBB72">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项目基本概况</w:t>
      </w:r>
    </w:p>
    <w:p w14:paraId="65F49F44">
      <w:pPr>
        <w:keepNext w:val="0"/>
        <w:keepLines w:val="0"/>
        <w:pageBreakBefore w:val="0"/>
        <w:widowControl/>
        <w:kinsoku/>
        <w:wordWrap/>
        <w:overflowPunct/>
        <w:topLinePunct w:val="0"/>
        <w:autoSpaceDE/>
        <w:autoSpaceDN/>
        <w:bidi w:val="0"/>
        <w:adjustRightInd/>
        <w:snapToGrid/>
        <w:ind w:firstLine="600" w:firstLineChars="200"/>
        <w:jc w:val="left"/>
        <w:textAlignment w:val="auto"/>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根据《“健康中国2030”规划纲要》《国家职业病防治“十四五”规划》等相关文件精神，以及我市关于落实公职人员健康保障工作的具体要求，做好202</w:t>
      </w:r>
      <w:r>
        <w:rPr>
          <w:rFonts w:hint="eastAsia" w:ascii="Times New Roman" w:hAnsi="Times New Roman" w:eastAsia="仿宋_GB2312" w:cs="Times New Roman"/>
          <w:kern w:val="0"/>
          <w:sz w:val="30"/>
          <w:szCs w:val="30"/>
          <w:lang w:val="en-US" w:eastAsia="zh-CN"/>
        </w:rPr>
        <w:t>6</w:t>
      </w:r>
      <w:r>
        <w:rPr>
          <w:rFonts w:hint="default" w:ascii="Times New Roman" w:hAnsi="Times New Roman" w:eastAsia="仿宋_GB2312" w:cs="Times New Roman"/>
          <w:kern w:val="0"/>
          <w:sz w:val="30"/>
          <w:szCs w:val="30"/>
          <w:lang w:val="en-US" w:eastAsia="zh-CN"/>
        </w:rPr>
        <w:t>年五华区机关事业单位职工体检项目经费发放。</w:t>
      </w:r>
    </w:p>
    <w:p w14:paraId="4C16975C">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项目实施内容</w:t>
      </w:r>
    </w:p>
    <w:p w14:paraId="2C1A7AB2">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（一）体检对象范围。全区各级机关、人民团体、事业单位公职人员，包括行政编制、事业编制人员（具体名单由各单位统一报送）。</w:t>
      </w:r>
    </w:p>
    <w:p w14:paraId="2B52F2E4">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二）体检项目设置。基础项目包括血常规、尿常规、肝功能、肾功能、血脂、血糖、心电图、胸部CT、B超（肝胆脾胰肾）、健康问卷等（详见体检套餐）；可以针对职业、年龄特点增设项目（详见附件1）所增项目如为套餐外需自费.（如对长期伏案人员增加颈椎、腰椎检查，对窗口单位人员增加视力、耳鼻喉检查等）。</w:t>
      </w:r>
    </w:p>
    <w:p w14:paraId="24611BC3">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三）体检机构承接。五华区人民医院作为本次区机关事业单位职工健康体检项目的唯一承接单位，具备二级甲等综合医院资质，拥有专业的健康管理团队、先进的体检设备和完善的服务流程，将为公职人员提供优质、便捷的体检服务。</w:t>
      </w:r>
    </w:p>
    <w:p w14:paraId="18E8A77D">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四）体检流程安排。采取分批分单位集中体检方式，由各单位统一组织预约（至少提前1个月提出预约要求），体检时间避开政府指令性大型体检,如征兵体检、学生高考体检等工作高峰，每单位根据具体人数集中在相应的时段完成体检（每天可安排60-100人）。</w:t>
      </w:r>
    </w:p>
    <w:p w14:paraId="088E8D41">
      <w:pPr>
        <w:widowControl/>
        <w:ind w:firstLine="600" w:firstLineChars="200"/>
        <w:jc w:val="left"/>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五华区人民医院内部分工如下：体检科负责与各单位对接预约、体检现场导诊及人员分流；检验科、影像科、功能科等医技科室优先保障公职人员体检标本检测及报告出具；体检科及院内专家团队负责体检报告的健康评估与异常结果解读；信息科负责电子报告系统维护及隐私数据保护。体检结果由五华区人民医院在15个工作日内反馈至单位联络人。</w:t>
      </w:r>
    </w:p>
    <w:p w14:paraId="3CDA41EB">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五）健康服务延伸。建立“体检-评估-干预”闭环管理机制，对体检异常人员由五华区人民医院提供免费健康咨询、慢性病随访管理、运动健身指导等后续服务。对疑似重大疾病病例启动绿色通道，协助到专科治疗或转诊至上级医院。</w:t>
      </w:r>
    </w:p>
    <w:p w14:paraId="1F2E914E">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资金安排情况</w:t>
      </w:r>
    </w:p>
    <w:p w14:paraId="4EA92713">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本项目资金预算总金额10,000,000.00元，均为区级财政预算资金，资金来源有保障。人均体检费用预算为600.00元。</w:t>
      </w:r>
    </w:p>
    <w:p w14:paraId="61C7CCD1">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项目实施计划</w:t>
      </w:r>
    </w:p>
    <w:p w14:paraId="6243FFC7">
      <w:pPr>
        <w:widowControl/>
        <w:ind w:firstLine="600" w:firstLineChars="200"/>
        <w:jc w:val="left"/>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val="en-US" w:eastAsia="zh-CN"/>
        </w:rPr>
        <w:t>项目正式实施前体检科制定项目实施方案，根据辖区具体体检人次数做出体检安排，为机关事业单位职工提供更优质的医疗服务。五华区机关事业单位职工体检项目经费</w:t>
      </w:r>
      <w:r>
        <w:rPr>
          <w:rFonts w:hint="eastAsia" w:ascii="Times New Roman" w:hAnsi="Times New Roman" w:eastAsia="仿宋_GB2312" w:cs="Times New Roman"/>
          <w:kern w:val="0"/>
          <w:sz w:val="30"/>
          <w:szCs w:val="30"/>
          <w:lang w:val="en-US" w:eastAsia="zh-CN"/>
        </w:rPr>
        <w:t>，</w:t>
      </w:r>
      <w:r>
        <w:rPr>
          <w:rFonts w:hint="default" w:ascii="Times New Roman" w:hAnsi="Times New Roman" w:eastAsia="仿宋_GB2312" w:cs="Times New Roman"/>
          <w:kern w:val="0"/>
          <w:sz w:val="30"/>
          <w:szCs w:val="30"/>
          <w:lang w:val="en-US" w:eastAsia="zh-CN"/>
        </w:rPr>
        <w:t>各项内容均按照相关文件分时段开展，每年按照国家、省、市、区工作要求保障资金全部兑付到位。</w:t>
      </w:r>
    </w:p>
    <w:p w14:paraId="51D1F497">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项目实施成效</w:t>
      </w:r>
    </w:p>
    <w:p w14:paraId="6214E1B7">
      <w:pPr>
        <w:widowControl/>
        <w:ind w:firstLine="600" w:firstLineChars="200"/>
        <w:jc w:val="left"/>
        <w:rPr>
          <w:rFonts w:hint="default" w:ascii="Times New Roman" w:hAnsi="Times New Roman" w:eastAsia="仿宋_GB2312" w:cs="Times New Roman"/>
          <w:kern w:val="0"/>
          <w:sz w:val="30"/>
          <w:szCs w:val="30"/>
          <w:lang w:val="en-US" w:eastAsia="zh-CN"/>
        </w:rPr>
      </w:pPr>
      <w:r>
        <w:rPr>
          <w:rFonts w:hint="eastAsia" w:ascii="Times New Roman" w:hAnsi="Times New Roman" w:eastAsia="仿宋_GB2312" w:cs="Times New Roman"/>
          <w:kern w:val="0"/>
          <w:sz w:val="30"/>
          <w:szCs w:val="30"/>
          <w:lang w:val="en-US" w:eastAsia="zh-CN"/>
        </w:rPr>
        <w:t>五华区机关事业单位职工体检项目经费</w:t>
      </w:r>
      <w:r>
        <w:rPr>
          <w:rFonts w:hint="default" w:ascii="Times New Roman" w:hAnsi="Times New Roman" w:eastAsia="仿宋_GB2312" w:cs="Times New Roman"/>
          <w:kern w:val="0"/>
          <w:sz w:val="30"/>
          <w:szCs w:val="30"/>
          <w:lang w:val="en-US" w:eastAsia="zh-CN"/>
        </w:rPr>
        <w:t>各项内容均按照相关文件分时段开展，每年按照国家、省、市、区工作要求保障资金全部兑付到位。服务人群满意度达到90%及以上。</w:t>
      </w:r>
    </w:p>
    <w:p w14:paraId="35B59C1A">
      <w:pPr>
        <w:widowControl/>
        <w:numPr>
          <w:ilvl w:val="0"/>
          <w:numId w:val="1"/>
        </w:numPr>
        <w:ind w:firstLine="600" w:firstLineChars="200"/>
        <w:jc w:val="left"/>
        <w:rPr>
          <w:rFonts w:hint="eastAsia" w:ascii="黑体" w:hAnsi="黑体" w:eastAsia="黑体" w:cs="黑体"/>
          <w:kern w:val="0"/>
          <w:sz w:val="30"/>
          <w:szCs w:val="30"/>
        </w:rPr>
      </w:pPr>
      <w:r>
        <w:rPr>
          <w:rFonts w:hint="eastAsia" w:ascii="黑体" w:hAnsi="黑体" w:eastAsia="黑体" w:cs="黑体"/>
          <w:kern w:val="0"/>
          <w:sz w:val="30"/>
          <w:szCs w:val="30"/>
        </w:rPr>
        <w:t>项目绩效目标表</w:t>
      </w:r>
    </w:p>
    <w:tbl>
      <w:tblPr>
        <w:tblStyle w:val="7"/>
        <w:tblW w:w="6210" w:type="pct"/>
        <w:tblInd w:w="-1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6"/>
        <w:gridCol w:w="1137"/>
        <w:gridCol w:w="1378"/>
        <w:gridCol w:w="686"/>
        <w:gridCol w:w="833"/>
        <w:gridCol w:w="719"/>
        <w:gridCol w:w="744"/>
        <w:gridCol w:w="2043"/>
        <w:gridCol w:w="1009"/>
        <w:gridCol w:w="757"/>
      </w:tblGrid>
      <w:tr w14:paraId="4BA75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0592" w:type="dxa"/>
            <w:gridSpan w:val="10"/>
            <w:tcBorders>
              <w:top w:val="nil"/>
              <w:left w:val="nil"/>
              <w:bottom w:val="nil"/>
              <w:right w:val="nil"/>
            </w:tcBorders>
            <w:noWrap w:val="0"/>
            <w:vAlign w:val="center"/>
          </w:tcPr>
          <w:p w14:paraId="4E9368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项目绩效目标表</w:t>
            </w:r>
          </w:p>
        </w:tc>
      </w:tr>
      <w:tr w14:paraId="535B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86" w:type="dxa"/>
            <w:vMerge w:val="restart"/>
            <w:tcBorders>
              <w:top w:val="single" w:color="000000" w:sz="4" w:space="0"/>
              <w:left w:val="single" w:color="000000" w:sz="4" w:space="0"/>
              <w:bottom w:val="single" w:color="000000" w:sz="4" w:space="0"/>
              <w:right w:val="single" w:color="000000" w:sz="4" w:space="0"/>
            </w:tcBorders>
            <w:noWrap w:val="0"/>
            <w:vAlign w:val="center"/>
          </w:tcPr>
          <w:p w14:paraId="7CB86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项目目标</w:t>
            </w:r>
          </w:p>
        </w:tc>
        <w:tc>
          <w:tcPr>
            <w:tcW w:w="2515" w:type="dxa"/>
            <w:gridSpan w:val="2"/>
            <w:tcBorders>
              <w:top w:val="single" w:color="000000" w:sz="4" w:space="0"/>
              <w:left w:val="single" w:color="000000" w:sz="4" w:space="0"/>
              <w:bottom w:val="single" w:color="000000" w:sz="4" w:space="0"/>
              <w:right w:val="single" w:color="000000" w:sz="4" w:space="0"/>
            </w:tcBorders>
            <w:noWrap/>
            <w:vAlign w:val="center"/>
          </w:tcPr>
          <w:p w14:paraId="79934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总体目标(2026年-2028年)</w:t>
            </w:r>
          </w:p>
        </w:tc>
        <w:tc>
          <w:tcPr>
            <w:tcW w:w="6791" w:type="dxa"/>
            <w:gridSpan w:val="7"/>
            <w:tcBorders>
              <w:top w:val="single" w:color="000000" w:sz="4" w:space="0"/>
              <w:left w:val="single" w:color="000000" w:sz="4" w:space="0"/>
              <w:bottom w:val="single" w:color="000000" w:sz="4" w:space="0"/>
              <w:right w:val="single" w:color="000000" w:sz="4" w:space="0"/>
            </w:tcBorders>
            <w:noWrap w:val="0"/>
            <w:vAlign w:val="top"/>
          </w:tcPr>
          <w:p w14:paraId="4BCE80DB">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主要为五华区机关事业单位职工提供健康体检医疗服务，并提供相应体检报告。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项目的三年规划产出指标：每年完成16000人次职工体检，三年共计45000人次。</w:t>
            </w:r>
          </w:p>
        </w:tc>
      </w:tr>
      <w:tr w14:paraId="7838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4" w:hRule="atLeast"/>
        </w:trPr>
        <w:tc>
          <w:tcPr>
            <w:tcW w:w="12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127DC">
            <w:pPr>
              <w:jc w:val="center"/>
              <w:rPr>
                <w:rFonts w:hint="eastAsia" w:ascii="宋体" w:hAnsi="宋体" w:eastAsia="宋体" w:cs="宋体"/>
                <w:i w:val="0"/>
                <w:iCs w:val="0"/>
                <w:color w:val="000000"/>
                <w:sz w:val="18"/>
                <w:szCs w:val="18"/>
                <w:u w:val="none"/>
              </w:rPr>
            </w:pPr>
          </w:p>
        </w:tc>
        <w:tc>
          <w:tcPr>
            <w:tcW w:w="2515" w:type="dxa"/>
            <w:gridSpan w:val="2"/>
            <w:tcBorders>
              <w:top w:val="single" w:color="000000" w:sz="4" w:space="0"/>
              <w:left w:val="single" w:color="000000" w:sz="4" w:space="0"/>
              <w:bottom w:val="single" w:color="000000" w:sz="4" w:space="0"/>
              <w:right w:val="single" w:color="000000" w:sz="4" w:space="0"/>
            </w:tcBorders>
            <w:noWrap/>
            <w:vAlign w:val="center"/>
          </w:tcPr>
          <w:p w14:paraId="74974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预算年度(2026年)目标</w:t>
            </w:r>
          </w:p>
        </w:tc>
        <w:tc>
          <w:tcPr>
            <w:tcW w:w="6791" w:type="dxa"/>
            <w:gridSpan w:val="7"/>
            <w:tcBorders>
              <w:top w:val="single" w:color="000000" w:sz="4" w:space="0"/>
              <w:left w:val="single" w:color="000000" w:sz="4" w:space="0"/>
              <w:bottom w:val="single" w:color="000000" w:sz="4" w:space="0"/>
              <w:right w:val="single" w:color="000000" w:sz="4" w:space="0"/>
            </w:tcBorders>
            <w:noWrap w:val="0"/>
            <w:vAlign w:val="top"/>
          </w:tcPr>
          <w:p w14:paraId="2ECE708B">
            <w:pPr>
              <w:keepNext w:val="0"/>
              <w:keepLines w:val="0"/>
              <w:widowControl/>
              <w:suppressLineNumbers w:val="0"/>
              <w:spacing w:after="180" w:afterAutospacing="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1.完成16000人次职工体检，书写16000份体检报告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2.针对16000人次体检问题给出相应医疗意见，为全区机关事业单位职工提供健康基础保障；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3.项目计划在2026年12月31日前完成，具体实施进度需根据辖区体检安排决定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4.服务人群满意度在90%及以上。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制度建设方面：有相应项目专项经费管理制度以及财务管理制度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工作计划：项目正式实施前体检科制定项目实施方案，根据辖区具体体检人次数做出体检安排，为机关事业单位职工提供更优质的医疗服务。</w:t>
            </w:r>
          </w:p>
        </w:tc>
      </w:tr>
      <w:tr w14:paraId="2F7D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783" w:type="dxa"/>
            <w:gridSpan w:val="7"/>
            <w:tcBorders>
              <w:top w:val="single" w:color="000000" w:sz="4" w:space="0"/>
              <w:left w:val="single" w:color="000000" w:sz="4" w:space="0"/>
              <w:bottom w:val="single" w:color="000000" w:sz="4" w:space="0"/>
              <w:right w:val="single" w:color="000000" w:sz="4" w:space="0"/>
            </w:tcBorders>
            <w:noWrap w:val="0"/>
            <w:vAlign w:val="center"/>
          </w:tcPr>
          <w:p w14:paraId="4482D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2043" w:type="dxa"/>
            <w:vMerge w:val="restart"/>
            <w:tcBorders>
              <w:top w:val="single" w:color="000000" w:sz="4" w:space="0"/>
              <w:left w:val="single" w:color="000000" w:sz="4" w:space="0"/>
              <w:bottom w:val="single" w:color="000000" w:sz="4" w:space="0"/>
              <w:right w:val="single" w:color="000000" w:sz="4" w:space="0"/>
            </w:tcBorders>
            <w:noWrap w:val="0"/>
            <w:vAlign w:val="center"/>
          </w:tcPr>
          <w:p w14:paraId="69340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评（扣）分标准</w:t>
            </w:r>
          </w:p>
        </w:tc>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14:paraId="32F84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指标内容</w:t>
            </w:r>
          </w:p>
        </w:tc>
        <w:tc>
          <w:tcPr>
            <w:tcW w:w="757" w:type="dxa"/>
            <w:vMerge w:val="restart"/>
            <w:tcBorders>
              <w:top w:val="single" w:color="000000" w:sz="4" w:space="0"/>
              <w:left w:val="single" w:color="000000" w:sz="4" w:space="0"/>
              <w:bottom w:val="single" w:color="000000" w:sz="4" w:space="0"/>
              <w:right w:val="single" w:color="000000" w:sz="4" w:space="0"/>
            </w:tcBorders>
            <w:noWrap w:val="0"/>
            <w:vAlign w:val="center"/>
          </w:tcPr>
          <w:p w14:paraId="2E69B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绩效指标值设定依据及数据来源</w:t>
            </w:r>
          </w:p>
        </w:tc>
      </w:tr>
      <w:tr w14:paraId="0D5A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1286" w:type="dxa"/>
            <w:tcBorders>
              <w:top w:val="single" w:color="000000" w:sz="4" w:space="0"/>
              <w:left w:val="single" w:color="000000" w:sz="4" w:space="0"/>
              <w:bottom w:val="single" w:color="000000" w:sz="4" w:space="0"/>
              <w:right w:val="single" w:color="000000" w:sz="4" w:space="0"/>
            </w:tcBorders>
            <w:noWrap/>
            <w:vAlign w:val="center"/>
          </w:tcPr>
          <w:p w14:paraId="6ED28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3B3C2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78" w:type="dxa"/>
            <w:tcBorders>
              <w:top w:val="single" w:color="000000" w:sz="4" w:space="0"/>
              <w:left w:val="single" w:color="000000" w:sz="4" w:space="0"/>
              <w:bottom w:val="single" w:color="000000" w:sz="4" w:space="0"/>
              <w:right w:val="single" w:color="000000" w:sz="4" w:space="0"/>
            </w:tcBorders>
            <w:noWrap/>
            <w:vAlign w:val="center"/>
          </w:tcPr>
          <w:p w14:paraId="5C5D6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86" w:type="dxa"/>
            <w:tcBorders>
              <w:top w:val="single" w:color="000000" w:sz="4" w:space="0"/>
              <w:left w:val="single" w:color="000000" w:sz="4" w:space="0"/>
              <w:bottom w:val="single" w:color="000000" w:sz="4" w:space="0"/>
              <w:right w:val="single" w:color="000000" w:sz="4" w:space="0"/>
            </w:tcBorders>
            <w:noWrap w:val="0"/>
            <w:vAlign w:val="center"/>
          </w:tcPr>
          <w:p w14:paraId="7F7CD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833" w:type="dxa"/>
            <w:tcBorders>
              <w:top w:val="single" w:color="000000" w:sz="4" w:space="0"/>
              <w:left w:val="single" w:color="000000" w:sz="4" w:space="0"/>
              <w:bottom w:val="single" w:color="000000" w:sz="4" w:space="0"/>
              <w:right w:val="single" w:color="000000" w:sz="4" w:space="0"/>
            </w:tcBorders>
            <w:noWrap w:val="0"/>
            <w:vAlign w:val="center"/>
          </w:tcPr>
          <w:p w14:paraId="12731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14:paraId="71048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3FAE7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指标属性</w:t>
            </w:r>
          </w:p>
        </w:tc>
        <w:tc>
          <w:tcPr>
            <w:tcW w:w="20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9B570F">
            <w:pPr>
              <w:jc w:val="center"/>
              <w:rPr>
                <w:rFonts w:hint="eastAsia" w:ascii="宋体" w:hAnsi="宋体" w:eastAsia="宋体" w:cs="宋体"/>
                <w:i w:val="0"/>
                <w:iCs w:val="0"/>
                <w:color w:val="000000"/>
                <w:sz w:val="18"/>
                <w:szCs w:val="18"/>
                <w:u w:val="none"/>
              </w:rPr>
            </w:pPr>
          </w:p>
        </w:tc>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CA85D">
            <w:pPr>
              <w:jc w:val="center"/>
              <w:rPr>
                <w:rFonts w:hint="eastAsia" w:ascii="宋体" w:hAnsi="宋体" w:eastAsia="宋体" w:cs="宋体"/>
                <w:i w:val="0"/>
                <w:iCs w:val="0"/>
                <w:color w:val="000000"/>
                <w:sz w:val="18"/>
                <w:szCs w:val="18"/>
                <w:u w:val="none"/>
              </w:rPr>
            </w:pPr>
          </w:p>
        </w:tc>
        <w:tc>
          <w:tcPr>
            <w:tcW w:w="75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46D8B">
            <w:pPr>
              <w:jc w:val="center"/>
              <w:rPr>
                <w:rFonts w:hint="eastAsia" w:ascii="宋体" w:hAnsi="宋体" w:eastAsia="宋体" w:cs="宋体"/>
                <w:i w:val="0"/>
                <w:iCs w:val="0"/>
                <w:color w:val="000000"/>
                <w:sz w:val="18"/>
                <w:szCs w:val="18"/>
                <w:u w:val="none"/>
              </w:rPr>
            </w:pPr>
          </w:p>
        </w:tc>
      </w:tr>
      <w:tr w14:paraId="050E4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767178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04532741">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11491034">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0C611C46">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3368F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58CEF959">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1F8B791">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ign w:val="center"/>
          </w:tcPr>
          <w:p w14:paraId="32E7E1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42215C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65FDD45A">
            <w:pPr>
              <w:jc w:val="left"/>
              <w:rPr>
                <w:rFonts w:hint="eastAsia" w:ascii="宋体" w:hAnsi="宋体" w:eastAsia="宋体" w:cs="宋体"/>
                <w:i w:val="0"/>
                <w:iCs w:val="0"/>
                <w:color w:val="000000"/>
                <w:sz w:val="18"/>
                <w:szCs w:val="18"/>
                <w:u w:val="none"/>
              </w:rPr>
            </w:pPr>
          </w:p>
        </w:tc>
      </w:tr>
      <w:tr w14:paraId="741DB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2AAB775B">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56367F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0E7DDEE5">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C82D7C9">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5BB9B3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72582030">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D17D55E">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ign w:val="center"/>
          </w:tcPr>
          <w:p w14:paraId="27BDC9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226DF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5D3596D7">
            <w:pPr>
              <w:jc w:val="left"/>
              <w:rPr>
                <w:rFonts w:hint="eastAsia" w:ascii="宋体" w:hAnsi="宋体" w:eastAsia="宋体" w:cs="宋体"/>
                <w:i w:val="0"/>
                <w:iCs w:val="0"/>
                <w:color w:val="000000"/>
                <w:sz w:val="18"/>
                <w:szCs w:val="18"/>
                <w:u w:val="none"/>
              </w:rPr>
            </w:pPr>
          </w:p>
        </w:tc>
      </w:tr>
      <w:tr w14:paraId="3624F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0"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3A67410F">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7DB0ED50">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16B5C2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完成体检人数</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1B1AC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44BDA5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18A587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12B31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6DDDB758">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本项权重20分，体检人数≥16000人次得满分，16000人＞体检人数≥12000人，得8分，12000＞体检人数≥9000，得6分，9000＞体检人数≥5000人，得4分，体检人数＜5000人，不得分。</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A108A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完成五华区机关事业单位职工体检</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569E3126">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各单位报送的人员名单</w:t>
            </w:r>
          </w:p>
        </w:tc>
      </w:tr>
      <w:tr w14:paraId="30165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988F963">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390ABA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1D5D96E3">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5F051F7">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2A508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1C9638A7">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2BA3A4D">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40C692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1FE80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67EBFDA8">
            <w:pPr>
              <w:jc w:val="left"/>
              <w:rPr>
                <w:rFonts w:hint="eastAsia" w:ascii="宋体" w:hAnsi="宋体" w:eastAsia="宋体" w:cs="宋体"/>
                <w:i w:val="0"/>
                <w:iCs w:val="0"/>
                <w:color w:val="000000"/>
                <w:sz w:val="18"/>
                <w:szCs w:val="18"/>
                <w:u w:val="none"/>
              </w:rPr>
            </w:pPr>
          </w:p>
        </w:tc>
      </w:tr>
      <w:tr w14:paraId="6245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6A4D10D">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56AA1538">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4CF848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体检报告合格率</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5EFC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69F9C6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64D1A3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F8A1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456467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本项权重满分为10分，体检报告合格率=100%得满分，每降低1%扣2分，扣完为止。</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2321C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体检中心提供体检报告的完善程度</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21E1C6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根据项目结果数据统计表</w:t>
            </w:r>
          </w:p>
        </w:tc>
      </w:tr>
      <w:tr w14:paraId="60FF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23C4912">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5CF462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7FAC34E4">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11C9A80">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3A4073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348275D1">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94FB69D">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31F79A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AF8C9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022B2700">
            <w:pPr>
              <w:jc w:val="left"/>
              <w:rPr>
                <w:rFonts w:hint="eastAsia" w:ascii="宋体" w:hAnsi="宋体" w:eastAsia="宋体" w:cs="宋体"/>
                <w:i w:val="0"/>
                <w:iCs w:val="0"/>
                <w:color w:val="000000"/>
                <w:sz w:val="18"/>
                <w:szCs w:val="18"/>
                <w:u w:val="none"/>
              </w:rPr>
            </w:pPr>
          </w:p>
        </w:tc>
      </w:tr>
      <w:tr w14:paraId="76009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0"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4231BD10">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36DBBA31">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40E83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项目完成时限</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6946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623F12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2026年12月31日前</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15AAA8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7A47E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1737EAC3">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本项权重满分为10分，项目实施进度在年度内完成得满分，跨难度完成根据跨年人次数与实际完成体检人数比列酌情扣分</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F5828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项目具体实施进度需根据五华区体检安排决定，计划在2026年12月31日前完成</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5AC484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项目实施方案</w:t>
            </w:r>
          </w:p>
        </w:tc>
      </w:tr>
      <w:tr w14:paraId="69E89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731D9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13F75BEA">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1A66B17B">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35AF4BC1">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23C9D2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523FDB31">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9F3F77E">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3CDAA0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9870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6C608DEF">
            <w:pPr>
              <w:jc w:val="left"/>
              <w:rPr>
                <w:rFonts w:hint="eastAsia" w:ascii="宋体" w:hAnsi="宋体" w:eastAsia="宋体" w:cs="宋体"/>
                <w:i w:val="0"/>
                <w:iCs w:val="0"/>
                <w:color w:val="000000"/>
                <w:sz w:val="18"/>
                <w:szCs w:val="18"/>
                <w:u w:val="none"/>
              </w:rPr>
            </w:pPr>
          </w:p>
        </w:tc>
      </w:tr>
      <w:tr w14:paraId="6EC3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A27E027">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0A8DCF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33823F07">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5EE4D868">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2FFE5F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06B73BB7">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5A2978D">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7FE498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CE931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0501E78A">
            <w:pPr>
              <w:jc w:val="left"/>
              <w:rPr>
                <w:rFonts w:hint="eastAsia" w:ascii="宋体" w:hAnsi="宋体" w:eastAsia="宋体" w:cs="宋体"/>
                <w:i w:val="0"/>
                <w:iCs w:val="0"/>
                <w:color w:val="000000"/>
                <w:sz w:val="18"/>
                <w:szCs w:val="18"/>
                <w:u w:val="none"/>
              </w:rPr>
            </w:pPr>
          </w:p>
        </w:tc>
      </w:tr>
      <w:tr w14:paraId="4BE85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F36D6B3">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7FEA3133">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120C43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职工健康风险知晓率</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DA298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00AFB7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2DAB2B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67F5F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14C2D0DC">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本项权重满分为10分，知晓率在90%及以上得满分，90%＞知晓率≥80%，得8分，80%＞知晓率≥70%，得6分，70%＞知晓率≥60%，得4分，知晓率＜60%，不得分</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F8456E0">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通过职工体检，能够及时发现健康异常指标数据，了解自身健康风险</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007B6B06">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问卷调查</w:t>
            </w:r>
          </w:p>
        </w:tc>
      </w:tr>
      <w:tr w14:paraId="05B5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C494AE4">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1F96E1A1">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36371E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健康档案更新完善率</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6D12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58ADC0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4AEA98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20A5E7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2071C6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本项权重满分为10分，健康档案更新完善率在90%及以上得满分，每降低1%扣2分，扣完为止。</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F9C68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通过职工体检，职工个人健康档案得到更新和完善的比例</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1FAC54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公职人员健康数据库</w:t>
            </w:r>
          </w:p>
        </w:tc>
      </w:tr>
      <w:tr w14:paraId="2FACD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281EC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53861A8F">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5B4E4E95">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727A4E5C">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7BC13F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38EABC43">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4F9A92D">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22D878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9E294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53334AA8">
            <w:pPr>
              <w:jc w:val="left"/>
              <w:rPr>
                <w:rFonts w:hint="eastAsia" w:ascii="宋体" w:hAnsi="宋体" w:eastAsia="宋体" w:cs="宋体"/>
                <w:i w:val="0"/>
                <w:iCs w:val="0"/>
                <w:color w:val="000000"/>
                <w:sz w:val="18"/>
                <w:szCs w:val="18"/>
                <w:u w:val="none"/>
              </w:rPr>
            </w:pPr>
          </w:p>
        </w:tc>
      </w:tr>
      <w:tr w14:paraId="64DE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88C2F7D">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6F2463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3EE18F3B">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43A0473">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63C5BD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217D77B4">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1A9F09C">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11D71E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0368A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214D666E">
            <w:pPr>
              <w:jc w:val="left"/>
              <w:rPr>
                <w:rFonts w:hint="eastAsia" w:ascii="宋体" w:hAnsi="宋体" w:eastAsia="宋体" w:cs="宋体"/>
                <w:i w:val="0"/>
                <w:iCs w:val="0"/>
                <w:color w:val="000000"/>
                <w:sz w:val="18"/>
                <w:szCs w:val="18"/>
                <w:u w:val="none"/>
              </w:rPr>
            </w:pPr>
          </w:p>
        </w:tc>
      </w:tr>
      <w:tr w14:paraId="5691E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B3A1ACE">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2E0DD34D">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1C68D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职工体检满意度</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1A0AE9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1196D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2F17D0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DD5E8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76A4F9F5">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本项权重满分为10分，职工体检满意度在90%及以上得满分，90%＞综合满意度≥80%，得8分，80%＞综合满意度≥70%，得6分，70%＞综合满意度≥60%，得4分，综合满意度＜60%，不得分</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1608B130">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五华区机关事业单位职工体检满意程度</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1BF402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问卷调查</w:t>
            </w:r>
          </w:p>
        </w:tc>
      </w:tr>
      <w:tr w14:paraId="50D7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3D502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6800DDC9">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224B3DC0">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2CA271C">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34BAA5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42C0CAF6">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ED596E4">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16A0E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BC7DC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14D11F37">
            <w:pPr>
              <w:jc w:val="left"/>
              <w:rPr>
                <w:rFonts w:hint="eastAsia" w:ascii="宋体" w:hAnsi="宋体" w:eastAsia="宋体" w:cs="宋体"/>
                <w:i w:val="0"/>
                <w:iCs w:val="0"/>
                <w:color w:val="000000"/>
                <w:sz w:val="18"/>
                <w:szCs w:val="18"/>
                <w:u w:val="none"/>
              </w:rPr>
            </w:pPr>
          </w:p>
        </w:tc>
      </w:tr>
      <w:tr w14:paraId="0F132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4590213">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74D696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671308F1">
            <w:pPr>
              <w:jc w:val="left"/>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6E166894">
            <w:pPr>
              <w:jc w:val="left"/>
              <w:rPr>
                <w:rFonts w:hint="eastAsia" w:ascii="宋体" w:hAnsi="宋体" w:eastAsia="宋体" w:cs="宋体"/>
                <w:i w:val="0"/>
                <w:iCs w:val="0"/>
                <w:color w:val="000000"/>
                <w:sz w:val="18"/>
                <w:szCs w:val="18"/>
                <w:u w:val="none"/>
              </w:rPr>
            </w:pP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136708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6ACAA1A4">
            <w:pPr>
              <w:jc w:val="left"/>
              <w:rPr>
                <w:rFonts w:hint="eastAsia" w:ascii="宋体" w:hAnsi="宋体" w:eastAsia="宋体" w:cs="宋体"/>
                <w:i w:val="0"/>
                <w:iCs w:val="0"/>
                <w:color w:val="000000"/>
                <w:sz w:val="18"/>
                <w:szCs w:val="18"/>
                <w:u w:val="none"/>
              </w:rPr>
            </w:pP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D7FABB2">
            <w:pPr>
              <w:jc w:val="left"/>
              <w:rPr>
                <w:rFonts w:hint="eastAsia" w:ascii="宋体" w:hAnsi="宋体" w:eastAsia="宋体" w:cs="宋体"/>
                <w:i w:val="0"/>
                <w:iCs w:val="0"/>
                <w:color w:val="000000"/>
                <w:sz w:val="18"/>
                <w:szCs w:val="18"/>
                <w:u w:val="none"/>
              </w:rPr>
            </w:pP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5165AD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C49FE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082C8968">
            <w:pPr>
              <w:jc w:val="left"/>
              <w:rPr>
                <w:rFonts w:hint="eastAsia" w:ascii="宋体" w:hAnsi="宋体" w:eastAsia="宋体" w:cs="宋体"/>
                <w:i w:val="0"/>
                <w:iCs w:val="0"/>
                <w:color w:val="000000"/>
                <w:sz w:val="18"/>
                <w:szCs w:val="18"/>
                <w:u w:val="none"/>
              </w:rPr>
            </w:pPr>
          </w:p>
        </w:tc>
      </w:tr>
      <w:tr w14:paraId="4B21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2" w:hRule="atLeast"/>
        </w:trPr>
        <w:tc>
          <w:tcPr>
            <w:tcW w:w="1286" w:type="dxa"/>
            <w:tcBorders>
              <w:top w:val="single" w:color="000000" w:sz="4" w:space="0"/>
              <w:left w:val="single" w:color="000000" w:sz="4" w:space="0"/>
              <w:bottom w:val="single" w:color="000000" w:sz="4" w:space="0"/>
              <w:right w:val="single" w:color="000000" w:sz="4" w:space="0"/>
            </w:tcBorders>
            <w:noWrap w:val="0"/>
            <w:vAlign w:val="center"/>
          </w:tcPr>
          <w:p w14:paraId="3CCA8248">
            <w:pPr>
              <w:jc w:val="left"/>
              <w:rPr>
                <w:rFonts w:hint="eastAsia" w:ascii="宋体" w:hAnsi="宋体" w:eastAsia="宋体" w:cs="宋体"/>
                <w:i w:val="0"/>
                <w:iCs w:val="0"/>
                <w:color w:val="000000"/>
                <w:sz w:val="18"/>
                <w:szCs w:val="18"/>
                <w:u w:val="none"/>
              </w:rPr>
            </w:pPr>
          </w:p>
        </w:tc>
        <w:tc>
          <w:tcPr>
            <w:tcW w:w="1137" w:type="dxa"/>
            <w:tcBorders>
              <w:top w:val="single" w:color="000000" w:sz="4" w:space="0"/>
              <w:left w:val="single" w:color="000000" w:sz="4" w:space="0"/>
              <w:bottom w:val="single" w:color="000000" w:sz="4" w:space="0"/>
              <w:right w:val="single" w:color="000000" w:sz="4" w:space="0"/>
            </w:tcBorders>
            <w:noWrap w:val="0"/>
            <w:vAlign w:val="center"/>
          </w:tcPr>
          <w:p w14:paraId="5792DD02">
            <w:pPr>
              <w:jc w:val="left"/>
              <w:rPr>
                <w:rFonts w:hint="eastAsia" w:ascii="宋体" w:hAnsi="宋体" w:eastAsia="宋体" w:cs="宋体"/>
                <w:i w:val="0"/>
                <w:iCs w:val="0"/>
                <w:color w:val="000000"/>
                <w:sz w:val="18"/>
                <w:szCs w:val="18"/>
                <w:u w:val="none"/>
              </w:rPr>
            </w:pPr>
          </w:p>
        </w:tc>
        <w:tc>
          <w:tcPr>
            <w:tcW w:w="1378" w:type="dxa"/>
            <w:tcBorders>
              <w:top w:val="single" w:color="000000" w:sz="4" w:space="0"/>
              <w:left w:val="single" w:color="000000" w:sz="4" w:space="0"/>
              <w:bottom w:val="single" w:color="000000" w:sz="4" w:space="0"/>
              <w:right w:val="single" w:color="000000" w:sz="4" w:space="0"/>
            </w:tcBorders>
            <w:noWrap w:val="0"/>
            <w:vAlign w:val="center"/>
          </w:tcPr>
          <w:p w14:paraId="7C0330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人均体检成本</w:t>
            </w:r>
          </w:p>
        </w:tc>
        <w:tc>
          <w:tcPr>
            <w:tcW w:w="686" w:type="dxa"/>
            <w:tcBorders>
              <w:top w:val="single" w:color="000000" w:sz="4" w:space="0"/>
              <w:left w:val="single" w:color="000000" w:sz="4" w:space="0"/>
              <w:bottom w:val="single" w:color="000000" w:sz="4" w:space="0"/>
              <w:right w:val="single" w:color="000000" w:sz="4" w:space="0"/>
            </w:tcBorders>
            <w:noWrap/>
            <w:vAlign w:val="center"/>
          </w:tcPr>
          <w:p w14:paraId="27BCD6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&lt;=</w:t>
            </w:r>
          </w:p>
        </w:tc>
        <w:tc>
          <w:tcPr>
            <w:tcW w:w="833" w:type="dxa"/>
            <w:tcBorders>
              <w:top w:val="single" w:color="000000" w:sz="4" w:space="0"/>
              <w:left w:val="single" w:color="000000" w:sz="4" w:space="0"/>
              <w:bottom w:val="single" w:color="000000" w:sz="4" w:space="0"/>
              <w:right w:val="single" w:color="000000" w:sz="4" w:space="0"/>
            </w:tcBorders>
            <w:noWrap/>
            <w:vAlign w:val="center"/>
          </w:tcPr>
          <w:p w14:paraId="60A24B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2F7AE5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A3162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4F5360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本项权重满分为20分，未超出预算成本成本得满分，每发现超出1人扣2分，扣完为止。</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49882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衡量项目实际成本是否在预算范围内，反映成本控制的有效性</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1FE176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项目实施方案、资金测算表</w:t>
            </w:r>
          </w:p>
        </w:tc>
      </w:tr>
    </w:tbl>
    <w:p w14:paraId="0EA90710">
      <w:pPr>
        <w:widowControl/>
        <w:ind w:left="600"/>
        <w:jc w:val="left"/>
        <w:rPr>
          <w:rFonts w:hint="eastAsia"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4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84F403-91EC-45C5-96A8-F5902F6876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2" w:fontKey="{F2A4DE36-378B-4D0A-A5B4-B15C51A88F13}"/>
  </w:font>
  <w:font w:name="方正小标宋简体">
    <w:altName w:val="方正小标宋简体"/>
    <w:panose1 w:val="03000509000000000000"/>
    <w:charset w:val="86"/>
    <w:family w:val="auto"/>
    <w:pitch w:val="default"/>
    <w:sig w:usb0="00000001" w:usb1="080E0000" w:usb2="00000000" w:usb3="00000000" w:csb0="00040000" w:csb1="00000000"/>
    <w:embedRegular r:id="rId3" w:fontKey="{616F09AD-83D3-449F-BDE7-40C1A73CAD42}"/>
  </w:font>
  <w:font w:name="华文中宋">
    <w:panose1 w:val="02010600040101010101"/>
    <w:charset w:val="86"/>
    <w:family w:val="auto"/>
    <w:pitch w:val="default"/>
    <w:sig w:usb0="00000287" w:usb1="080F0000" w:usb2="00000000" w:usb3="00000000" w:csb0="0004009F" w:csb1="DFD70000"/>
    <w:embedRegular r:id="rId4" w:fontKey="{FC749D29-5FE0-4E80-B81B-B51C7FD57F0D}"/>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WPSEMBED3">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96150">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F854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382CA3"/>
    <w:rsid w:val="046F214C"/>
    <w:rsid w:val="06325B44"/>
    <w:rsid w:val="0A5A5DC4"/>
    <w:rsid w:val="0AB77A2F"/>
    <w:rsid w:val="0BFD28E4"/>
    <w:rsid w:val="0D0E0F2A"/>
    <w:rsid w:val="0F635DF8"/>
    <w:rsid w:val="10881DF6"/>
    <w:rsid w:val="111D3473"/>
    <w:rsid w:val="13B61995"/>
    <w:rsid w:val="141E7899"/>
    <w:rsid w:val="153C0007"/>
    <w:rsid w:val="16120B81"/>
    <w:rsid w:val="165D6CAE"/>
    <w:rsid w:val="17E531F7"/>
    <w:rsid w:val="19F55BCD"/>
    <w:rsid w:val="1A0B3DDD"/>
    <w:rsid w:val="1A1B6230"/>
    <w:rsid w:val="1A751B4A"/>
    <w:rsid w:val="1B7457C9"/>
    <w:rsid w:val="1BC36AA0"/>
    <w:rsid w:val="1BD73E6F"/>
    <w:rsid w:val="1F8F6F61"/>
    <w:rsid w:val="203F2354"/>
    <w:rsid w:val="217C52A6"/>
    <w:rsid w:val="24192B24"/>
    <w:rsid w:val="249262B8"/>
    <w:rsid w:val="26A22A34"/>
    <w:rsid w:val="27C44B4F"/>
    <w:rsid w:val="29684A53"/>
    <w:rsid w:val="2A2D00A9"/>
    <w:rsid w:val="2BF15C7F"/>
    <w:rsid w:val="2D7258C6"/>
    <w:rsid w:val="2E343CBB"/>
    <w:rsid w:val="2E574E83"/>
    <w:rsid w:val="2E7A1926"/>
    <w:rsid w:val="2F2B24C1"/>
    <w:rsid w:val="30976797"/>
    <w:rsid w:val="3227360A"/>
    <w:rsid w:val="357910E0"/>
    <w:rsid w:val="38226957"/>
    <w:rsid w:val="38B94E67"/>
    <w:rsid w:val="39466C4F"/>
    <w:rsid w:val="396A13EA"/>
    <w:rsid w:val="39DD2E67"/>
    <w:rsid w:val="3A8A588E"/>
    <w:rsid w:val="3B026B0F"/>
    <w:rsid w:val="3C1464F1"/>
    <w:rsid w:val="3DCC2998"/>
    <w:rsid w:val="3F5538EE"/>
    <w:rsid w:val="41134E62"/>
    <w:rsid w:val="42FF01FB"/>
    <w:rsid w:val="45F568DE"/>
    <w:rsid w:val="488A54A4"/>
    <w:rsid w:val="4A8A424F"/>
    <w:rsid w:val="508B3BDB"/>
    <w:rsid w:val="51486F2A"/>
    <w:rsid w:val="52F4603B"/>
    <w:rsid w:val="53340FB0"/>
    <w:rsid w:val="565D31DF"/>
    <w:rsid w:val="56F77E4E"/>
    <w:rsid w:val="57734E4F"/>
    <w:rsid w:val="5A5F2402"/>
    <w:rsid w:val="5B6F544B"/>
    <w:rsid w:val="5E8D610B"/>
    <w:rsid w:val="611236F1"/>
    <w:rsid w:val="646605FE"/>
    <w:rsid w:val="67137888"/>
    <w:rsid w:val="676E094C"/>
    <w:rsid w:val="67A644C4"/>
    <w:rsid w:val="69614B69"/>
    <w:rsid w:val="69B304BD"/>
    <w:rsid w:val="6A070C95"/>
    <w:rsid w:val="6C447429"/>
    <w:rsid w:val="6CE00556"/>
    <w:rsid w:val="6CE34371"/>
    <w:rsid w:val="7005690A"/>
    <w:rsid w:val="706044C2"/>
    <w:rsid w:val="707217B7"/>
    <w:rsid w:val="70F826C0"/>
    <w:rsid w:val="72063E6D"/>
    <w:rsid w:val="72293730"/>
    <w:rsid w:val="724A4A01"/>
    <w:rsid w:val="73116912"/>
    <w:rsid w:val="73954482"/>
    <w:rsid w:val="785B03CB"/>
    <w:rsid w:val="78CA37B1"/>
    <w:rsid w:val="7B487277"/>
    <w:rsid w:val="7C691FF6"/>
    <w:rsid w:val="7D4F20E1"/>
    <w:rsid w:val="7D99752A"/>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semiHidden/>
    <w:qFormat/>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8</Pages>
  <Words>3613</Words>
  <Characters>3854</Characters>
  <Lines>1</Lines>
  <Paragraphs>1</Paragraphs>
  <TotalTime>1</TotalTime>
  <ScaleCrop>false</ScaleCrop>
  <LinksUpToDate>false</LinksUpToDate>
  <CharactersWithSpaces>3854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符号</cp:lastModifiedBy>
  <cp:lastPrinted>2020-02-03T08:13:00Z</cp:lastPrinted>
  <dcterms:modified xsi:type="dcterms:W3CDTF">2026-05-08T06:53:38Z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666F6C88D65A4CA18EF06684C97E6F35_13</vt:lpwstr>
  </property>
  <property fmtid="{D5CDD505-2E9C-101B-9397-08002B2CF9AE}" pid="4" name="KSOTemplateDocerSaveRecord">
    <vt:lpwstr>eyJoZGlkIjoiZDBhMjlkMWVkOWU1MmNmYmI1OWFkYmZkZTE3YTZjZTQiLCJ1c2VySWQiOiIzNjE2NjA5NTcifQ==</vt:lpwstr>
  </property>
</Properties>
</file>