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60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2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22"/>
          <w:lang w:val="en-US" w:eastAsia="zh-CN" w:bidi="ar"/>
        </w:rPr>
        <w:t xml:space="preserve">附件1            </w:t>
      </w:r>
    </w:p>
    <w:p w14:paraId="5A3A8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经费使用及服务内容</w:t>
      </w:r>
    </w:p>
    <w:p w14:paraId="4C755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</w:pPr>
    </w:p>
    <w:p w14:paraId="26591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1</w:t>
      </w:r>
      <w:r>
        <w:rPr>
          <w:rFonts w:ascii="仿宋_GB2312" w:hAnsi="Times New Roman" w:eastAsia="仿宋_GB2312" w:cs="Times New Roman"/>
          <w:kern w:val="2"/>
          <w:sz w:val="32"/>
          <w:szCs w:val="32"/>
          <w:lang w:val="en-US" w:bidi="ar-SA"/>
        </w:rPr>
        <w:t>.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年度累计干预覆盖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重点人群不低于1580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人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,按10元/人支持；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年度HIV、梅毒和丙肝检测首次检测不低于1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580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人，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bidi="ar-SA"/>
        </w:rPr>
        <w:t>30元/人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支持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bidi="ar-SA"/>
        </w:rPr>
        <w:t>；淋病检测（年度不低于HIV检测量的90%）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bidi="ar-SA"/>
        </w:rPr>
        <w:t>约1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422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bidi="ar-SA"/>
        </w:rPr>
        <w:t>人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bidi="ar-SA"/>
        </w:rPr>
        <w:t>90元/人/年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支持；试剂耗材及办公费支持4010元/年。以上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bidi="ar-SA"/>
        </w:rPr>
        <w:t>预算经费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19.518万元。</w:t>
      </w:r>
    </w:p>
    <w:p w14:paraId="649E7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2.按照国家级</w:t>
      </w:r>
      <w:bookmarkStart w:id="0" w:name="_GoBack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暗娼</w:t>
      </w:r>
      <w:bookmarkEnd w:id="0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哨点监测要求，完成400例暗娼哨点监测任务，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按50元/人支持。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以上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预算经费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万元。</w:t>
      </w:r>
    </w:p>
    <w:p w14:paraId="654D1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3</w:t>
      </w:r>
      <w:r>
        <w:rPr>
          <w:rFonts w:ascii="仿宋_GB2312" w:hAnsi="Times New Roman" w:eastAsia="仿宋_GB2312" w:cs="Times New Roman"/>
          <w:kern w:val="2"/>
          <w:sz w:val="32"/>
          <w:szCs w:val="32"/>
          <w:lang w:val="en-US" w:bidi="ar-SA"/>
        </w:rPr>
        <w:t>.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开展辖区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重点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人群规模估计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（0.025万元/年）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和支持妇女健康服务平台房租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2.5万元/个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，开展一对一和小组干预，工作中逐渐增加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重点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人群干预覆盖比例，发现阳性后陪同转介到位，并开展阳性者性伴动员检测。开展日常防治艾滋病宣传和12.1世界艾滋病日集中宣传活动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，以上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预算经费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2.525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万元。</w:t>
      </w:r>
    </w:p>
    <w:p w14:paraId="60595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4.财务托管费不超过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bidi="ar-SA"/>
        </w:rPr>
        <w:t>所申请经费总额的3%。</w:t>
      </w:r>
    </w:p>
    <w:p w14:paraId="3A70F2A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2" w:lineRule="exact"/>
        <w:ind w:firstLine="640" w:firstLineChars="200"/>
        <w:jc w:val="both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以上累计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bidi="ar-SA"/>
        </w:rPr>
        <w:t>预算经费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24.043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bidi="ar-SA"/>
        </w:rPr>
        <w:t>万元，根据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实际工作量支持经费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最终项目资金以2</w:t>
      </w:r>
      <w:r>
        <w:rPr>
          <w:rFonts w:ascii="仿宋_GB2312" w:hAnsi="Times New Roman" w:eastAsia="仿宋_GB2312" w:cs="Times New Roman"/>
          <w:kern w:val="2"/>
          <w:sz w:val="32"/>
          <w:szCs w:val="32"/>
          <w:lang w:val="en-US" w:bidi="ar-SA"/>
        </w:rPr>
        <w:t>02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年上级文件为准。</w:t>
      </w:r>
    </w:p>
    <w:p w14:paraId="20F2F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2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21714"/>
    <w:rsid w:val="023E62E7"/>
    <w:rsid w:val="048A3382"/>
    <w:rsid w:val="42D26023"/>
    <w:rsid w:val="7D72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418</Characters>
  <Lines>0</Lines>
  <Paragraphs>0</Paragraphs>
  <TotalTime>0</TotalTime>
  <ScaleCrop>false</ScaleCrop>
  <LinksUpToDate>false</LinksUpToDate>
  <CharactersWithSpaces>430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2026-01-21T01:49:00Z</dcterms:created>
  <dc:creator>赵林吉</dc:creator>
  <cp:lastModifiedBy>赵林吉</cp:lastModifiedBy>
  <dcterms:modified xsi:type="dcterms:W3CDTF">2026-01-21T02:34:23Z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7F9D94E81C304248833F58F4AE7FB3D1_11</vt:lpwstr>
  </property>
  <property fmtid="{D5CDD505-2E9C-101B-9397-08002B2CF9AE}" pid="4" name="KSOTemplateDocerSaveRecord">
    <vt:lpwstr>eyJoZGlkIjoiOGQxMmExMTVjNTUyNzQ5MDBlMjhhNDJhZTY1MGMyYmQiLCJ1c2VySWQiOiI2ODU4NjM4NDkifQ==</vt:lpwstr>
  </property>
</Properties>
</file>