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36C0A">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五华区纪委纪委巡察经费项目</w:t>
      </w:r>
    </w:p>
    <w:p w14:paraId="2EFA5586">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支出绩效评价报告</w:t>
      </w:r>
    </w:p>
    <w:p w14:paraId="65A94B69">
      <w:pPr>
        <w:spacing w:line="560" w:lineRule="exact"/>
        <w:rPr>
          <w:rFonts w:ascii="仿宋_GB2312" w:hAnsi="仿宋_GB2312" w:eastAsia="仿宋_GB2312" w:cs="仿宋_GB2312"/>
          <w:sz w:val="30"/>
          <w:szCs w:val="30"/>
        </w:rPr>
      </w:pPr>
    </w:p>
    <w:p w14:paraId="66ADE4C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730A2621">
      <w:pPr>
        <w:spacing w:line="560" w:lineRule="exact"/>
        <w:ind w:left="440" w:left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14:paraId="5B1A1EF2">
      <w:pPr>
        <w:spacing w:line="580" w:lineRule="exact"/>
        <w:ind w:firstLine="627" w:firstLineChars="196"/>
        <w:rPr>
          <w:rFonts w:ascii="仿宋_GB2312" w:eastAsia="仿宋_GB2312"/>
          <w:sz w:val="32"/>
          <w:szCs w:val="32"/>
        </w:rPr>
      </w:pPr>
      <w:r>
        <w:rPr>
          <w:rFonts w:hint="eastAsia" w:ascii="仿宋_GB2312" w:hAnsi="仿宋_GB2312" w:eastAsia="仿宋_GB2312" w:cs="仿宋_GB2312"/>
          <w:sz w:val="32"/>
          <w:szCs w:val="32"/>
        </w:rPr>
        <w:t>1.项目背景。依据</w:t>
      </w:r>
      <w:r>
        <w:rPr>
          <w:rFonts w:hint="eastAsia" w:ascii="仿宋_GB2312" w:eastAsia="仿宋_GB2312"/>
          <w:sz w:val="32"/>
          <w:szCs w:val="32"/>
        </w:rPr>
        <w:t>《中国共产党巡视工作条例》《中国共产党纪律处分条例》</w:t>
      </w:r>
      <w:r>
        <w:rPr>
          <w:rFonts w:hint="eastAsia" w:ascii="仿宋_GB2312" w:hAnsi="仿宋_GB2312" w:eastAsia="仿宋_GB2312" w:cs="仿宋_GB2312"/>
          <w:sz w:val="32"/>
          <w:szCs w:val="32"/>
        </w:rPr>
        <w:t>等规定，区纪委开展</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年度巡察经费项目。</w:t>
      </w:r>
    </w:p>
    <w:p w14:paraId="26C11FF2">
      <w:pPr>
        <w:spacing w:line="58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2.主要内容。</w:t>
      </w:r>
      <w:r>
        <w:rPr>
          <w:rFonts w:hint="eastAsia" w:ascii="仿宋_GB2312" w:hAnsi="仿宋" w:eastAsia="仿宋_GB2312"/>
          <w:sz w:val="32"/>
          <w:szCs w:val="32"/>
        </w:rPr>
        <w:t>为了发挥巡察利剑作用，实现党内监督全覆盖，符合中央、市委、市政府确定的工作目标及职能职责目标，在202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年计划完成的三轮的巡察工作任务。</w:t>
      </w:r>
    </w:p>
    <w:p w14:paraId="3A63BBA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3.资金投入和使用情况</w:t>
      </w:r>
    </w:p>
    <w:p w14:paraId="0D78A6B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区级财政年初安排预算</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万元，实际到位数</w:t>
      </w:r>
      <w:r>
        <w:rPr>
          <w:rFonts w:hint="eastAsia" w:ascii="仿宋_GB2312" w:hAnsi="仿宋_GB2312" w:eastAsia="仿宋_GB2312" w:cs="仿宋_GB2312"/>
          <w:sz w:val="32"/>
          <w:szCs w:val="32"/>
          <w:lang w:val="en-US" w:eastAsia="zh-CN"/>
        </w:rPr>
        <w:t>37.8</w:t>
      </w:r>
      <w:r>
        <w:rPr>
          <w:rFonts w:hint="eastAsia" w:ascii="仿宋_GB2312" w:hAnsi="仿宋_GB2312" w:eastAsia="仿宋_GB2312" w:cs="仿宋_GB2312"/>
          <w:sz w:val="32"/>
          <w:szCs w:val="32"/>
        </w:rPr>
        <w:t>万元，全年共支出</w:t>
      </w:r>
      <w:r>
        <w:rPr>
          <w:rFonts w:hint="eastAsia" w:ascii="仿宋_GB2312" w:hAnsi="仿宋_GB2312" w:eastAsia="仿宋_GB2312" w:cs="仿宋_GB2312"/>
          <w:sz w:val="32"/>
          <w:szCs w:val="32"/>
          <w:lang w:val="en-US" w:eastAsia="zh-CN"/>
        </w:rPr>
        <w:t>37.8</w:t>
      </w:r>
      <w:r>
        <w:rPr>
          <w:rFonts w:hint="eastAsia" w:ascii="仿宋_GB2312" w:hAnsi="仿宋_GB2312" w:eastAsia="仿宋_GB2312" w:cs="仿宋_GB2312"/>
          <w:sz w:val="32"/>
          <w:szCs w:val="32"/>
        </w:rPr>
        <w:t>万元万元，预算执行率</w:t>
      </w:r>
      <w:r>
        <w:rPr>
          <w:rFonts w:hint="eastAsia" w:ascii="仿宋_GB2312" w:hAnsi="仿宋_GB2312" w:eastAsia="仿宋_GB2312" w:cs="仿宋_GB2312"/>
          <w:sz w:val="32"/>
          <w:szCs w:val="32"/>
          <w:lang w:val="en-US" w:eastAsia="zh-CN"/>
        </w:rPr>
        <w:t>94.5</w:t>
      </w:r>
      <w:r>
        <w:rPr>
          <w:rFonts w:hint="eastAsia" w:ascii="仿宋_GB2312" w:hAnsi="仿宋_GB2312" w:eastAsia="仿宋_GB2312" w:cs="仿宋_GB2312"/>
          <w:sz w:val="32"/>
          <w:szCs w:val="32"/>
        </w:rPr>
        <w:t>%。主要用于</w:t>
      </w:r>
      <w:r>
        <w:rPr>
          <w:rFonts w:hint="eastAsia" w:ascii="仿宋_GB2312" w:hAnsi="仿宋" w:eastAsia="仿宋_GB2312"/>
          <w:sz w:val="32"/>
          <w:szCs w:val="32"/>
        </w:rPr>
        <w:t>巡察进驻工作经费</w:t>
      </w:r>
      <w:r>
        <w:rPr>
          <w:rFonts w:hint="eastAsia" w:ascii="仿宋_GB2312" w:hAnsi="仿宋_GB2312" w:eastAsia="仿宋_GB2312" w:cs="仿宋_GB2312"/>
          <w:sz w:val="32"/>
          <w:szCs w:val="32"/>
        </w:rPr>
        <w:t>。</w:t>
      </w:r>
    </w:p>
    <w:p w14:paraId="7D4B8698">
      <w:pPr>
        <w:numPr>
          <w:ilvl w:val="0"/>
          <w:numId w:val="1"/>
        </w:num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项目绩效目标。</w:t>
      </w:r>
    </w:p>
    <w:p w14:paraId="0BE3AFD1">
      <w:pPr>
        <w:spacing w:line="560" w:lineRule="exact"/>
        <w:ind w:left="660" w:leftChars="300"/>
        <w:rPr>
          <w:rFonts w:ascii="仿宋_GB2312" w:hAnsi="仿宋_GB2312" w:eastAsia="仿宋_GB2312" w:cs="仿宋_GB2312"/>
          <w:sz w:val="32"/>
          <w:szCs w:val="32"/>
        </w:rPr>
      </w:pPr>
      <w:r>
        <w:rPr>
          <w:rFonts w:hint="eastAsia" w:ascii="仿宋_GB2312" w:hAnsi="仿宋_GB2312" w:eastAsia="仿宋_GB2312" w:cs="仿宋_GB2312"/>
          <w:sz w:val="32"/>
          <w:szCs w:val="32"/>
        </w:rPr>
        <w:t>1.总体目标</w:t>
      </w:r>
    </w:p>
    <w:p w14:paraId="2AA4AD6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资源力量的统筹、整合，形成监督合力。完善纪律监督、监察监督、派驻监督、巡察监督统筹衔接制度机制，积极探索实践党内监督与国家机关监督、民主监督、司法监督、群众监督、舆论监督协调贯通的方法路径，推动权力监督更加严、实、细、密。</w:t>
      </w:r>
    </w:p>
    <w:p w14:paraId="240714E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2.阶段性目标</w:t>
      </w:r>
    </w:p>
    <w:p w14:paraId="7588538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进一步推进</w:t>
      </w:r>
      <w:r>
        <w:rPr>
          <w:rFonts w:hint="eastAsia" w:ascii="仿宋_GB2312" w:hAnsi="仿宋_GB2312" w:eastAsia="仿宋_GB2312" w:cs="仿宋_GB2312"/>
          <w:sz w:val="32"/>
          <w:szCs w:val="32"/>
          <w:lang w:val="en-US" w:eastAsia="zh-CN"/>
        </w:rPr>
        <w:t>全面</w:t>
      </w:r>
      <w:bookmarkStart w:id="2" w:name="_GoBack"/>
      <w:r>
        <w:rPr>
          <w:rFonts w:hint="eastAsia" w:ascii="仿宋_GB2312" w:hAnsi="仿宋_GB2312" w:eastAsia="仿宋_GB2312" w:cs="仿宋_GB2312"/>
          <w:sz w:val="32"/>
          <w:szCs w:val="32"/>
        </w:rPr>
        <w:t>从严治党</w:t>
      </w:r>
      <w:bookmarkEnd w:id="2"/>
      <w:r>
        <w:rPr>
          <w:rFonts w:hint="eastAsia" w:ascii="仿宋_GB2312" w:hAnsi="仿宋_GB2312" w:eastAsia="仿宋_GB2312" w:cs="仿宋_GB2312"/>
          <w:sz w:val="32"/>
          <w:szCs w:val="32"/>
        </w:rPr>
        <w:t>，完成三轮巡察和市县统合巡察任务，发现问题、形成震慑，充分发挥政治巡察“利剑”作用。</w:t>
      </w:r>
    </w:p>
    <w:p w14:paraId="06E34B56">
      <w:pPr>
        <w:numPr>
          <w:ilvl w:val="0"/>
          <w:numId w:val="1"/>
        </w:num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项目组织管理情况</w:t>
      </w:r>
    </w:p>
    <w:p w14:paraId="48CF600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巡察经费项目由巡察办公室负责实施，由五华区纪委委员以及财务人员负责项目监督。</w:t>
      </w:r>
    </w:p>
    <w:p w14:paraId="7AFE10EB">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项目执行参照</w:t>
      </w:r>
      <w:r>
        <w:rPr>
          <w:rFonts w:ascii="仿宋_GB2312" w:hAnsi="仿宋_GB2312" w:eastAsia="仿宋_GB2312" w:cs="仿宋_GB2312"/>
          <w:sz w:val="32"/>
          <w:szCs w:val="32"/>
        </w:rPr>
        <w:t>《五华区</w:t>
      </w:r>
      <w:r>
        <w:rPr>
          <w:rFonts w:hint="eastAsia" w:ascii="仿宋_GB2312" w:hAnsi="仿宋_GB2312" w:eastAsia="仿宋_GB2312" w:cs="仿宋_GB2312"/>
          <w:sz w:val="32"/>
          <w:szCs w:val="32"/>
        </w:rPr>
        <w:t>纪委监委</w:t>
      </w:r>
      <w:r>
        <w:rPr>
          <w:rFonts w:ascii="仿宋_GB2312" w:hAnsi="仿宋_GB2312" w:eastAsia="仿宋_GB2312" w:cs="仿宋_GB2312"/>
          <w:sz w:val="32"/>
          <w:szCs w:val="32"/>
        </w:rPr>
        <w:t>“三重一大”议事规则》、《五华区</w:t>
      </w:r>
      <w:r>
        <w:rPr>
          <w:rFonts w:hint="eastAsia" w:ascii="仿宋_GB2312" w:hAnsi="仿宋_GB2312" w:eastAsia="仿宋_GB2312" w:cs="仿宋_GB2312"/>
          <w:sz w:val="32"/>
          <w:szCs w:val="32"/>
        </w:rPr>
        <w:t>纪委监委</w:t>
      </w:r>
      <w:r>
        <w:rPr>
          <w:rFonts w:ascii="仿宋_GB2312" w:hAnsi="仿宋_GB2312" w:eastAsia="仿宋_GB2312" w:cs="仿宋_GB2312"/>
          <w:sz w:val="32"/>
          <w:szCs w:val="32"/>
        </w:rPr>
        <w:t>财务管理规定（试行）》根据工作计划，制定实施方案，根据内控制度，加强组织保障，严格规范管理，对项目进行跟踪监控。严格遵守各项财务制度，及时做好项目实施管控工作，使项目管理有序合规进行开展，确保项目资金使用安全，提高项目资金投入效果，确保项目圆满完成。</w:t>
      </w:r>
    </w:p>
    <w:p w14:paraId="02DD4B49">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二、绩效评价工作开展情况</w:t>
      </w:r>
    </w:p>
    <w:p w14:paraId="456F6A9A">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（一）绩效评价目的、对象和范围</w:t>
      </w:r>
    </w:p>
    <w:p w14:paraId="42C47E3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1.评价目的</w:t>
      </w:r>
    </w:p>
    <w:p w14:paraId="64AE9C8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绩效评价主要目的是在资金使用单位绩效自评的基础上，按照合理的方法和标准对202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区纪委监委巡察经费项目实施后的财政资金支出绩效做出客观、公正的评价。通过对资金管理和使用情况、管理制度办法健全及执行、项目建设任务完成情况等进行全面评价，分析绩效目标完成情况，效益情况，总结好的经验和做法，确实反映项目实施的社会影响、经济影响和可持续影响，进一步客观地反映开展区纪委监委巡察经费项目的重要性和必要性，同时研究影响项目绩效的问题和原因，提出解决的措施和办法，完善部门主要履职工作任务相关政策制度，推动部门有效履职，优化资源配置和财政支出结构，强化支出责任，提高财政资金使用效益。</w:t>
      </w:r>
    </w:p>
    <w:p w14:paraId="682E472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2.评价对象和范围</w:t>
      </w:r>
    </w:p>
    <w:p w14:paraId="1FE2C0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本次绩效评价对象为区纪委监委，主要评价范围为202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年巡察经费项目，涉及区级资金共计</w:t>
      </w:r>
      <w:r>
        <w:rPr>
          <w:rFonts w:hint="eastAsia" w:ascii="仿宋_GB2312" w:hAnsi="仿宋_GB2312" w:eastAsia="仿宋_GB2312" w:cs="仿宋_GB2312"/>
          <w:sz w:val="32"/>
          <w:szCs w:val="32"/>
          <w:lang w:val="en-US" w:eastAsia="zh-CN"/>
        </w:rPr>
        <w:t>37.8</w:t>
      </w:r>
      <w:r>
        <w:rPr>
          <w:rFonts w:hint="eastAsia" w:ascii="仿宋_GB2312" w:hAnsi="仿宋_GB2312" w:eastAsia="仿宋_GB2312" w:cs="仿宋_GB2312"/>
          <w:sz w:val="32"/>
          <w:szCs w:val="32"/>
        </w:rPr>
        <w:t>万元。</w:t>
      </w:r>
    </w:p>
    <w:p w14:paraId="0C9E7C55">
      <w:pPr>
        <w:numPr>
          <w:ilvl w:val="0"/>
          <w:numId w:val="2"/>
        </w:num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绩效评价原则、依据、评价指标体系（附表说明）、评价方法、评价标准、评价抽样等</w:t>
      </w:r>
    </w:p>
    <w:p w14:paraId="6B5EDEE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1.绩效评价原则</w:t>
      </w:r>
    </w:p>
    <w:p w14:paraId="3A8F457F">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本次绩效评价遵循以下基本原则：</w:t>
      </w:r>
    </w:p>
    <w:p w14:paraId="04EEE0C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科学公正。绩效评价采用定量与定性结合的方法，综合应用抽样调查、比较法、因素分析、公众评判等方式，按照规范的程序，对项目绩效进行客观、公正的反映。</w:t>
      </w:r>
    </w:p>
    <w:p w14:paraId="2063F14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统筹兼顾。按照“谁支出、谁自评”的原则，</w:t>
      </w:r>
      <w:r>
        <w:rPr>
          <w:rFonts w:hint="eastAsia" w:ascii="仿宋_GB2312" w:hAnsi="仿宋_GB2312" w:eastAsia="仿宋_GB2312" w:cs="仿宋_GB2312"/>
          <w:sz w:val="32"/>
          <w:szCs w:val="32"/>
        </w:rPr>
        <w:t>开展单位自评。</w:t>
      </w:r>
    </w:p>
    <w:p w14:paraId="6B3775B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激励约束。绩效评价结果与预算安排、政策调整、改进管理实质性挂钩，体现奖优罚劣和激励相容导向，有效要安排、低效要压减、无效要问责。</w:t>
      </w:r>
    </w:p>
    <w:p w14:paraId="2A1AFCE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公开透明。绩效评价结果依法依规公开，并自觉接受社会监督。</w:t>
      </w:r>
    </w:p>
    <w:p w14:paraId="6F594CE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绩效评价方法</w:t>
      </w:r>
    </w:p>
    <w:p w14:paraId="01CB7642">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本次</w:t>
      </w:r>
      <w:r>
        <w:rPr>
          <w:rFonts w:hint="eastAsia" w:ascii="仿宋_GB2312" w:hAnsi="仿宋_GB2312" w:eastAsia="仿宋_GB2312" w:cs="仿宋_GB2312"/>
          <w:sz w:val="32"/>
          <w:szCs w:val="32"/>
        </w:rPr>
        <w:t>巡察经费项目</w:t>
      </w:r>
      <w:r>
        <w:rPr>
          <w:rFonts w:ascii="仿宋_GB2312" w:hAnsi="仿宋_GB2312" w:eastAsia="仿宋_GB2312" w:cs="仿宋_GB2312"/>
          <w:sz w:val="32"/>
          <w:szCs w:val="32"/>
        </w:rPr>
        <w:t>绩效评价坚持全面、客观、公开、公正的原则。在形式方面，采取单位</w:t>
      </w:r>
      <w:r>
        <w:rPr>
          <w:rFonts w:hint="eastAsia" w:ascii="仿宋_GB2312" w:hAnsi="仿宋_GB2312" w:eastAsia="仿宋_GB2312" w:cs="仿宋_GB2312"/>
          <w:sz w:val="32"/>
          <w:szCs w:val="32"/>
        </w:rPr>
        <w:t>评价</w:t>
      </w:r>
      <w:r>
        <w:rPr>
          <w:rFonts w:ascii="仿宋_GB2312" w:hAnsi="仿宋_GB2312" w:eastAsia="仿宋_GB2312" w:cs="仿宋_GB2312"/>
          <w:sz w:val="32"/>
          <w:szCs w:val="32"/>
        </w:rPr>
        <w:t>的方式；在数据采集方面，采用定量与定性相结合的方式。对收集的相关基础资料、各种技术经济数据，在归集、整理、分析的基础上，结合项目特点确定评价方法，主要的评价方法有：</w:t>
      </w:r>
    </w:p>
    <w:p w14:paraId="3E81DC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资料查阅和政策解读：首先通过全面查阅被评价单位提交的项目相关资料，主要包括项目预算安排、项目管理制度文件、项目资金使用相关凭证、项目实施完成相关统计数据，工作总结、贯彻执行的有关政策文件，项目实施档案资料等。</w:t>
      </w:r>
    </w:p>
    <w:p w14:paraId="5A7F79F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因素分析法：该方法是将影响决策和产出的各项因素罗列出来进行分析，并将投入产出比进行计算据以评价的一种方法。</w:t>
      </w:r>
    </w:p>
    <w:p w14:paraId="43491B0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比较法：该方法将实施情况与绩效目标、历史情况、不同部门和地区同类支出情况进行比较的方法。该项目主要根据项目开展情况，通过与项目绩效目标、项目实施前的具体情况进行比较分析，了解该项目是否发挥了积极的作用。</w:t>
      </w:r>
    </w:p>
    <w:p w14:paraId="610654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评价指标体系</w:t>
      </w:r>
    </w:p>
    <w:p w14:paraId="3A305D43">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绩效评价指标体系是本次评价工作的核心，为建立科学合理的指标体系，紧紧围绕</w:t>
      </w:r>
      <w:r>
        <w:rPr>
          <w:rFonts w:hint="eastAsia" w:ascii="仿宋_GB2312" w:hAnsi="仿宋_GB2312" w:eastAsia="仿宋_GB2312" w:cs="仿宋_GB2312"/>
          <w:sz w:val="32"/>
          <w:szCs w:val="32"/>
        </w:rPr>
        <w:t>巡察经费项目</w:t>
      </w:r>
      <w:r>
        <w:rPr>
          <w:rFonts w:ascii="仿宋_GB2312" w:hAnsi="仿宋_GB2312" w:eastAsia="仿宋_GB2312" w:cs="仿宋_GB2312"/>
          <w:sz w:val="32"/>
          <w:szCs w:val="32"/>
        </w:rPr>
        <w:t>的目标，采取定量与定性相结合的指标设置方式，根据《云南省项目支出绩效评价管理办法》(云财绩〔2020〕11号)的相关要求，结合项目资金特点，设立相应的指标并分配相应的权重（分值），制定绩效评价指标体系。绩效评价指标体系共有三级指标，具体构成如下：一级指标决策（占9%）、过程（占21%）、产出（占30%）、效益（占40%）4项，二级指标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个，三级指标</w:t>
      </w:r>
      <w:r>
        <w:rPr>
          <w:rFonts w:hint="eastAsia" w:ascii="仿宋_GB2312" w:hAnsi="仿宋_GB2312" w:eastAsia="仿宋_GB2312" w:cs="仿宋_GB2312"/>
          <w:sz w:val="32"/>
          <w:szCs w:val="32"/>
        </w:rPr>
        <w:t>15</w:t>
      </w:r>
      <w:r>
        <w:rPr>
          <w:rFonts w:ascii="仿宋_GB2312" w:hAnsi="仿宋_GB2312" w:eastAsia="仿宋_GB2312" w:cs="仿宋_GB2312"/>
          <w:sz w:val="32"/>
          <w:szCs w:val="32"/>
        </w:rPr>
        <w:t>个，满分100分（详见附件）。</w:t>
      </w:r>
    </w:p>
    <w:p w14:paraId="4343322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绩效评价标准</w:t>
      </w:r>
    </w:p>
    <w:p w14:paraId="535C6620">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参照《云南省项目支出绩效评价管理》等文件，绩效评价结果采用综合评分定级的办法，绩效评价结果实行百分制、四级分类，总分值100分，绩效评级分优、良、中、差。根据最终得分情况将评价标准分为四个等级：优（得分≥90分）；良（80分≤得分＜90分）；中（60≤得分＜80分）；差（得分＜60分）。</w:t>
      </w:r>
    </w:p>
    <w:p w14:paraId="0E872BFB">
      <w:pPr>
        <w:numPr>
          <w:ilvl w:val="0"/>
          <w:numId w:val="2"/>
        </w:num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绩效评价工作过程</w:t>
      </w:r>
    </w:p>
    <w:p w14:paraId="6201BB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1.前期调研及方案编制</w:t>
      </w:r>
    </w:p>
    <w:p w14:paraId="45F7C05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开展前期调研，了解项目的基本情况，并收集相关文件资料。通过梳理相关政策、文献，并研读各部门提供的资料，对项目进行全面的了解，设计绩效评价指标体系。</w:t>
      </w:r>
    </w:p>
    <w:p w14:paraId="0B98616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2.现场实地评价</w:t>
      </w:r>
    </w:p>
    <w:p w14:paraId="2B3292A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根据评价实施方案，深入部门和项目现场进行实地评价，开展调研访谈、资料收集等实地评价工作。</w:t>
      </w:r>
    </w:p>
    <w:p w14:paraId="6DB273B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根据项目实际情况，实施现场评价。通过听取情况介绍、座谈询问、深度访谈、资料查阅、信息及数据核对等方式，对绩效目标有关情况、基础资料和资金使用情况进行核实。</w:t>
      </w:r>
    </w:p>
    <w:p w14:paraId="63ECE62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3.报告撰写</w:t>
      </w:r>
    </w:p>
    <w:p w14:paraId="17E9DCE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评价实施方案确定的评价指标、评价标准和评价方法，根据实地调研情况和采集到的数据，对项目进行评分；在此基础上进行综合分析，形成初步评价结论。并以事实为依据，根据资金落实情况、资金匹配情况归纳梳理评价过程中发现的问题，分析问题产生的原因，并针对问题提出可落实的针对性建议，形成绩效评价报告。</w:t>
      </w:r>
    </w:p>
    <w:p w14:paraId="538C18C7">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三、综合评价情况及评价结论（附相关评分表）</w:t>
      </w:r>
    </w:p>
    <w:p w14:paraId="291BE8FF">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（一）绩效评价综合结论</w:t>
      </w:r>
    </w:p>
    <w:p w14:paraId="21B0DA7B">
      <w:pPr>
        <w:spacing w:line="560" w:lineRule="exact"/>
        <w:ind w:firstLine="640" w:firstLineChars="200"/>
      </w:pPr>
      <w:r>
        <w:rPr>
          <w:rFonts w:hint="eastAsia" w:ascii="仿宋_GB2312" w:hAnsi="仿宋_GB2312" w:eastAsia="仿宋_GB2312" w:cs="仿宋_GB2312"/>
          <w:sz w:val="32"/>
          <w:szCs w:val="32"/>
        </w:rPr>
        <w:t>经评价考评打分，项目评价综合得分93.94分，评价等级为：优。详见表2。</w:t>
      </w:r>
    </w:p>
    <w:p w14:paraId="51911801">
      <w:pPr>
        <w:pStyle w:val="2"/>
        <w:spacing w:line="560"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表2：绩效评价得分情况表</w:t>
      </w:r>
    </w:p>
    <w:tbl>
      <w:tblPr>
        <w:tblStyle w:val="7"/>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212"/>
        <w:gridCol w:w="2211"/>
        <w:gridCol w:w="2211"/>
        <w:gridCol w:w="2211"/>
      </w:tblGrid>
      <w:tr w14:paraId="3C72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blHeader/>
          <w:jc w:val="center"/>
        </w:trPr>
        <w:tc>
          <w:tcPr>
            <w:tcW w:w="2212" w:type="dxa"/>
            <w:tcBorders>
              <w:top w:val="single" w:color="auto" w:sz="4" w:space="0"/>
            </w:tcBorders>
            <w:vAlign w:val="center"/>
          </w:tcPr>
          <w:p w14:paraId="1CA0FC69">
            <w:pPr>
              <w:widowControl w:val="0"/>
              <w:snapToGrid w:val="0"/>
              <w:spacing w:line="560" w:lineRule="exact"/>
              <w:jc w:val="center"/>
              <w:rPr>
                <w:rFonts w:hAnsi="仿宋" w:cs="宋体"/>
                <w:b/>
                <w:bCs/>
                <w:spacing w:val="6"/>
                <w:kern w:val="2"/>
                <w:sz w:val="21"/>
                <w:szCs w:val="24"/>
              </w:rPr>
            </w:pPr>
            <w:r>
              <w:rPr>
                <w:rFonts w:hint="eastAsia" w:hAnsi="仿宋" w:cs="宋体"/>
                <w:b/>
                <w:bCs/>
                <w:spacing w:val="6"/>
                <w:kern w:val="2"/>
                <w:sz w:val="21"/>
                <w:szCs w:val="24"/>
              </w:rPr>
              <w:t>一级指标</w:t>
            </w:r>
          </w:p>
        </w:tc>
        <w:tc>
          <w:tcPr>
            <w:tcW w:w="2211" w:type="dxa"/>
            <w:tcBorders>
              <w:top w:val="single" w:color="auto" w:sz="4" w:space="0"/>
            </w:tcBorders>
            <w:vAlign w:val="center"/>
          </w:tcPr>
          <w:p w14:paraId="686E1592">
            <w:pPr>
              <w:widowControl w:val="0"/>
              <w:snapToGrid w:val="0"/>
              <w:spacing w:line="560" w:lineRule="exact"/>
              <w:jc w:val="center"/>
              <w:rPr>
                <w:rFonts w:hAnsi="仿宋" w:cs="宋体"/>
                <w:b/>
                <w:bCs/>
                <w:spacing w:val="6"/>
                <w:kern w:val="2"/>
                <w:sz w:val="21"/>
                <w:szCs w:val="24"/>
              </w:rPr>
            </w:pPr>
            <w:r>
              <w:rPr>
                <w:rFonts w:hint="eastAsia" w:hAnsi="仿宋" w:cs="宋体"/>
                <w:b/>
                <w:bCs/>
                <w:spacing w:val="6"/>
                <w:kern w:val="2"/>
                <w:sz w:val="21"/>
                <w:szCs w:val="24"/>
              </w:rPr>
              <w:t>指标分值</w:t>
            </w:r>
          </w:p>
        </w:tc>
        <w:tc>
          <w:tcPr>
            <w:tcW w:w="2211" w:type="dxa"/>
            <w:tcBorders>
              <w:top w:val="single" w:color="auto" w:sz="4" w:space="0"/>
            </w:tcBorders>
            <w:vAlign w:val="center"/>
          </w:tcPr>
          <w:p w14:paraId="4F20920F">
            <w:pPr>
              <w:widowControl w:val="0"/>
              <w:snapToGrid w:val="0"/>
              <w:spacing w:line="560" w:lineRule="exact"/>
              <w:jc w:val="center"/>
              <w:rPr>
                <w:rFonts w:hAnsi="仿宋" w:cs="宋体"/>
                <w:b/>
                <w:bCs/>
                <w:spacing w:val="6"/>
                <w:kern w:val="2"/>
                <w:sz w:val="21"/>
                <w:szCs w:val="24"/>
              </w:rPr>
            </w:pPr>
            <w:r>
              <w:rPr>
                <w:rFonts w:hint="eastAsia" w:hAnsi="仿宋" w:cs="宋体"/>
                <w:b/>
                <w:bCs/>
                <w:spacing w:val="6"/>
                <w:kern w:val="2"/>
                <w:sz w:val="21"/>
                <w:szCs w:val="24"/>
              </w:rPr>
              <w:t>评价得分</w:t>
            </w:r>
          </w:p>
        </w:tc>
        <w:tc>
          <w:tcPr>
            <w:tcW w:w="2211" w:type="dxa"/>
            <w:tcBorders>
              <w:top w:val="single" w:color="auto" w:sz="4" w:space="0"/>
            </w:tcBorders>
            <w:vAlign w:val="center"/>
          </w:tcPr>
          <w:p w14:paraId="4C98DD54">
            <w:pPr>
              <w:widowControl w:val="0"/>
              <w:snapToGrid w:val="0"/>
              <w:spacing w:line="560" w:lineRule="exact"/>
              <w:jc w:val="center"/>
              <w:rPr>
                <w:rFonts w:hAnsi="仿宋" w:cs="宋体"/>
                <w:b/>
                <w:bCs/>
                <w:spacing w:val="6"/>
                <w:kern w:val="2"/>
                <w:sz w:val="21"/>
                <w:szCs w:val="24"/>
              </w:rPr>
            </w:pPr>
            <w:r>
              <w:rPr>
                <w:rFonts w:hint="eastAsia" w:hAnsi="仿宋" w:cs="宋体"/>
                <w:b/>
                <w:bCs/>
                <w:spacing w:val="6"/>
                <w:kern w:val="2"/>
                <w:sz w:val="21"/>
                <w:szCs w:val="24"/>
              </w:rPr>
              <w:t>得分率</w:t>
            </w:r>
          </w:p>
        </w:tc>
      </w:tr>
      <w:tr w14:paraId="7CEF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2212" w:type="dxa"/>
            <w:vAlign w:val="center"/>
          </w:tcPr>
          <w:p w14:paraId="5D47BC21">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决策</w:t>
            </w:r>
          </w:p>
        </w:tc>
        <w:tc>
          <w:tcPr>
            <w:tcW w:w="2211" w:type="dxa"/>
            <w:vAlign w:val="center"/>
          </w:tcPr>
          <w:p w14:paraId="46B5E56B">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18</w:t>
            </w:r>
          </w:p>
        </w:tc>
        <w:tc>
          <w:tcPr>
            <w:tcW w:w="2211" w:type="dxa"/>
            <w:vAlign w:val="center"/>
          </w:tcPr>
          <w:p w14:paraId="6A8001A7">
            <w:pPr>
              <w:spacing w:line="560" w:lineRule="exact"/>
              <w:jc w:val="center"/>
              <w:textAlignment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2211" w:type="dxa"/>
            <w:vAlign w:val="center"/>
          </w:tcPr>
          <w:p w14:paraId="057705ED">
            <w:pPr>
              <w:spacing w:line="560" w:lineRule="exact"/>
              <w:jc w:val="center"/>
              <w:textAlignment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100%</w:t>
            </w:r>
          </w:p>
        </w:tc>
      </w:tr>
      <w:tr w14:paraId="2106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14:paraId="45B0D0FE">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过程</w:t>
            </w:r>
          </w:p>
        </w:tc>
        <w:tc>
          <w:tcPr>
            <w:tcW w:w="2211" w:type="dxa"/>
            <w:vAlign w:val="center"/>
          </w:tcPr>
          <w:p w14:paraId="0BFA2BB5">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22</w:t>
            </w:r>
          </w:p>
        </w:tc>
        <w:tc>
          <w:tcPr>
            <w:tcW w:w="2211" w:type="dxa"/>
            <w:vAlign w:val="center"/>
          </w:tcPr>
          <w:p w14:paraId="3F584CA5">
            <w:pPr>
              <w:spacing w:line="560" w:lineRule="exact"/>
              <w:jc w:val="center"/>
              <w:textAlignment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21</w:t>
            </w:r>
          </w:p>
        </w:tc>
        <w:tc>
          <w:tcPr>
            <w:tcW w:w="2211" w:type="dxa"/>
            <w:vAlign w:val="center"/>
          </w:tcPr>
          <w:p w14:paraId="05266870">
            <w:pPr>
              <w:spacing w:line="560" w:lineRule="exact"/>
              <w:jc w:val="center"/>
              <w:textAlignment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95.45%</w:t>
            </w:r>
          </w:p>
        </w:tc>
      </w:tr>
      <w:tr w14:paraId="488E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14:paraId="727F6093">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产出</w:t>
            </w:r>
          </w:p>
        </w:tc>
        <w:tc>
          <w:tcPr>
            <w:tcW w:w="2211" w:type="dxa"/>
            <w:vAlign w:val="center"/>
          </w:tcPr>
          <w:p w14:paraId="79D7A5EB">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40</w:t>
            </w:r>
          </w:p>
        </w:tc>
        <w:tc>
          <w:tcPr>
            <w:tcW w:w="2211" w:type="dxa"/>
            <w:vAlign w:val="center"/>
          </w:tcPr>
          <w:p w14:paraId="50BE0942">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40</w:t>
            </w:r>
          </w:p>
        </w:tc>
        <w:tc>
          <w:tcPr>
            <w:tcW w:w="2211" w:type="dxa"/>
            <w:vAlign w:val="center"/>
          </w:tcPr>
          <w:p w14:paraId="43399EF6">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100%</w:t>
            </w:r>
          </w:p>
        </w:tc>
      </w:tr>
      <w:tr w14:paraId="376E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14:paraId="5E935016">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效益</w:t>
            </w:r>
          </w:p>
        </w:tc>
        <w:tc>
          <w:tcPr>
            <w:tcW w:w="2211" w:type="dxa"/>
            <w:vAlign w:val="center"/>
          </w:tcPr>
          <w:p w14:paraId="11CCD60B">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20</w:t>
            </w:r>
          </w:p>
        </w:tc>
        <w:tc>
          <w:tcPr>
            <w:tcW w:w="2211" w:type="dxa"/>
            <w:vAlign w:val="center"/>
          </w:tcPr>
          <w:p w14:paraId="6DA1A63B">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20</w:t>
            </w:r>
          </w:p>
        </w:tc>
        <w:tc>
          <w:tcPr>
            <w:tcW w:w="2211" w:type="dxa"/>
            <w:vAlign w:val="center"/>
          </w:tcPr>
          <w:p w14:paraId="44DC58EA">
            <w:pPr>
              <w:spacing w:line="560" w:lineRule="exact"/>
              <w:jc w:val="center"/>
              <w:textAlignment w:val="center"/>
              <w:rPr>
                <w:rFonts w:ascii="仿宋" w:hAnsi="仿宋" w:eastAsia="仿宋" w:cs="仿宋"/>
                <w:sz w:val="21"/>
                <w:szCs w:val="21"/>
              </w:rPr>
            </w:pPr>
            <w:r>
              <w:rPr>
                <w:rFonts w:hint="eastAsia" w:ascii="仿宋" w:hAnsi="仿宋" w:eastAsia="仿宋" w:cs="仿宋"/>
                <w:sz w:val="21"/>
                <w:szCs w:val="21"/>
              </w:rPr>
              <w:t>100%</w:t>
            </w:r>
          </w:p>
        </w:tc>
      </w:tr>
      <w:tr w14:paraId="5382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2212" w:type="dxa"/>
            <w:vAlign w:val="center"/>
          </w:tcPr>
          <w:p w14:paraId="20CD6BEF">
            <w:pPr>
              <w:spacing w:line="560" w:lineRule="exact"/>
              <w:jc w:val="center"/>
              <w:textAlignment w:val="center"/>
              <w:rPr>
                <w:rFonts w:ascii="仿宋" w:hAnsi="仿宋" w:eastAsia="仿宋" w:cs="仿宋"/>
                <w:b/>
                <w:bCs/>
                <w:sz w:val="21"/>
                <w:szCs w:val="21"/>
              </w:rPr>
            </w:pPr>
            <w:r>
              <w:rPr>
                <w:rFonts w:hint="eastAsia" w:ascii="仿宋" w:hAnsi="仿宋" w:eastAsia="仿宋" w:cs="仿宋"/>
                <w:b/>
                <w:bCs/>
                <w:sz w:val="21"/>
                <w:szCs w:val="21"/>
              </w:rPr>
              <w:t>合 计</w:t>
            </w:r>
          </w:p>
        </w:tc>
        <w:tc>
          <w:tcPr>
            <w:tcW w:w="2211" w:type="dxa"/>
            <w:vAlign w:val="center"/>
          </w:tcPr>
          <w:p w14:paraId="1FAF1738">
            <w:pPr>
              <w:spacing w:line="560" w:lineRule="exact"/>
              <w:jc w:val="center"/>
              <w:textAlignment w:val="center"/>
              <w:rPr>
                <w:rFonts w:ascii="仿宋" w:hAnsi="仿宋" w:eastAsia="仿宋" w:cs="仿宋"/>
                <w:b/>
                <w:bCs/>
                <w:sz w:val="21"/>
                <w:szCs w:val="21"/>
              </w:rPr>
            </w:pPr>
            <w:r>
              <w:rPr>
                <w:rFonts w:hint="eastAsia" w:ascii="仿宋" w:hAnsi="仿宋" w:eastAsia="仿宋" w:cs="仿宋"/>
                <w:b/>
                <w:bCs/>
                <w:sz w:val="21"/>
                <w:szCs w:val="21"/>
              </w:rPr>
              <w:t>100</w:t>
            </w:r>
          </w:p>
        </w:tc>
        <w:tc>
          <w:tcPr>
            <w:tcW w:w="2211" w:type="dxa"/>
            <w:vAlign w:val="center"/>
          </w:tcPr>
          <w:p w14:paraId="367E7D78">
            <w:pPr>
              <w:spacing w:line="560" w:lineRule="exact"/>
              <w:jc w:val="center"/>
              <w:textAlignment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99</w:t>
            </w:r>
          </w:p>
        </w:tc>
        <w:tc>
          <w:tcPr>
            <w:tcW w:w="2211" w:type="dxa"/>
            <w:vAlign w:val="center"/>
          </w:tcPr>
          <w:p w14:paraId="4631FDE4">
            <w:pPr>
              <w:spacing w:line="560" w:lineRule="exact"/>
              <w:jc w:val="center"/>
              <w:textAlignment w:val="center"/>
              <w:rPr>
                <w:rFonts w:ascii="仿宋" w:hAnsi="仿宋" w:eastAsia="仿宋" w:cs="仿宋"/>
                <w:b/>
                <w:bCs/>
                <w:sz w:val="21"/>
                <w:szCs w:val="21"/>
              </w:rPr>
            </w:pPr>
            <w:r>
              <w:rPr>
                <w:rFonts w:hint="eastAsia" w:ascii="仿宋" w:hAnsi="仿宋" w:eastAsia="仿宋" w:cs="仿宋"/>
                <w:b/>
                <w:bCs/>
                <w:sz w:val="21"/>
                <w:szCs w:val="21"/>
                <w:lang w:val="en-US" w:eastAsia="zh-CN"/>
              </w:rPr>
              <w:t>99</w:t>
            </w:r>
            <w:r>
              <w:rPr>
                <w:rFonts w:hint="eastAsia" w:ascii="仿宋" w:hAnsi="仿宋" w:eastAsia="仿宋" w:cs="仿宋"/>
                <w:b/>
                <w:bCs/>
                <w:sz w:val="21"/>
                <w:szCs w:val="21"/>
              </w:rPr>
              <w:t>%</w:t>
            </w:r>
          </w:p>
        </w:tc>
      </w:tr>
    </w:tbl>
    <w:p w14:paraId="2AFFE7F5">
      <w:pPr>
        <w:spacing w:line="56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综合结论评价结论：五华区纪委监委在巡察经费中立项根据相关文件规定设立，立项程序规范，资金使用和管理基本合规，区纪委监委根据实施方案按时按质地完成了三轮的巡察工作任务，党内巡察利剑高悬，震慑常在。</w:t>
      </w:r>
    </w:p>
    <w:p w14:paraId="12A8DABB">
      <w:pPr>
        <w:spacing w:line="560" w:lineRule="exact"/>
        <w:ind w:left="440" w:left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（二）绩效目标实现情况</w:t>
      </w:r>
    </w:p>
    <w:p w14:paraId="09E30A1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根据评价情况，本项目绩效目标基本实现，15项具体绩效指标中有14项实现预期目标，13项未完全实现预期目标，具体完成情况详见附件1。</w:t>
      </w:r>
    </w:p>
    <w:p w14:paraId="2C066365">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四、绩效评价指标分析</w:t>
      </w:r>
    </w:p>
    <w:p w14:paraId="3D43A6A6">
      <w:pPr>
        <w:widowControl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（一）项目决策情况分析</w:t>
      </w:r>
    </w:p>
    <w:p w14:paraId="25E9D92A">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项目决策指标满分为18分，评价得分</w:t>
      </w: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分，综合得分率为</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p>
    <w:p w14:paraId="53223532">
      <w:pPr>
        <w:pStyle w:val="3"/>
        <w:spacing w:line="560" w:lineRule="exact"/>
        <w:ind w:left="0"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1.项目立项</w:t>
      </w:r>
    </w:p>
    <w:p w14:paraId="08B799F6">
      <w:pPr>
        <w:pStyle w:val="3"/>
        <w:spacing w:line="560" w:lineRule="exact"/>
        <w:ind w:left="0"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项目立项指标满分6分，此项综合评价得分为6分，综合得分率为100.00%。针对立项依据充分性、立项程序规范性两个方面进行评价。</w:t>
      </w:r>
    </w:p>
    <w:p w14:paraId="79C26A32">
      <w:pPr>
        <w:pStyle w:val="3"/>
        <w:spacing w:line="560" w:lineRule="exact"/>
        <w:ind w:left="0"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2.绩效目标</w:t>
      </w:r>
    </w:p>
    <w:p w14:paraId="2C34E95E">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绩效目标指标满分6分，此项综合评价得分为</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分，综合得分率为</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%。针对绩效目标合理性、绩效指标明确性两个方面进行评价。</w:t>
      </w:r>
    </w:p>
    <w:p w14:paraId="00A079A9">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3.资金投入</w:t>
      </w:r>
    </w:p>
    <w:p w14:paraId="4C88F564">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资金投入指标满分6分，此项综合评价得分为6分，综合得分率为100%。本项目预算编制程序规范，提供了相关测算明细。针对预算编制科学性、资金分配合理性</w:t>
      </w:r>
    </w:p>
    <w:p w14:paraId="153E045A">
      <w:pPr>
        <w:widowControl w:val="0"/>
        <w:spacing w:line="560" w:lineRule="exact"/>
        <w:ind w:firstLine="640" w:firstLineChars="200"/>
        <w:rPr>
          <w:rFonts w:ascii="楷体_GB2312" w:hAnsi="楷体_GB2312" w:eastAsia="楷体_GB2312" w:cs="楷体_GB2312"/>
          <w:sz w:val="32"/>
          <w:szCs w:val="32"/>
        </w:rPr>
      </w:pPr>
      <w:bookmarkStart w:id="0" w:name="_Toc13990"/>
      <w:bookmarkStart w:id="1" w:name="_Toc598"/>
      <w:r>
        <w:rPr>
          <w:rFonts w:hint="eastAsia" w:ascii="楷体_GB2312" w:hAnsi="楷体_GB2312" w:eastAsia="楷体_GB2312" w:cs="楷体_GB2312"/>
          <w:sz w:val="32"/>
          <w:szCs w:val="32"/>
        </w:rPr>
        <w:t>（二）</w:t>
      </w:r>
      <w:bookmarkEnd w:id="0"/>
      <w:r>
        <w:rPr>
          <w:rFonts w:hint="eastAsia" w:ascii="楷体_GB2312" w:hAnsi="楷体_GB2312" w:eastAsia="楷体_GB2312" w:cs="楷体_GB2312"/>
          <w:sz w:val="32"/>
          <w:szCs w:val="32"/>
        </w:rPr>
        <w:t>项目过程情况分析</w:t>
      </w:r>
      <w:bookmarkEnd w:id="1"/>
    </w:p>
    <w:p w14:paraId="3BD243A5">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项目过程指标满分22分，评价得分2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分，综合得分率为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6257CEF9">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1.资金管理</w:t>
      </w:r>
    </w:p>
    <w:p w14:paraId="5255FB3E">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资金管理指标满分7分，此项综合评价得分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分，综合得分率为</w:t>
      </w:r>
      <w:r>
        <w:rPr>
          <w:rFonts w:hint="eastAsia" w:ascii="仿宋_GB2312" w:hAnsi="仿宋_GB2312" w:eastAsia="仿宋_GB2312" w:cs="仿宋_GB2312"/>
          <w:sz w:val="32"/>
          <w:szCs w:val="32"/>
          <w:lang w:val="en-US" w:eastAsia="zh-CN"/>
        </w:rPr>
        <w:t>85.7</w:t>
      </w:r>
      <w:r>
        <w:rPr>
          <w:rFonts w:hint="eastAsia" w:ascii="仿宋_GB2312" w:hAnsi="仿宋_GB2312" w:eastAsia="仿宋_GB2312" w:cs="仿宋_GB2312"/>
          <w:sz w:val="32"/>
          <w:szCs w:val="32"/>
        </w:rPr>
        <w:t>%。针对资金到位率、预算执行率、资金使用合规性两个方面进行评价。</w:t>
      </w:r>
    </w:p>
    <w:p w14:paraId="6E8DBB16">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2.组织实施</w:t>
      </w:r>
    </w:p>
    <w:p w14:paraId="735AD5F3">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组织实施指标满分8分，综合评价得分8分，综合得分率100%。针对管理制度健全性、制度执行有效性两个方面进行评价。</w:t>
      </w:r>
    </w:p>
    <w:p w14:paraId="30F566CC">
      <w:pPr>
        <w:widowControl w:val="0"/>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（三）项目产出情况分析</w:t>
      </w:r>
    </w:p>
    <w:p w14:paraId="02F934AC">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项目产出指标满分48分，评价得分45分，综合得分率为93.75%。</w:t>
      </w:r>
    </w:p>
    <w:p w14:paraId="48761993">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1.产出数量</w:t>
      </w:r>
    </w:p>
    <w:p w14:paraId="088DE51E">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产出数量指标满分20分，此项综合评价得分20分，综合得分率为100%。针对巡察单位数量进行评价。</w:t>
      </w:r>
    </w:p>
    <w:p w14:paraId="10C66027">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2.产出质量</w:t>
      </w:r>
    </w:p>
    <w:p w14:paraId="2F9C25B5">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产出质量指标满分20分，综合评价得分20分，综合得分率100%。针对、巡察问题线索处置率进行评价。</w:t>
      </w:r>
    </w:p>
    <w:p w14:paraId="1AFF17AC">
      <w:pPr>
        <w:widowControl w:val="0"/>
        <w:numPr>
          <w:ilvl w:val="0"/>
          <w:numId w:val="2"/>
        </w:num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项目效益情况分析</w:t>
      </w:r>
    </w:p>
    <w:p w14:paraId="3F088115">
      <w:pPr>
        <w:pStyle w:val="2"/>
        <w:spacing w:line="560" w:lineRule="exact"/>
        <w:ind w:firstLine="640" w:firstLineChars="200"/>
      </w:pPr>
      <w:r>
        <w:rPr>
          <w:rFonts w:hint="eastAsia" w:ascii="仿宋_GB2312" w:hAnsi="仿宋_GB2312" w:eastAsia="仿宋_GB2312" w:cs="仿宋_GB2312"/>
          <w:sz w:val="32"/>
          <w:szCs w:val="32"/>
        </w:rPr>
        <w:t>项目效益</w:t>
      </w:r>
      <w:r>
        <w:rPr>
          <w:rFonts w:hint="eastAsia" w:ascii="仿宋_GB2312" w:hAnsi="仿宋_GB2312" w:eastAsia="仿宋_GB2312" w:cs="仿宋_GB2312"/>
          <w:kern w:val="0"/>
          <w:sz w:val="32"/>
          <w:szCs w:val="32"/>
        </w:rPr>
        <w:t>指标满分20分，评价得分20分，综合得分率为100.00%。</w:t>
      </w:r>
    </w:p>
    <w:p w14:paraId="53E40206">
      <w:pPr>
        <w:numPr>
          <w:ilvl w:val="0"/>
          <w:numId w:val="3"/>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主要经验及做法</w:t>
      </w:r>
    </w:p>
    <w:p w14:paraId="5D3033AC">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强化组织领导，落实普查工作责任。五华区纪委监委以习近平新时代中国特色社会主义思想为指导，牢固树立和贯彻落实新发展理念，统筹推进巡察工作，划分并明确了负责人的职责分工，强化了组织领导、力量保障、经费保障工作，为完成巡察工作任务奠定了良好的基础。</w:t>
      </w:r>
    </w:p>
    <w:p w14:paraId="258C079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六、存在的问题及原因分析</w:t>
      </w:r>
    </w:p>
    <w:p w14:paraId="07E68728">
      <w:pPr>
        <w:widowControl w:val="0"/>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指标不够细化和量化，支出效益反映不足。项目绩效指标明确性不够突出、细化程度不够，未将部分绩效目标细化分解为清晰、可衡量的绩效指标。经济效益、环境效益评价标准没有进行量化和具体阐述，不能有效衡量项目的产出效益。</w:t>
      </w:r>
    </w:p>
    <w:p w14:paraId="1E01499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七、有关建议</w:t>
      </w:r>
    </w:p>
    <w:p w14:paraId="616E1583">
      <w:pPr>
        <w:pStyle w:val="2"/>
        <w:spacing w:line="560" w:lineRule="exact"/>
        <w:ind w:firstLine="640" w:firstLineChars="200"/>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（一）提高目标编制系统性，全面反映项目预期效益</w:t>
      </w:r>
    </w:p>
    <w:p w14:paraId="77117AFD">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项目预算目标制定及实施的全过程要坚持整体系统思维，将项目的实施效果与绩效评价结果判定紧密结合，在实施过程中注意利用绩效指标随时监测项目的实施情况，工作计划与绩效评价指标体系紧密结合能更进一步促进项目的实施成效。为此，必须进一步加强绩效目标的细化性及量化性。结合本项目实际，主要是项目绩效目标申报应做到三级指标具体、明确、细化、可量化，尽可能体现项目执行过程中的发生的业务数量和完成程度。例如，在本次绩效评价工作中，修订绩效目标表时，评价组增加了培训通过率、宣传品发放率等可量化指标衡量项目产出，用群众满意度和调查员满意度衡量服务对象满意度。综上所述，建议项目绩效目标的设立要与项目性质和实施方向相符合，绩效指标体系要尽可能直观、全面反映项目的实际效益，项目产出与绩效指标体系指标要科学融合。</w:t>
      </w:r>
    </w:p>
    <w:p w14:paraId="5352A3CA">
      <w:pPr>
        <w:pStyle w:val="2"/>
        <w:spacing w:line="560" w:lineRule="exact"/>
        <w:ind w:left="440" w:leftChars="200"/>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（二）提高预算编报科学性，全面提高预算编制质量</w:t>
      </w:r>
    </w:p>
    <w:p w14:paraId="72BDFD4B">
      <w:pPr>
        <w:pStyle w:val="2"/>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进一步提升部门预算编报的科学性，提高预算准确性。完善项目可行性分析，细化项目实施子活动，科学测算项目活动支出明细，设置项目绩效目标，量化项目绩效指标。一是对每一个项目明确立项依据，立项依据不能仅填报普适性的法律、标准规范依据，要有针对性地体现具体项目立项必要性、重要性等。二是尽快研究制定相关支出标准，根据支出标准及项目需求，细化项目资金测算，提升预算编制的精细化水平。三是在项目审核时，对项目测算中不允许列支的事项，一律不作为测算依据；对项目资金测算不精准、不科学的，核减其预算资金数额。科学合理统筹规划部门预算金额，降低预算调整率，加强预算执行管理，提高预算执行率和效果。</w:t>
      </w:r>
    </w:p>
    <w:p w14:paraId="3C5E8EA9">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八、其他需要说明的问题</w:t>
      </w:r>
    </w:p>
    <w:p w14:paraId="7C22A6A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78A9024E">
      <w:pPr>
        <w:pStyle w:val="2"/>
        <w:rPr>
          <w:rFonts w:hint="eastAsia"/>
        </w:rPr>
      </w:pPr>
    </w:p>
    <w:p w14:paraId="22E60AA0">
      <w:pPr>
        <w:pStyle w:val="3"/>
        <w:rPr>
          <w:rFonts w:hint="eastAsia"/>
        </w:rPr>
      </w:pPr>
    </w:p>
    <w:p w14:paraId="3BDCC953">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中共五华区纪委</w:t>
      </w:r>
    </w:p>
    <w:p w14:paraId="18EA057A">
      <w:pPr>
        <w:pStyle w:val="2"/>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FE79D2-C813-41EC-A1BF-19219FAA3D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FC8A19B4-9714-4FF3-9061-DE05F6002FC6}"/>
  </w:font>
  <w:font w:name="仿宋_GB2312">
    <w:panose1 w:val="02010609030101010101"/>
    <w:charset w:val="86"/>
    <w:family w:val="modern"/>
    <w:pitch w:val="default"/>
    <w:sig w:usb0="00000001" w:usb1="080E0000" w:usb2="00000000" w:usb3="00000000" w:csb0="00040000" w:csb1="00000000"/>
    <w:embedRegular r:id="rId3" w:fontKey="{AC26B834-C4F2-4022-9846-2363967CB1B9}"/>
  </w:font>
  <w:font w:name="楷体_GB2312">
    <w:panose1 w:val="02010609030101010101"/>
    <w:charset w:val="86"/>
    <w:family w:val="modern"/>
    <w:pitch w:val="default"/>
    <w:sig w:usb0="00000001" w:usb1="080E0000" w:usb2="00000000" w:usb3="00000000" w:csb0="00040000" w:csb1="00000000"/>
    <w:embedRegular r:id="rId4" w:fontKey="{97C30D8C-AFE5-4356-B3F7-1BB8B2A683C8}"/>
  </w:font>
  <w:font w:name="仿宋">
    <w:panose1 w:val="02010609060101010101"/>
    <w:charset w:val="86"/>
    <w:family w:val="modern"/>
    <w:pitch w:val="default"/>
    <w:sig w:usb0="800002BF" w:usb1="38CF7CFA" w:usb2="00000016" w:usb3="00000000" w:csb0="00040001" w:csb1="00000000"/>
    <w:embedRegular r:id="rId5" w:fontKey="{3DF61BCC-EE89-4CB5-8903-B6628DAD980B}"/>
  </w:font>
  <w:font w:name="WPSEMBED1">
    <w:panose1 w:val="02000000000000000000"/>
    <w:charset w:val="86"/>
    <w:family w:val="auto"/>
    <w:pitch w:val="default"/>
    <w:sig w:usb0="A00002BF" w:usb1="184F6CFA" w:usb2="00000012" w:usb3="00000000" w:csb0="00040001"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5A10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AA561">
                          <w:pPr>
                            <w:pStyle w:val="5"/>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3AA561">
                    <w:pPr>
                      <w:pStyle w:val="5"/>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CDBD6"/>
    <w:multiLevelType w:val="singleLevel"/>
    <w:tmpl w:val="85CCDBD6"/>
    <w:lvl w:ilvl="0" w:tentative="0">
      <w:start w:val="2"/>
      <w:numFmt w:val="chineseCounting"/>
      <w:suff w:val="nothing"/>
      <w:lvlText w:val="（%1）"/>
      <w:lvlJc w:val="left"/>
      <w:rPr>
        <w:rFonts w:hint="eastAsia"/>
      </w:rPr>
    </w:lvl>
  </w:abstractNum>
  <w:abstractNum w:abstractNumId="1">
    <w:nsid w:val="B1BD417D"/>
    <w:multiLevelType w:val="singleLevel"/>
    <w:tmpl w:val="B1BD417D"/>
    <w:lvl w:ilvl="0" w:tentative="0">
      <w:start w:val="5"/>
      <w:numFmt w:val="chineseCounting"/>
      <w:suff w:val="nothing"/>
      <w:lvlText w:val="%1、"/>
      <w:lvlJc w:val="left"/>
      <w:rPr>
        <w:rFonts w:hint="eastAsia"/>
      </w:rPr>
    </w:lvl>
  </w:abstractNum>
  <w:abstractNum w:abstractNumId="2">
    <w:nsid w:val="B35F5F78"/>
    <w:multiLevelType w:val="singleLevel"/>
    <w:tmpl w:val="B35F5F78"/>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3YzZhZDk5ZDdiNWNmZGY4NWZmOTczNWNiM2EzZTEifQ=="/>
  </w:docVars>
  <w:rsids>
    <w:rsidRoot w:val="4A0D449E"/>
    <w:rsid w:val="000D681C"/>
    <w:rsid w:val="001B5CD3"/>
    <w:rsid w:val="001E3912"/>
    <w:rsid w:val="00283368"/>
    <w:rsid w:val="00283954"/>
    <w:rsid w:val="00325118"/>
    <w:rsid w:val="003A675F"/>
    <w:rsid w:val="00427385"/>
    <w:rsid w:val="00562EBD"/>
    <w:rsid w:val="00660055"/>
    <w:rsid w:val="008C3FCA"/>
    <w:rsid w:val="009D13C8"/>
    <w:rsid w:val="00D92038"/>
    <w:rsid w:val="00E9519F"/>
    <w:rsid w:val="00FA4BEF"/>
    <w:rsid w:val="00FC3257"/>
    <w:rsid w:val="03F751D8"/>
    <w:rsid w:val="0492207E"/>
    <w:rsid w:val="0B920249"/>
    <w:rsid w:val="11BD2FD6"/>
    <w:rsid w:val="12A6695F"/>
    <w:rsid w:val="14535B1A"/>
    <w:rsid w:val="179E57D5"/>
    <w:rsid w:val="1F8D7E91"/>
    <w:rsid w:val="25E03162"/>
    <w:rsid w:val="27086AFF"/>
    <w:rsid w:val="2B145890"/>
    <w:rsid w:val="39D117B5"/>
    <w:rsid w:val="3C502420"/>
    <w:rsid w:val="41B853E2"/>
    <w:rsid w:val="480507C3"/>
    <w:rsid w:val="4A0D449E"/>
    <w:rsid w:val="560119C8"/>
    <w:rsid w:val="59591B29"/>
    <w:rsid w:val="61E46E4D"/>
    <w:rsid w:val="65836DB6"/>
    <w:rsid w:val="688F305E"/>
    <w:rsid w:val="6BC73B27"/>
    <w:rsid w:val="6F873BF8"/>
    <w:rsid w:val="77153D08"/>
    <w:rsid w:val="79070F67"/>
    <w:rsid w:val="7DE40135"/>
    <w:rsid w:val="7E9B1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lang w:val="en-US" w:eastAsia="zh-CN" w:bidi="ar-SA"/>
    </w:rPr>
  </w:style>
  <w:style w:type="paragraph" w:styleId="4">
    <w:name w:val="heading 2"/>
    <w:basedOn w:val="1"/>
    <w:next w:val="1"/>
    <w:unhideWhenUsed/>
    <w:qFormat/>
    <w:uiPriority w:val="0"/>
    <w:pPr>
      <w:keepNext/>
      <w:keepLines/>
      <w:spacing w:line="600" w:lineRule="exact"/>
      <w:ind w:firstLine="880" w:firstLineChars="200"/>
      <w:outlineLvl w:val="1"/>
    </w:pPr>
    <w:rPr>
      <w:rFonts w:ascii="Arial" w:hAnsi="Arial" w:eastAsia="楷体"/>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3">
    <w:name w:val="toc 5"/>
    <w:next w:val="1"/>
    <w:unhideWhenUsed/>
    <w:qFormat/>
    <w:uiPriority w:val="39"/>
    <w:pPr>
      <w:widowControl w:val="0"/>
      <w:ind w:left="840"/>
    </w:pPr>
    <w:rPr>
      <w:rFonts w:cs="Calibri" w:asciiTheme="minorHAnsi" w:hAnsiTheme="minorHAnsi" w:eastAsiaTheme="minorEastAsia"/>
      <w:kern w:val="2"/>
      <w:sz w:val="18"/>
      <w:szCs w:val="18"/>
      <w:lang w:val="en-US" w:eastAsia="zh-CN" w:bidi="ar-SA"/>
    </w:rPr>
  </w:style>
  <w:style w:type="paragraph" w:styleId="5">
    <w:name w:val="footer"/>
    <w:basedOn w:val="1"/>
    <w:link w:val="10"/>
    <w:qFormat/>
    <w:uiPriority w:val="0"/>
    <w:pPr>
      <w:tabs>
        <w:tab w:val="center" w:pos="4153"/>
        <w:tab w:val="right" w:pos="8306"/>
      </w:tabs>
      <w:snapToGrid w:val="0"/>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sz w:val="18"/>
      <w:szCs w:val="18"/>
    </w:rPr>
  </w:style>
  <w:style w:type="character" w:customStyle="1" w:styleId="10">
    <w:name w:val="页脚 Char"/>
    <w:basedOn w:val="8"/>
    <w:link w:val="5"/>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昆明市五华区党政机关单位</Company>
  <Pages>10</Pages>
  <Words>4191</Words>
  <Characters>4352</Characters>
  <Lines>31</Lines>
  <Paragraphs>8</Paragraphs>
  <TotalTime>8</TotalTime>
  <ScaleCrop>false</ScaleCrop>
  <LinksUpToDate>false</LinksUpToDate>
  <CharactersWithSpaces>4353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2023-05-29T09:13:00Z</dcterms:created>
  <dc:creator>旁观者</dc:creator>
  <cp:lastModifiedBy>学而知之</cp:lastModifiedBy>
  <cp:lastPrinted>2024-06-03T07:37:00Z</cp:lastPrinted>
  <dcterms:modified xsi:type="dcterms:W3CDTF">2025-11-10T07:44:36Z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870BCD50F75C479C91440A7E6C6D4D27_13</vt:lpwstr>
  </property>
  <property fmtid="{D5CDD505-2E9C-101B-9397-08002B2CF9AE}" pid="4" name="KSOTemplateDocerSaveRecord">
    <vt:lpwstr>eyJoZGlkIjoiNDlhYTc5NDc4NDUxMTc0YzljM2FkNzNkNjQyOGQ0Y2EiLCJ1c2VySWQiOiIxOTk2MjU0OTkifQ==</vt:lpwstr>
  </property>
</Properties>
</file>