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04" w:rsidRPr="00740C04" w:rsidRDefault="00740C04" w:rsidP="00740C04">
      <w:pPr>
        <w:overflowPunct w:val="0"/>
        <w:spacing w:line="579" w:lineRule="exact"/>
        <w:jc w:val="center"/>
        <w:outlineLvl w:val="0"/>
        <w:rPr>
          <w:rFonts w:ascii="黑体" w:eastAsia="黑体" w:hAnsi="黑体"/>
          <w:sz w:val="44"/>
          <w:szCs w:val="44"/>
        </w:rPr>
      </w:pPr>
      <w:bookmarkStart w:id="0" w:name="_Toc8227"/>
      <w:bookmarkStart w:id="1" w:name="_GoBack"/>
      <w:bookmarkEnd w:id="1"/>
      <w:r w:rsidRPr="00740C04">
        <w:rPr>
          <w:rFonts w:ascii="黑体" w:eastAsia="黑体" w:hAnsi="黑体" w:hint="eastAsia"/>
          <w:sz w:val="44"/>
          <w:szCs w:val="44"/>
        </w:rPr>
        <w:t>摘  要</w:t>
      </w:r>
      <w:bookmarkEnd w:id="0"/>
    </w:p>
    <w:p w:rsidR="00740C04" w:rsidRDefault="00740C04" w:rsidP="00740C04">
      <w:pPr>
        <w:overflowPunct w:val="0"/>
        <w:spacing w:line="579" w:lineRule="exact"/>
        <w:ind w:firstLine="632"/>
        <w:rPr>
          <w:rFonts w:hAnsi="仿宋"/>
          <w:szCs w:val="30"/>
        </w:rPr>
      </w:pPr>
    </w:p>
    <w:p w:rsidR="00740C04" w:rsidRDefault="00740C04" w:rsidP="00740C04">
      <w:pPr>
        <w:overflowPunct w:val="0"/>
        <w:spacing w:line="590" w:lineRule="exact"/>
        <w:ind w:firstLine="629"/>
        <w:rPr>
          <w:rFonts w:ascii="黑体" w:eastAsia="黑体" w:hAnsi="黑体"/>
          <w:spacing w:val="6"/>
          <w:sz w:val="30"/>
          <w:szCs w:val="30"/>
        </w:rPr>
      </w:pPr>
      <w:r>
        <w:rPr>
          <w:rFonts w:ascii="黑体" w:eastAsia="黑体" w:hAnsi="黑体" w:hint="eastAsia"/>
          <w:spacing w:val="6"/>
          <w:sz w:val="30"/>
          <w:szCs w:val="30"/>
        </w:rPr>
        <w:t>一、基本情况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1.部门职责职能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昆明市五华区信访局是昆明市五华区政府工作部门，正科级。主要职责如下：负责接待群众来访，协调解决全区信访问题，推进信访法治化建设。负责做好辖区群众越级上访的疏导、劝返工作。承担信访联席会议办公室的日常工作。完成区委、区政府交办的其他任务。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2.机构设置及人员情况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（1）设置4个内设机构，包括：办公室（加挂审计科牌子）、接访科、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办信科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、协调联络科。所属事业单位1个，昆明市五华区群众来访接待中心。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（2）截至2024年12月底，部门编制岗位12人，其中：行政编制9人，事业编制3人。在职实有10人，其中：行政在编9人，事业在编1人，全部为财政全额保障。退休人员4人。另外，聘用辅助人员4人，全部为劳务派遣人员，在基本支出中保障。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3.部门预算收支情况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（1）预算批复情况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根据《昆明市五华区财政局〈关于批复2024年部门预算〉的通知》（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五财预总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〔2024〕5号）批复的收入预算529.66万元。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lastRenderedPageBreak/>
        <w:t>（2）预算收入情况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财政拨款收入557.13万元，其中：区级收入521.57万元、省级收入34.00万元、年初结转1.56万元。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（3）预算执行情况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基本支出决算数490.54万元，其中：人员经费473.29万元，比预算减少了1.45万元，主要因人员退休及社保费缴费基数调整。公用经费17.25万元，比预算减少5.38万元，主要因办公费、福利费减少。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项目支出决算数66.39万元，比预算增加了34.09万元，主要为新增2个省级项目、1个区级项目。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年末结转结余0.19万元，包含：（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五财社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〔2021〕12号）返还工会经费0.05万元、（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五财行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〔2022〕92号）区委政法委信访工作经费0.14万元。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30"/>
          <w:szCs w:val="30"/>
        </w:rPr>
        <w:t>4.部门整体工作情况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部门年度工作围绕十五项关键任务展开，保障高效运行。日常运转聚焦办公环境优化、物资供应及文件管理规范，夯实工作基础。设立信访接待窗口，分类登记并依法转办交办；重要信访建台</w:t>
      </w:r>
      <w:proofErr w:type="gramStart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账</w:t>
      </w:r>
      <w:proofErr w:type="gramEnd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落实领导包案，网络信访优化平台提升效率，同时加强法治化建设与政策宣传。上级交办任务迅速响应，确保按时高质量完成。党建工作严格落实组织生活，强化党风廉政建设发挥引领作用；领导接访下访深入基层解决难题，联席会议协调多部门破解复杂问题。信息服务通过多渠道收集分析，为党委、政府提供参考建议。队伍建设注重教育培训与作风提升，信访预警机制提</w:t>
      </w: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lastRenderedPageBreak/>
        <w:t>前防范风险。重点领域开展专项治理，规范市场秩序维护群众权益，促进社会和谐稳定。</w:t>
      </w:r>
    </w:p>
    <w:p w:rsidR="00740C04" w:rsidRDefault="00740C04" w:rsidP="00740C04">
      <w:pPr>
        <w:overflowPunct w:val="0"/>
        <w:spacing w:line="590" w:lineRule="exact"/>
        <w:ind w:firstLine="629"/>
        <w:rPr>
          <w:rFonts w:ascii="黑体" w:eastAsia="黑体" w:hAnsi="黑体"/>
          <w:spacing w:val="6"/>
          <w:sz w:val="30"/>
          <w:szCs w:val="30"/>
        </w:rPr>
      </w:pPr>
      <w:r>
        <w:rPr>
          <w:rFonts w:ascii="黑体" w:eastAsia="黑体" w:hAnsi="黑体" w:hint="eastAsia"/>
          <w:spacing w:val="6"/>
          <w:sz w:val="30"/>
          <w:szCs w:val="30"/>
        </w:rPr>
        <w:t>二、重点绩效评价结论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昆明市五华区信访局2024年部门整体支出重点绩效评价得分83.4分，评价等级为“良”。</w:t>
      </w:r>
    </w:p>
    <w:p w:rsidR="00740C04" w:rsidRDefault="00740C04" w:rsidP="00740C04">
      <w:pPr>
        <w:spacing w:line="590" w:lineRule="exact"/>
        <w:ind w:firstLineChars="200" w:firstLine="600"/>
        <w:rPr>
          <w:rFonts w:ascii="仿宋_GB2312" w:eastAsia="仿宋_GB2312" w:hAnsi="仿宋_GB2312" w:cs="仿宋_GB2312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部门决策结论是绩效目标设定符合政策文件及中长规划，与预算匹配，但</w:t>
      </w:r>
      <w:proofErr w:type="gramStart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缺部门</w:t>
      </w:r>
      <w:proofErr w:type="gramEnd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职责且有重复，未与2024年工作计划匹配。绩效目标已细化分解但部分指标冗长，培训类重复，部分指标相关性不足。管理效率结论是预算编制合</w:t>
      </w:r>
      <w:proofErr w:type="gramStart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规</w:t>
      </w:r>
      <w:proofErr w:type="gramEnd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但支出内容与目标不一致，部分制度不合</w:t>
      </w:r>
      <w:proofErr w:type="gramStart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规</w:t>
      </w:r>
      <w:proofErr w:type="gramEnd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且更新不及时。预算信息公开有问题，内控制度不完整。资金支出符合规定但审批手续不规范，绩效管理完整。运行成本结论是基本支出和“三公经费”控制良好，采购执行率达标，但预算调整和结转结余率超标。履职效能结论是综合考核、党建、案件受理及时但重点事项未全部完成。社会效益结论是信访处理</w:t>
      </w:r>
      <w:proofErr w:type="gramStart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较好但</w:t>
      </w:r>
      <w:proofErr w:type="gramEnd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预防不足，信访量上升。可持续发展结论是年度培训计划完成，收到</w:t>
      </w:r>
      <w:proofErr w:type="gramStart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人民网</w:t>
      </w:r>
      <w:proofErr w:type="gramEnd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感谢信。满意度结论是综合满意度</w:t>
      </w:r>
      <w:r>
        <w:rPr>
          <w:rFonts w:ascii="仿宋" w:eastAsia="仿宋" w:hAnsi="仿宋" w:cs="仿宋" w:hint="eastAsia"/>
          <w:kern w:val="30"/>
          <w:sz w:val="30"/>
          <w:szCs w:val="30"/>
        </w:rPr>
        <w:t>96.4%</w:t>
      </w: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，符合要求。</w:t>
      </w:r>
    </w:p>
    <w:p w:rsidR="00740C04" w:rsidRDefault="00740C04" w:rsidP="00740C04">
      <w:pPr>
        <w:overflowPunct w:val="0"/>
        <w:spacing w:line="590" w:lineRule="exact"/>
        <w:ind w:firstLine="629"/>
        <w:rPr>
          <w:rFonts w:ascii="黑体" w:eastAsia="黑体" w:hAnsi="黑体"/>
          <w:spacing w:val="6"/>
          <w:sz w:val="30"/>
          <w:szCs w:val="30"/>
        </w:rPr>
      </w:pPr>
      <w:r>
        <w:rPr>
          <w:rFonts w:ascii="黑体" w:eastAsia="黑体" w:hAnsi="黑体" w:hint="eastAsia"/>
          <w:spacing w:val="6"/>
          <w:sz w:val="30"/>
          <w:szCs w:val="30"/>
        </w:rPr>
        <w:t>三、主要经验及做法</w:t>
      </w:r>
    </w:p>
    <w:p w:rsidR="00740C04" w:rsidRDefault="00740C04" w:rsidP="00740C04">
      <w:pPr>
        <w:spacing w:line="590" w:lineRule="exact"/>
        <w:ind w:firstLine="632"/>
        <w:rPr>
          <w:rFonts w:ascii="仿宋_GB2312" w:eastAsia="仿宋_GB2312" w:hAnsi="仿宋_GB2312" w:cs="仿宋_GB2312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五华区制定《人民网留言办理工作规则》，规范网民留言回复流程，提升办理质量、效率和公信力。根据</w:t>
      </w:r>
      <w:proofErr w:type="gramStart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人民网</w:t>
      </w:r>
      <w:proofErr w:type="gramEnd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股份有限公司《感谢信》，2024年该区通过</w:t>
      </w:r>
      <w:proofErr w:type="gramStart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人民网</w:t>
      </w:r>
      <w:proofErr w:type="gramEnd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倾听民声、汇聚民智，推动留言回复量和影响力提升，综合表现领先，群众肯定。</w:t>
      </w:r>
    </w:p>
    <w:p w:rsidR="00740C04" w:rsidRDefault="00740C04" w:rsidP="00740C04">
      <w:pPr>
        <w:overflowPunct w:val="0"/>
        <w:spacing w:line="590" w:lineRule="exact"/>
        <w:ind w:firstLine="629"/>
        <w:rPr>
          <w:rFonts w:ascii="黑体" w:eastAsia="黑体" w:hAnsi="黑体"/>
          <w:spacing w:val="6"/>
          <w:sz w:val="30"/>
          <w:szCs w:val="30"/>
        </w:rPr>
      </w:pPr>
      <w:r>
        <w:rPr>
          <w:rFonts w:ascii="黑体" w:eastAsia="黑体" w:hAnsi="黑体" w:hint="eastAsia"/>
          <w:spacing w:val="6"/>
          <w:sz w:val="30"/>
          <w:szCs w:val="30"/>
        </w:rPr>
        <w:t>四、存在的主要问题</w:t>
      </w:r>
    </w:p>
    <w:p w:rsidR="00740C04" w:rsidRDefault="00740C04" w:rsidP="00740C04">
      <w:pPr>
        <w:spacing w:line="590" w:lineRule="exact"/>
        <w:ind w:firstLineChars="200" w:firstLine="600"/>
        <w:rPr>
          <w:rFonts w:ascii="楷体" w:eastAsia="楷体" w:hAnsi="楷体"/>
          <w:kern w:val="30"/>
          <w:sz w:val="30"/>
          <w:szCs w:val="30"/>
        </w:rPr>
      </w:pPr>
      <w:r>
        <w:rPr>
          <w:rFonts w:ascii="楷体" w:eastAsia="楷体" w:hAnsi="楷体" w:hint="eastAsia"/>
          <w:kern w:val="30"/>
          <w:sz w:val="30"/>
          <w:szCs w:val="30"/>
        </w:rPr>
        <w:lastRenderedPageBreak/>
        <w:t>（一）预算绩效管理待提升</w:t>
      </w:r>
    </w:p>
    <w:p w:rsidR="00740C04" w:rsidRDefault="00740C04" w:rsidP="00740C04">
      <w:pPr>
        <w:spacing w:line="590" w:lineRule="exact"/>
        <w:ind w:firstLineChars="200" w:firstLine="600"/>
        <w:rPr>
          <w:rFonts w:ascii="仿宋_GB2312" w:eastAsia="仿宋_GB2312" w:hAnsi="仿宋_GB2312" w:cs="仿宋_GB2312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1.绩效目标设置不完整。年度绩效目标中的部门职责与“三定方案”的职责不相符，与部门年度工作任务不匹配，如“八、将严格按要求完成高新区移交信访工作”未在年度工作任务中。</w:t>
      </w:r>
    </w:p>
    <w:p w:rsidR="00740C04" w:rsidRDefault="00740C04" w:rsidP="00740C04">
      <w:pPr>
        <w:spacing w:line="590" w:lineRule="exact"/>
        <w:ind w:firstLineChars="200" w:firstLine="600"/>
        <w:rPr>
          <w:rFonts w:ascii="仿宋_GB2312" w:eastAsia="仿宋_GB2312" w:hAnsi="仿宋_GB2312" w:cs="仿宋_GB2312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2.指标设置不准确。三级指标设置不简洁、重复，指标内容与部门履职相关性不足，与年度计划对应性一般，个别指标值与度量单位不匹配。</w:t>
      </w:r>
    </w:p>
    <w:p w:rsidR="00740C04" w:rsidRDefault="00740C04" w:rsidP="00740C04">
      <w:pPr>
        <w:spacing w:line="590" w:lineRule="exact"/>
        <w:ind w:firstLineChars="200" w:firstLine="600"/>
        <w:rPr>
          <w:rFonts w:ascii="仿宋_GB2312" w:eastAsia="仿宋_GB2312" w:hAnsi="仿宋_GB2312" w:cs="仿宋_GB2312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3.预算管理不规范。</w:t>
      </w:r>
      <w:r>
        <w:rPr>
          <w:rFonts w:ascii="仿宋_GB2312" w:eastAsia="仿宋_GB2312" w:hAnsi="仿宋_GB2312" w:cs="仿宋_GB2312" w:hint="eastAsia"/>
          <w:b/>
          <w:bCs/>
          <w:kern w:val="30"/>
          <w:sz w:val="30"/>
          <w:szCs w:val="30"/>
        </w:rPr>
        <w:t>一是</w:t>
      </w: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预算支出内容与部门年度目标不一致。如“残疾人就业保障金专项经费项目”未在年度绩效目标中。</w:t>
      </w:r>
      <w:r>
        <w:rPr>
          <w:rFonts w:ascii="仿宋_GB2312" w:eastAsia="仿宋_GB2312" w:hAnsi="仿宋_GB2312" w:cs="仿宋_GB2312" w:hint="eastAsia"/>
          <w:b/>
          <w:bCs/>
          <w:kern w:val="30"/>
          <w:sz w:val="30"/>
          <w:szCs w:val="30"/>
        </w:rPr>
        <w:t>二是</w:t>
      </w: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预算绩效制度不完整，未根据实际情况及时更新完善。</w:t>
      </w:r>
      <w:r>
        <w:rPr>
          <w:rFonts w:ascii="仿宋_GB2312" w:eastAsia="仿宋_GB2312" w:hAnsi="仿宋_GB2312" w:cs="仿宋_GB2312" w:hint="eastAsia"/>
          <w:b/>
          <w:bCs/>
          <w:kern w:val="30"/>
          <w:sz w:val="30"/>
          <w:szCs w:val="30"/>
        </w:rPr>
        <w:t>三是</w:t>
      </w: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预算信息公开内容存在多字错字，信息不准确情况。单位绩效管理意识不足、预算编制与部门职责及目标脱节、绩效指标设置不合理、信息公开审核不严。</w:t>
      </w:r>
    </w:p>
    <w:p w:rsidR="00740C04" w:rsidRDefault="00740C04" w:rsidP="00740C04">
      <w:pPr>
        <w:spacing w:line="590" w:lineRule="exact"/>
        <w:ind w:firstLineChars="200" w:firstLine="600"/>
        <w:rPr>
          <w:rFonts w:ascii="仿宋_GB2312" w:eastAsia="仿宋_GB2312" w:hAnsi="仿宋_GB2312" w:cs="仿宋_GB2312"/>
          <w:b/>
          <w:bCs/>
          <w:kern w:val="30"/>
          <w:sz w:val="30"/>
          <w:szCs w:val="30"/>
        </w:rPr>
      </w:pPr>
      <w:r>
        <w:rPr>
          <w:rFonts w:ascii="楷体" w:eastAsia="楷体" w:hAnsi="楷体" w:hint="eastAsia"/>
          <w:kern w:val="30"/>
          <w:sz w:val="30"/>
          <w:szCs w:val="30"/>
        </w:rPr>
        <w:t>（二）会计核算需加强</w:t>
      </w:r>
    </w:p>
    <w:p w:rsidR="00740C04" w:rsidRDefault="00740C04" w:rsidP="00740C04">
      <w:pPr>
        <w:spacing w:line="590" w:lineRule="exact"/>
        <w:ind w:firstLineChars="200" w:firstLine="600"/>
        <w:rPr>
          <w:rFonts w:ascii="仿宋_GB2312" w:eastAsia="仿宋_GB2312" w:hAnsi="仿宋_GB2312" w:cs="仿宋_GB2312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1.资金拨付审批手续不完整。如2024年3月记账31号凭证，支付法律服务费5万元，后</w:t>
      </w:r>
      <w:proofErr w:type="gramStart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附会议</w:t>
      </w:r>
      <w:proofErr w:type="gramEnd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纪要是审签合同内容，而不是大额支付。审批表使用错误，《五华区信访局大额资金使用审批表》与《五华区信访局资金使用审批表》混用，如2024年1月记账8号，支付2024年1月17日-2024年3月16日2名实习生意外伤害险保险费用+服务费。</w:t>
      </w:r>
    </w:p>
    <w:p w:rsidR="00740C04" w:rsidRDefault="00740C04" w:rsidP="00740C04">
      <w:pPr>
        <w:spacing w:line="590" w:lineRule="exact"/>
        <w:ind w:firstLineChars="200" w:firstLine="600"/>
        <w:rPr>
          <w:rFonts w:ascii="仿宋_GB2312" w:eastAsia="仿宋_GB2312" w:hAnsi="仿宋_GB2312" w:cs="仿宋_GB2312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2.个别会计凭证附件不完整。缺失发放清单和办公会会议记录，如2024年2月记账6号凭证，支付2024年2月5日购买春节值班人员方便食品费用。单位存在财务管理制度落实不严、检</w:t>
      </w: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lastRenderedPageBreak/>
        <w:t>查复核工作有待强化的情况。</w:t>
      </w:r>
    </w:p>
    <w:p w:rsidR="00740C04" w:rsidRDefault="00740C04" w:rsidP="00740C04">
      <w:pPr>
        <w:spacing w:line="590" w:lineRule="exact"/>
        <w:ind w:firstLineChars="200" w:firstLine="600"/>
        <w:rPr>
          <w:rFonts w:ascii="楷体" w:eastAsia="楷体" w:hAnsi="楷体"/>
          <w:kern w:val="30"/>
          <w:sz w:val="30"/>
          <w:szCs w:val="30"/>
        </w:rPr>
      </w:pPr>
      <w:r>
        <w:rPr>
          <w:rFonts w:ascii="楷体" w:eastAsia="楷体" w:hAnsi="楷体" w:hint="eastAsia"/>
          <w:kern w:val="30"/>
          <w:sz w:val="30"/>
          <w:szCs w:val="30"/>
        </w:rPr>
        <w:t>（三）内控制度不健全</w:t>
      </w:r>
    </w:p>
    <w:p w:rsidR="00740C04" w:rsidRDefault="00740C04" w:rsidP="00740C04">
      <w:pPr>
        <w:spacing w:line="590" w:lineRule="exact"/>
        <w:ind w:firstLineChars="200" w:firstLine="600"/>
        <w:rPr>
          <w:rFonts w:ascii="仿宋_GB2312" w:eastAsia="仿宋_GB2312" w:hAnsi="仿宋_GB2312" w:cs="仿宋_GB2312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1.内控制度未能及时更新，合同管理制度存在缺失。采购、党组会规则未及时更新，内容不完整，缺失《合同管理制度》。</w:t>
      </w:r>
    </w:p>
    <w:p w:rsidR="00740C04" w:rsidRDefault="00740C04" w:rsidP="00740C04">
      <w:pPr>
        <w:spacing w:line="590" w:lineRule="exact"/>
        <w:ind w:firstLineChars="200" w:firstLine="600"/>
        <w:rPr>
          <w:rFonts w:ascii="仿宋_GB2312" w:eastAsia="仿宋_GB2312" w:hAnsi="仿宋_GB2312" w:cs="仿宋_GB2312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2.大额资金决策不规范。“三重一大”规定的标准与财务管理制度不一致。用合同签订集体决策，代替大额资金使用决策。单位管理意识薄弱、制度建设及更新机制不健全、人员培训不足以及监督机制缺乏完善性。</w:t>
      </w:r>
    </w:p>
    <w:p w:rsidR="00740C04" w:rsidRDefault="00740C04" w:rsidP="00740C04">
      <w:pPr>
        <w:spacing w:line="590" w:lineRule="exact"/>
        <w:ind w:firstLineChars="200" w:firstLine="600"/>
        <w:rPr>
          <w:rFonts w:ascii="楷体" w:eastAsia="楷体" w:hAnsi="楷体"/>
          <w:kern w:val="30"/>
          <w:sz w:val="30"/>
          <w:szCs w:val="30"/>
        </w:rPr>
      </w:pPr>
      <w:r>
        <w:rPr>
          <w:rFonts w:ascii="楷体" w:eastAsia="楷体" w:hAnsi="楷体" w:hint="eastAsia"/>
          <w:kern w:val="30"/>
          <w:sz w:val="30"/>
          <w:szCs w:val="30"/>
        </w:rPr>
        <w:t>（四）采购、资产管理规范性不高</w:t>
      </w:r>
    </w:p>
    <w:p w:rsidR="00740C04" w:rsidRDefault="00740C04" w:rsidP="00740C04">
      <w:pPr>
        <w:spacing w:line="590" w:lineRule="exact"/>
        <w:ind w:firstLineChars="200" w:firstLine="600"/>
        <w:rPr>
          <w:rFonts w:ascii="仿宋_GB2312" w:eastAsia="仿宋_GB2312" w:hAnsi="仿宋_GB2312" w:cs="仿宋_GB2312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1.采购及合同管理不规范。采购信息未进行公开公告，不符合相关规定。将合同签订审批程序与采购事项审批程序混淆，采购事项事前决策不合</w:t>
      </w:r>
      <w:proofErr w:type="gramStart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规</w:t>
      </w:r>
      <w:proofErr w:type="gramEnd"/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。</w:t>
      </w:r>
    </w:p>
    <w:p w:rsidR="00740C04" w:rsidRDefault="00740C04" w:rsidP="00740C04">
      <w:pPr>
        <w:spacing w:line="590" w:lineRule="exact"/>
        <w:ind w:firstLineChars="200" w:firstLine="600"/>
        <w:rPr>
          <w:rFonts w:ascii="仿宋_GB2312" w:eastAsia="仿宋_GB2312" w:hAnsi="仿宋_GB2312" w:cs="仿宋_GB2312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2.资产账实不相符。资产系统内资产数量与实有情况未对应，资产管理系统未能及时更新，内部监督与审核机制也不完善。</w:t>
      </w:r>
    </w:p>
    <w:p w:rsidR="00740C04" w:rsidRDefault="00740C04" w:rsidP="00740C04">
      <w:pPr>
        <w:spacing w:line="590" w:lineRule="exact"/>
        <w:ind w:firstLineChars="200" w:firstLine="600"/>
        <w:rPr>
          <w:rFonts w:ascii="楷体" w:eastAsia="楷体" w:hAnsi="楷体"/>
          <w:kern w:val="30"/>
          <w:sz w:val="30"/>
          <w:szCs w:val="30"/>
        </w:rPr>
      </w:pPr>
      <w:r>
        <w:rPr>
          <w:rFonts w:ascii="楷体" w:eastAsia="楷体" w:hAnsi="楷体" w:hint="eastAsia"/>
          <w:kern w:val="30"/>
          <w:sz w:val="30"/>
          <w:szCs w:val="30"/>
        </w:rPr>
        <w:t>（五）履职效能及效益需进一步优化</w:t>
      </w:r>
    </w:p>
    <w:p w:rsidR="00740C04" w:rsidRDefault="00740C04" w:rsidP="00740C04">
      <w:pPr>
        <w:spacing w:line="579" w:lineRule="exact"/>
        <w:ind w:firstLineChars="200" w:firstLine="600"/>
        <w:rPr>
          <w:rFonts w:ascii="仿宋_GB2312" w:eastAsia="仿宋_GB2312" w:hAnsi="仿宋_GB2312" w:cs="仿宋_GB2312"/>
          <w:spacing w:val="6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部门履职效能及社会效益需优化提升。部门2024年工作任务完成率</w:t>
      </w:r>
      <w:r>
        <w:rPr>
          <w:rFonts w:ascii="仿宋" w:eastAsia="仿宋" w:hAnsi="仿宋" w:cs="仿宋" w:hint="eastAsia"/>
          <w:kern w:val="30"/>
          <w:sz w:val="30"/>
          <w:szCs w:val="30"/>
        </w:rPr>
        <w:t>80%</w:t>
      </w:r>
      <w:r>
        <w:rPr>
          <w:rFonts w:ascii="仿宋_GB2312" w:eastAsia="仿宋_GB2312" w:hAnsi="仿宋_GB2312" w:cs="仿宋_GB2312" w:hint="eastAsia"/>
          <w:kern w:val="30"/>
          <w:sz w:val="30"/>
          <w:szCs w:val="30"/>
        </w:rPr>
        <w:t>，其中信访法治化建设、重要信访事项处理、网络信访建设等3项工作未完全达标。主要是部门工作流程和标准不完善、资源投入不足，监督和考核机制有待加强。</w:t>
      </w:r>
    </w:p>
    <w:p w:rsidR="00740C04" w:rsidRDefault="00740C04" w:rsidP="00740C04">
      <w:pPr>
        <w:overflowPunct w:val="0"/>
        <w:spacing w:line="590" w:lineRule="exact"/>
        <w:ind w:firstLine="629"/>
        <w:rPr>
          <w:rFonts w:ascii="黑体" w:eastAsia="黑体" w:hAnsi="黑体"/>
          <w:spacing w:val="6"/>
          <w:sz w:val="30"/>
          <w:szCs w:val="30"/>
        </w:rPr>
      </w:pPr>
      <w:r>
        <w:rPr>
          <w:rFonts w:ascii="黑体" w:eastAsia="黑体" w:hAnsi="黑体" w:hint="eastAsia"/>
          <w:spacing w:val="6"/>
          <w:sz w:val="30"/>
          <w:szCs w:val="30"/>
        </w:rPr>
        <w:t>五、建议</w:t>
      </w:r>
    </w:p>
    <w:p w:rsidR="00740C04" w:rsidRDefault="00740C04" w:rsidP="00740C04">
      <w:pPr>
        <w:spacing w:line="579" w:lineRule="exact"/>
        <w:ind w:firstLineChars="200" w:firstLine="624"/>
        <w:rPr>
          <w:rFonts w:ascii="楷体_GB2312" w:eastAsia="楷体_GB2312" w:hAnsi="楷体_GB2312" w:cs="楷体_GB2312"/>
          <w:spacing w:val="6"/>
          <w:sz w:val="30"/>
          <w:szCs w:val="30"/>
        </w:rPr>
      </w:pPr>
      <w:r>
        <w:rPr>
          <w:rFonts w:ascii="楷体_GB2312" w:eastAsia="楷体_GB2312" w:hAnsi="楷体_GB2312" w:cs="楷体_GB2312" w:hint="eastAsia"/>
          <w:spacing w:val="6"/>
          <w:sz w:val="30"/>
          <w:szCs w:val="30"/>
        </w:rPr>
        <w:t>（一）强化预算绩效管理</w:t>
      </w:r>
    </w:p>
    <w:p w:rsidR="00740C04" w:rsidRDefault="00740C04" w:rsidP="00740C04">
      <w:pPr>
        <w:spacing w:line="590" w:lineRule="exact"/>
        <w:ind w:firstLineChars="200" w:firstLine="624"/>
        <w:rPr>
          <w:rFonts w:ascii="仿宋_GB2312" w:eastAsia="仿宋_GB2312" w:hAnsi="仿宋_GB2312" w:cs="仿宋_GB2312"/>
          <w:spacing w:val="6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6"/>
          <w:sz w:val="30"/>
          <w:szCs w:val="30"/>
        </w:rPr>
        <w:t>建议部门在申报预算绩效目标时，依据职能职责和年度计划调整目标，细化可量化指标，提高管理考核效率。确保预算</w:t>
      </w:r>
      <w:r>
        <w:rPr>
          <w:rFonts w:ascii="仿宋_GB2312" w:eastAsia="仿宋_GB2312" w:hAnsi="仿宋_GB2312" w:cs="仿宋_GB2312" w:hint="eastAsia"/>
          <w:spacing w:val="6"/>
          <w:sz w:val="30"/>
          <w:szCs w:val="30"/>
        </w:rPr>
        <w:lastRenderedPageBreak/>
        <w:t>支出与绩效目标一致，修订完善管理制度，加强预算公开信息的审核。</w:t>
      </w:r>
    </w:p>
    <w:p w:rsidR="00740C04" w:rsidRDefault="00740C04" w:rsidP="00740C04">
      <w:pPr>
        <w:spacing w:line="579" w:lineRule="exact"/>
        <w:ind w:firstLineChars="200" w:firstLine="624"/>
        <w:rPr>
          <w:rFonts w:ascii="楷体_GB2312" w:eastAsia="楷体_GB2312" w:hAnsi="楷体_GB2312" w:cs="楷体_GB2312"/>
          <w:spacing w:val="6"/>
          <w:sz w:val="30"/>
          <w:szCs w:val="30"/>
        </w:rPr>
      </w:pPr>
      <w:r>
        <w:rPr>
          <w:rFonts w:ascii="楷体_GB2312" w:eastAsia="楷体_GB2312" w:hAnsi="楷体_GB2312" w:cs="楷体_GB2312" w:hint="eastAsia"/>
          <w:spacing w:val="6"/>
          <w:sz w:val="30"/>
          <w:szCs w:val="30"/>
        </w:rPr>
        <w:t>（二）规范会计核算</w:t>
      </w:r>
    </w:p>
    <w:p w:rsidR="00740C04" w:rsidRDefault="00740C04" w:rsidP="00740C04">
      <w:pPr>
        <w:spacing w:line="590" w:lineRule="exact"/>
        <w:ind w:firstLineChars="200" w:firstLine="624"/>
        <w:rPr>
          <w:rFonts w:ascii="仿宋_GB2312" w:eastAsia="仿宋_GB2312" w:hAnsi="仿宋_GB2312" w:cs="仿宋_GB2312"/>
          <w:spacing w:val="6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6"/>
          <w:sz w:val="30"/>
          <w:szCs w:val="30"/>
        </w:rPr>
        <w:t>严格按照“完整真实”原则审核凭证附件，确保资料齐全，发挥财务监督作用。</w:t>
      </w:r>
    </w:p>
    <w:p w:rsidR="00740C04" w:rsidRDefault="00740C04" w:rsidP="00740C04">
      <w:pPr>
        <w:spacing w:line="579" w:lineRule="exact"/>
        <w:ind w:firstLineChars="200" w:firstLine="624"/>
        <w:rPr>
          <w:rFonts w:ascii="楷体_GB2312" w:eastAsia="楷体_GB2312" w:hAnsi="楷体_GB2312" w:cs="楷体_GB2312"/>
          <w:spacing w:val="6"/>
          <w:sz w:val="30"/>
          <w:szCs w:val="30"/>
        </w:rPr>
      </w:pPr>
      <w:r>
        <w:rPr>
          <w:rFonts w:ascii="楷体_GB2312" w:eastAsia="楷体_GB2312" w:hAnsi="楷体_GB2312" w:cs="楷体_GB2312" w:hint="eastAsia"/>
          <w:spacing w:val="6"/>
          <w:sz w:val="30"/>
          <w:szCs w:val="30"/>
        </w:rPr>
        <w:t>（三）完善内控管理</w:t>
      </w:r>
    </w:p>
    <w:p w:rsidR="00740C04" w:rsidRDefault="00740C04" w:rsidP="00740C04">
      <w:pPr>
        <w:spacing w:line="590" w:lineRule="exact"/>
        <w:ind w:firstLineChars="200" w:firstLine="624"/>
        <w:rPr>
          <w:rFonts w:ascii="楷体" w:eastAsia="楷体" w:hAnsi="楷体"/>
          <w:kern w:val="30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6"/>
          <w:sz w:val="30"/>
          <w:szCs w:val="30"/>
        </w:rPr>
        <w:t>补充修订相关制度，确保与大额资金限额一致，明确“三重一大”决策范围，规范采购、合同签订和资金使用程序，提升决策规范性。</w:t>
      </w:r>
    </w:p>
    <w:p w:rsidR="00740C04" w:rsidRDefault="00740C04" w:rsidP="00740C04">
      <w:pPr>
        <w:spacing w:line="579" w:lineRule="exact"/>
        <w:ind w:firstLineChars="200" w:firstLine="624"/>
        <w:rPr>
          <w:rFonts w:ascii="楷体_GB2312" w:eastAsia="楷体_GB2312" w:hAnsi="楷体_GB2312" w:cs="楷体_GB2312"/>
          <w:spacing w:val="6"/>
          <w:sz w:val="30"/>
          <w:szCs w:val="30"/>
        </w:rPr>
      </w:pPr>
      <w:r>
        <w:rPr>
          <w:rFonts w:ascii="楷体_GB2312" w:eastAsia="楷体_GB2312" w:hAnsi="楷体_GB2312" w:cs="楷体_GB2312" w:hint="eastAsia"/>
          <w:spacing w:val="6"/>
          <w:sz w:val="30"/>
          <w:szCs w:val="30"/>
        </w:rPr>
        <w:t>（四）提高采购和资产管理规范性</w:t>
      </w:r>
    </w:p>
    <w:p w:rsidR="00740C04" w:rsidRDefault="00740C04" w:rsidP="00740C04">
      <w:pPr>
        <w:spacing w:line="590" w:lineRule="exact"/>
        <w:ind w:firstLineChars="200" w:firstLine="624"/>
        <w:rPr>
          <w:rFonts w:ascii="仿宋_GB2312" w:eastAsia="仿宋_GB2312" w:hAnsi="仿宋_GB2312" w:cs="仿宋_GB2312"/>
          <w:spacing w:val="6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6"/>
          <w:sz w:val="30"/>
          <w:szCs w:val="30"/>
        </w:rPr>
        <w:t>落实采购信息公开，规范合同签订与采购审批程序，优化事前审批机制，定期盘点资产，确保账实相符。</w:t>
      </w:r>
    </w:p>
    <w:p w:rsidR="00740C04" w:rsidRDefault="00740C04" w:rsidP="00740C04">
      <w:pPr>
        <w:spacing w:line="579" w:lineRule="exact"/>
        <w:ind w:firstLineChars="200" w:firstLine="624"/>
        <w:rPr>
          <w:rFonts w:ascii="楷体_GB2312" w:eastAsia="楷体_GB2312" w:hAnsi="楷体_GB2312" w:cs="楷体_GB2312"/>
          <w:spacing w:val="6"/>
          <w:sz w:val="30"/>
          <w:szCs w:val="30"/>
        </w:rPr>
      </w:pPr>
      <w:r>
        <w:rPr>
          <w:rFonts w:ascii="楷体_GB2312" w:eastAsia="楷体_GB2312" w:hAnsi="楷体_GB2312" w:cs="楷体_GB2312" w:hint="eastAsia"/>
          <w:spacing w:val="6"/>
          <w:sz w:val="30"/>
          <w:szCs w:val="30"/>
        </w:rPr>
        <w:t>（五）优化履职效能</w:t>
      </w:r>
    </w:p>
    <w:p w:rsidR="00445CA9" w:rsidRDefault="00740C04" w:rsidP="00740C04">
      <w:r>
        <w:rPr>
          <w:rFonts w:ascii="仿宋_GB2312" w:eastAsia="仿宋_GB2312" w:hAnsi="仿宋_GB2312" w:cs="仿宋_GB2312" w:hint="eastAsia"/>
          <w:spacing w:val="6"/>
          <w:sz w:val="30"/>
          <w:szCs w:val="30"/>
        </w:rPr>
        <w:t>做好时间规划，推进履职任务，监督检查计划进展，优化部门效能和社会效益，贯彻“论绩问效”原则。</w:t>
      </w:r>
    </w:p>
    <w:sectPr w:rsidR="00445CA9" w:rsidSect="00445C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C31" w:rsidRDefault="008E2C31" w:rsidP="008E2C31">
      <w:r>
        <w:separator/>
      </w:r>
    </w:p>
  </w:endnote>
  <w:endnote w:type="continuationSeparator" w:id="0">
    <w:p w:rsidR="008E2C31" w:rsidRDefault="008E2C31" w:rsidP="008E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25910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E2C31" w:rsidRDefault="008E2C3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4C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4CF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C31" w:rsidRDefault="008E2C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C31" w:rsidRDefault="008E2C31" w:rsidP="008E2C31">
      <w:r>
        <w:separator/>
      </w:r>
    </w:p>
  </w:footnote>
  <w:footnote w:type="continuationSeparator" w:id="0">
    <w:p w:rsidR="008E2C31" w:rsidRDefault="008E2C31" w:rsidP="008E2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0C04"/>
    <w:rsid w:val="00445CA9"/>
    <w:rsid w:val="00740C04"/>
    <w:rsid w:val="008E2C31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740C04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0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740C04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8E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C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C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429</Words>
  <Characters>2449</Characters>
  <Application>Microsoft Office Word</Application>
  <DocSecurity>0</DocSecurity>
  <Lines>20</Lines>
  <Paragraphs>5</Paragraphs>
  <ScaleCrop>false</ScaleCrop>
  <Company>微软中国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dcterms:created xsi:type="dcterms:W3CDTF">2025-10-22T07:23:00Z</dcterms:created>
  <dcterms:modified xsi:type="dcterms:W3CDTF">2025-10-22T07:28:00Z</dcterms:modified>
</cp:coreProperties>
</file>