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191" w:lineRule="auto"/>
        <w:ind w:firstLine="120"/>
        <w:jc w:val="both"/>
        <w:rPr>
          <w:sz w:val="3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附件</w:t>
      </w:r>
      <w:r>
        <w:rPr>
          <w:rFonts w:hint="eastAsia" w:ascii="Calibri" w:hAnsi="Calibri" w:eastAsia="Calibri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：</w:t>
      </w:r>
      <w:bookmarkStart w:id="0" w:name="_GoBack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5194300</wp:posOffset>
            </wp:positionH>
            <wp:positionV relativeFrom="page">
              <wp:posOffset>2095500</wp:posOffset>
            </wp:positionV>
            <wp:extent cx="1574800" cy="1562100"/>
            <wp:effectExtent l="0" t="0" r="0" b="0"/>
            <wp:wrapNone/>
            <wp:docPr id="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MP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565" t="25000" r="170565" b="-2500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>
      <w:pPr>
        <w:wordWrap w:val="0"/>
        <w:spacing w:before="0" w:after="0" w:line="235" w:lineRule="auto"/>
        <w:jc w:val="center"/>
        <w:rPr>
          <w:sz w:val="46"/>
        </w:rPr>
      </w:pPr>
      <w:r>
        <w:rPr>
          <w:rFonts w:hint="eastAsia" w:ascii="宋体" w:hAnsi="宋体" w:eastAsia="宋体"/>
          <w:b/>
          <w:color w:val="000000"/>
          <w:sz w:val="46"/>
        </w:rPr>
        <w:t>五华区区级预算支出部门评价表</w:t>
      </w:r>
    </w:p>
    <w:p>
      <w:pPr>
        <w:wordWrap w:val="0"/>
        <w:spacing w:before="0" w:after="0" w:line="239" w:lineRule="auto"/>
        <w:jc w:val="center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（202</w:t>
      </w:r>
      <w:r>
        <w:rPr>
          <w:rFonts w:hint="eastAsia" w:ascii="Calibri" w:hAnsi="Calibri" w:eastAsia="宋体"/>
          <w:b/>
          <w:color w:val="000000"/>
          <w:sz w:val="31"/>
          <w:lang w:val="en-US" w:eastAsia="zh-CN"/>
        </w:rPr>
        <w:t>4</w:t>
      </w:r>
      <w:r>
        <w:rPr>
          <w:rFonts w:hint="eastAsia" w:ascii="Calibri" w:hAnsi="Calibri" w:eastAsia="Calibri"/>
          <w:b/>
          <w:color w:val="000000"/>
          <w:sz w:val="31"/>
        </w:rPr>
        <w:t>）</w:t>
      </w:r>
      <w:r>
        <w:rPr>
          <w:rFonts w:hint="eastAsia" w:ascii="宋体" w:hAnsi="宋体" w:eastAsia="宋体"/>
          <w:b/>
          <w:color w:val="000000"/>
          <w:sz w:val="31"/>
        </w:rPr>
        <w:t>年度</w:t>
      </w:r>
    </w:p>
    <w:tbl>
      <w:tblPr>
        <w:tblStyle w:val="4"/>
        <w:tblpPr w:leftFromText="180" w:rightFromText="180" w:vertAnchor="text" w:horzAnchor="page" w:tblpX="1234" w:tblpY="110"/>
        <w:tblOverlap w:val="never"/>
        <w:tblW w:w="94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420"/>
        <w:gridCol w:w="360"/>
        <w:gridCol w:w="1680"/>
        <w:gridCol w:w="20"/>
        <w:gridCol w:w="660"/>
        <w:gridCol w:w="460"/>
        <w:gridCol w:w="560"/>
        <w:gridCol w:w="1580"/>
        <w:gridCol w:w="1400"/>
        <w:gridCol w:w="8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项目名称</w:t>
            </w:r>
          </w:p>
        </w:tc>
        <w:tc>
          <w:tcPr>
            <w:tcW w:w="7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6" w:after="0" w:line="239" w:lineRule="auto"/>
              <w:ind w:firstLine="132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昆明市郊野公园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202</w:t>
            </w:r>
            <w:r>
              <w:rPr>
                <w:rFonts w:hint="eastAsia" w:ascii="Calibri" w:hAnsi="Calibri" w:eastAsia="宋体"/>
                <w:color w:val="000000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年项目支出绩效评价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主管部门</w:t>
            </w:r>
          </w:p>
        </w:tc>
        <w:tc>
          <w:tcPr>
            <w:tcW w:w="3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五华区综合行政执法局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项目实施单位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昆明市郊野公园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项目负责人</w:t>
            </w:r>
          </w:p>
        </w:tc>
        <w:tc>
          <w:tcPr>
            <w:tcW w:w="3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张超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68181927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项目类型</w:t>
            </w:r>
          </w:p>
        </w:tc>
        <w:tc>
          <w:tcPr>
            <w:tcW w:w="7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 xml:space="preserve">经常性项目 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(   )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 xml:space="preserve">         一次性项目 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>(   )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218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项目资金（万元）</w:t>
            </w: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项目支出明细内容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年初预算数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实际到位数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实际支出数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9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执行率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0" w:after="0" w:line="239" w:lineRule="auto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公园运营管养经费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after="0" w:line="239" w:lineRule="auto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8"/>
                <w:lang w:val="en-US" w:eastAsia="zh-CN"/>
              </w:rPr>
              <w:t>61.29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3" w:after="0" w:line="239" w:lineRule="auto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8"/>
                <w:lang w:val="en-US" w:eastAsia="zh-CN"/>
              </w:rPr>
              <w:t>61.29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3" w:after="0" w:line="239" w:lineRule="auto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8"/>
                <w:lang w:val="en-US" w:eastAsia="zh-CN"/>
              </w:rPr>
              <w:t>61.29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0" w:after="0" w:line="239" w:lineRule="auto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机构运转经费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after="0" w:line="239" w:lineRule="auto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797.95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3" w:after="0" w:line="239" w:lineRule="auto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797.95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3" w:after="0" w:line="239" w:lineRule="auto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797.95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合     计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859.24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859.24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859.24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after="0" w:line="239" w:lineRule="auto"/>
              <w:ind w:firstLine="2100"/>
              <w:jc w:val="right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其中：中央财政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after="0" w:line="239" w:lineRule="auto"/>
              <w:ind w:firstLine="2680"/>
              <w:jc w:val="right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省级财政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2700"/>
              <w:jc w:val="right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市级财政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after="0" w:line="239" w:lineRule="auto"/>
              <w:ind w:firstLine="2680"/>
              <w:jc w:val="right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区级财政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859.24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859.24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859.24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after="0" w:line="239" w:lineRule="auto"/>
              <w:ind w:firstLine="2660"/>
              <w:jc w:val="right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其他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4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4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4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4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36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年度总体目标</w:t>
            </w:r>
          </w:p>
        </w:tc>
        <w:tc>
          <w:tcPr>
            <w:tcW w:w="3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预期目标</w:t>
            </w:r>
          </w:p>
        </w:tc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实际完成情况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3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after="0" w:line="239" w:lineRule="auto"/>
              <w:ind w:firstLine="140"/>
              <w:jc w:val="both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二、绩效评价指标评分（参考）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一级指标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分值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二级指标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分值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三级指标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分值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得分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wordWrap w:val="0"/>
              <w:spacing w:before="0" w:after="0"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211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决策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wordWrap w:val="0"/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wordWrap w:val="0"/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134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40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0" w:after="0" w:line="206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项目立项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0" w:after="0" w:line="19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立项依据充分性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6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立项程序规范性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0" w:after="0" w:line="225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绩效目标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1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</w:rPr>
            </w:pPr>
          </w:p>
          <w:p>
            <w:pPr>
              <w:spacing w:before="0" w:after="0" w:line="196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6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绩效目标合理性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6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3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绩效指标明确性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资金投入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7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预算编制科学性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after="0" w:line="239" w:lineRule="auto"/>
              <w:jc w:val="center"/>
              <w:rPr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资金分配合理性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after="0" w:line="239" w:lineRule="auto"/>
              <w:jc w:val="center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9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4</w:t>
            </w:r>
          </w:p>
        </w:tc>
      </w:tr>
    </w:tbl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360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0"/>
        <w:gridCol w:w="560"/>
        <w:gridCol w:w="1660"/>
        <w:gridCol w:w="640"/>
        <w:gridCol w:w="2300"/>
        <w:gridCol w:w="320"/>
        <w:gridCol w:w="1380"/>
        <w:gridCol w:w="8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0" w:after="0" w:line="235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过程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3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资金管理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192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7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资金到位率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after="0" w:line="239" w:lineRule="auto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2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预算执行率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after="0" w:line="239" w:lineRule="auto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资金管理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7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资金使用合规性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 w:after="0" w:line="239" w:lineRule="auto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0" w:after="0" w:line="22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组织实施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0" w:after="0" w:line="211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7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管理制度健全性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制度执行有效性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9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82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产出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209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产出数量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7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126" w:after="0" w:line="288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可根据项目实际情况有选择地设置和细化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7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2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产出质量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产出时效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产出成本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19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效益</w:t>
            </w:r>
          </w:p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6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经济效益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社会效益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环境效益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6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6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可持续影响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4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2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4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满意度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2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社会公众或服务对象满意度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2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0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0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0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0" w:after="0" w:line="239" w:lineRule="auto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0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0" w:after="0" w:line="239" w:lineRule="auto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0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19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评价等次</w:t>
            </w:r>
          </w:p>
        </w:tc>
        <w:tc>
          <w:tcPr>
            <w:tcW w:w="7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优☑       良□      中口      差口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after="0" w:line="239" w:lineRule="auto"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100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90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（含）分为优、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90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80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（含）分为良、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80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-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60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（含）分为中、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60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分以下为差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124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问题和建议</w:t>
            </w:r>
          </w:p>
        </w:tc>
        <w:tc>
          <w:tcPr>
            <w:tcW w:w="7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1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0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评价人员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9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9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职务／职称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9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9" w:after="0" w:line="239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签字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7" w:after="0" w:line="239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张超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" w:after="0" w:line="239" w:lineRule="auto"/>
              <w:ind w:firstLine="143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副主任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" w:after="0" w:line="239" w:lineRule="auto"/>
              <w:ind w:firstLine="168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昆明市郊野公园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01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after="0" w:line="239" w:lineRule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付斌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after="0" w:line="239" w:lineRule="auto"/>
              <w:ind w:firstLine="143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副主任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1" w:after="0" w:line="239" w:lineRule="auto"/>
              <w:ind w:firstLine="168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昆明市郊野公园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 w:after="0" w:line="239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3" w:after="0" w:line="239" w:lineRule="auto"/>
              <w:ind w:firstLine="143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员工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" w:after="0" w:line="239" w:lineRule="auto"/>
              <w:ind w:firstLine="168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昆明市郊野公园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于纪川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保卫科科长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180" w:firstLineChars="10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昆明市郊野公园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1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" w:after="0" w:line="239" w:lineRule="auto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6" w:after="0" w:line="239" w:lineRule="auto"/>
              <w:jc w:val="both"/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填报人（签字）</w:t>
            </w: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19"/>
                <w:lang w:val="en-US" w:eastAsia="zh-CN"/>
              </w:rPr>
              <w:t xml:space="preserve">                                       2025年5月23日</w:t>
            </w:r>
          </w:p>
          <w:p>
            <w:pPr>
              <w:spacing w:before="6" w:after="0" w:line="239" w:lineRule="auto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1614805</wp:posOffset>
                  </wp:positionH>
                  <wp:positionV relativeFrom="page">
                    <wp:posOffset>676275</wp:posOffset>
                  </wp:positionV>
                  <wp:extent cx="1549400" cy="1574800"/>
                  <wp:effectExtent l="0" t="0" r="0" b="0"/>
                  <wp:wrapNone/>
                  <wp:docPr id="7" name="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A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65164" t="15726" r="365164" b="-15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评价组组长（签字）：</w:t>
            </w:r>
            <w:r>
              <w:drawing>
                <wp:inline distT="0" distB="0" distL="114300" distR="114300">
                  <wp:extent cx="228600" cy="3175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-2587500" t="-63000" r="2587500" b="63000"/>
                          <a:stretch>
                            <a:fillRect/>
                          </a:stretch>
                        </pic:blipFill>
                        <pic:spPr>
                          <a:xfrm>
                            <a:off x="1000" y="1000"/>
                            <a:ext cx="2286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000000"/>
                <w:sz w:val="19"/>
              </w:rPr>
              <w:t xml:space="preserve">                               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202</w:t>
            </w:r>
            <w:r>
              <w:rPr>
                <w:rFonts w:hint="eastAsia" w:ascii="Calibri" w:hAnsi="Calibri" w:eastAsia="宋体"/>
                <w:color w:val="000000"/>
                <w:sz w:val="19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2</w:t>
            </w:r>
            <w:r>
              <w:rPr>
                <w:rFonts w:hint="eastAsia" w:ascii="Calibri" w:hAnsi="Calibri" w:eastAsia="宋体"/>
                <w:color w:val="000000"/>
                <w:sz w:val="19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  <w:p>
            <w:pPr>
              <w:spacing w:before="6" w:after="0" w:line="239" w:lineRule="auto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  <w:p>
            <w:pPr>
              <w:spacing w:before="93" w:after="0" w:line="239" w:lineRule="auto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评价部门负责人（签字并盖章</w:t>
            </w: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t>）：</w:t>
            </w:r>
            <w:r>
              <w:rPr>
                <w:rFonts w:hint="eastAsia" w:ascii="宋体" w:hAnsi="宋体" w:eastAsia="宋体"/>
                <w:color w:val="000000"/>
                <w:sz w:val="19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 xml:space="preserve">                 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202</w:t>
            </w:r>
            <w:r>
              <w:rPr>
                <w:rFonts w:hint="eastAsia" w:ascii="Calibri" w:hAnsi="Calibri" w:eastAsia="宋体"/>
                <w:color w:val="000000"/>
                <w:sz w:val="19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>2</w:t>
            </w:r>
            <w:r>
              <w:rPr>
                <w:rFonts w:hint="eastAsia" w:ascii="Calibri" w:hAnsi="Calibri" w:eastAsia="宋体"/>
                <w:color w:val="000000"/>
                <w:sz w:val="19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ordWrap w:val="0"/>
        <w:spacing w:before="0" w:after="0" w:line="191" w:lineRule="auto"/>
        <w:jc w:val="both"/>
        <w:rPr>
          <w:rFonts w:hint="eastAsia" w:ascii="宋体" w:hAnsi="宋体" w:eastAsia="宋体"/>
          <w:b w:val="0"/>
          <w:bCs/>
          <w:color w:val="000000"/>
          <w:sz w:val="21"/>
          <w:szCs w:val="21"/>
          <w:lang w:eastAsia="zh-CN"/>
        </w:rPr>
      </w:pPr>
    </w:p>
    <w:p>
      <w:pPr>
        <w:wordWrap w:val="0"/>
        <w:spacing w:before="0" w:after="0" w:line="191" w:lineRule="auto"/>
        <w:jc w:val="both"/>
        <w:rPr>
          <w:rFonts w:hint="eastAsia" w:ascii="宋体" w:hAnsi="宋体" w:eastAsia="宋体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21"/>
          <w:szCs w:val="21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color w:val="000000"/>
          <w:sz w:val="21"/>
          <w:szCs w:val="21"/>
          <w:lang w:val="en-US" w:eastAsia="zh-CN"/>
        </w:rPr>
        <w:t>2</w:t>
      </w:r>
    </w:p>
    <w:p>
      <w:pPr>
        <w:wordWrap w:val="0"/>
        <w:spacing w:before="0" w:after="0" w:line="191" w:lineRule="auto"/>
        <w:ind w:firstLine="3260"/>
        <w:jc w:val="both"/>
        <w:rPr>
          <w:sz w:val="52"/>
          <w:szCs w:val="52"/>
        </w:rPr>
      </w:pPr>
      <w:r>
        <w:rPr>
          <w:rFonts w:hint="eastAsia" w:ascii="宋体" w:hAnsi="宋体" w:eastAsia="宋体"/>
          <w:b/>
          <w:color w:val="000000"/>
          <w:sz w:val="52"/>
          <w:szCs w:val="52"/>
        </w:rPr>
        <w:t>昆明市郊野公园</w:t>
      </w:r>
    </w:p>
    <w:p>
      <w:pPr>
        <w:wordWrap w:val="0"/>
        <w:spacing w:before="0" w:after="0" w:line="239" w:lineRule="auto"/>
        <w:ind w:firstLine="1780"/>
        <w:jc w:val="both"/>
        <w:rPr>
          <w:sz w:val="52"/>
          <w:szCs w:val="52"/>
        </w:rPr>
      </w:pPr>
      <w:r>
        <w:rPr>
          <w:rFonts w:hint="eastAsia" w:ascii="Calibri" w:hAnsi="Calibri" w:eastAsia="Calibri"/>
          <w:b/>
          <w:color w:val="000000"/>
          <w:sz w:val="52"/>
          <w:szCs w:val="52"/>
        </w:rPr>
        <w:t>202</w:t>
      </w:r>
      <w:r>
        <w:rPr>
          <w:rFonts w:hint="eastAsia" w:ascii="Calibri" w:hAnsi="Calibri" w:eastAsia="宋体"/>
          <w:b/>
          <w:color w:val="000000"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/>
          <w:b/>
          <w:color w:val="000000"/>
          <w:sz w:val="52"/>
          <w:szCs w:val="52"/>
        </w:rPr>
        <w:t>年项目支出绩效评价报告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wordWrap w:val="0"/>
        <w:spacing w:before="0" w:after="0" w:line="192" w:lineRule="auto"/>
        <w:ind w:firstLine="1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区级各预算部门：</w:t>
      </w:r>
    </w:p>
    <w:p>
      <w:pPr>
        <w:wordWrap w:val="0"/>
        <w:spacing w:before="0" w:after="0" w:line="271" w:lineRule="auto"/>
        <w:ind w:left="40" w:right="300" w:firstLine="720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根据《五华区财政局关于开展</w:t>
      </w:r>
      <w:r>
        <w:rPr>
          <w:rFonts w:hint="eastAsia" w:ascii="Calibri" w:hAnsi="Calibri" w:eastAsia="Calibri"/>
          <w:color w:val="000000"/>
          <w:sz w:val="32"/>
          <w:szCs w:val="32"/>
        </w:rPr>
        <w:t>202</w:t>
      </w:r>
      <w:r>
        <w:rPr>
          <w:rFonts w:hint="eastAsia" w:ascii="Calibri" w:hAnsi="Calibri" w:eastAsia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32"/>
          <w:szCs w:val="32"/>
        </w:rPr>
        <w:t>年度区级预算支出部门绩效评价工作的通知》（五财〔</w:t>
      </w:r>
      <w:r>
        <w:rPr>
          <w:rFonts w:hint="eastAsia" w:ascii="Calibri" w:hAnsi="Calibri" w:eastAsia="Calibri"/>
          <w:color w:val="000000"/>
          <w:sz w:val="32"/>
          <w:szCs w:val="32"/>
        </w:rPr>
        <w:t>202</w:t>
      </w:r>
      <w:r>
        <w:rPr>
          <w:rFonts w:hint="eastAsia" w:ascii="Calibri" w:hAnsi="Calibri" w:eastAsia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32"/>
          <w:szCs w:val="32"/>
        </w:rPr>
        <w:t>〕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/>
          <w:color w:val="000000"/>
          <w:sz w:val="32"/>
          <w:szCs w:val="32"/>
        </w:rPr>
        <w:t>号）</w:t>
      </w: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 w:eastAsia="宋体"/>
          <w:color w:val="000000"/>
          <w:sz w:val="32"/>
          <w:szCs w:val="32"/>
        </w:rPr>
        <w:t>，对我公园预算支出部门绩效评价如下：</w:t>
      </w:r>
    </w:p>
    <w:p>
      <w:pPr>
        <w:wordWrap w:val="0"/>
        <w:spacing w:before="0" w:after="0" w:line="192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一、基本情况</w:t>
      </w:r>
    </w:p>
    <w:p>
      <w:pPr>
        <w:wordWrap w:val="0"/>
        <w:spacing w:before="0" w:after="0" w:line="240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（一）部门整体情况</w:t>
      </w:r>
    </w:p>
    <w:p>
      <w:pPr>
        <w:wordWrap w:val="0"/>
        <w:spacing w:before="0" w:after="0" w:line="271" w:lineRule="auto"/>
        <w:ind w:left="40" w:right="300" w:firstLine="720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昆明市郊野公园作为昆明城市的一片绿肺，为人们提供了宁静、自然的休闲场所。郊野公园现可游览的面积为：</w:t>
      </w:r>
      <w:r>
        <w:rPr>
          <w:rFonts w:hint="eastAsia" w:ascii="Calibri" w:hAnsi="Calibri" w:eastAsia="Calibri"/>
          <w:color w:val="000000"/>
          <w:sz w:val="32"/>
          <w:szCs w:val="32"/>
        </w:rPr>
        <w:t>556110</w:t>
      </w:r>
      <w:r>
        <w:rPr>
          <w:rFonts w:hint="eastAsia" w:ascii="宋体" w:hAnsi="宋体" w:eastAsia="宋体"/>
          <w:color w:val="000000"/>
          <w:sz w:val="32"/>
          <w:szCs w:val="32"/>
        </w:rPr>
        <w:t>平方米，其中绿化面积：</w:t>
      </w:r>
      <w:r>
        <w:rPr>
          <w:rFonts w:hint="eastAsia" w:ascii="Calibri" w:hAnsi="Calibri" w:eastAsia="Calibri"/>
          <w:color w:val="000000"/>
          <w:sz w:val="32"/>
          <w:szCs w:val="32"/>
        </w:rPr>
        <w:t>526556</w:t>
      </w:r>
      <w:r>
        <w:rPr>
          <w:rFonts w:hint="eastAsia" w:ascii="宋体" w:hAnsi="宋体" w:eastAsia="宋体"/>
          <w:color w:val="000000"/>
          <w:sz w:val="32"/>
          <w:szCs w:val="32"/>
        </w:rPr>
        <w:t>.</w:t>
      </w:r>
      <w:r>
        <w:rPr>
          <w:rFonts w:hint="eastAsia" w:ascii="Calibri" w:hAnsi="Calibri" w:eastAsia="Calibri"/>
          <w:color w:val="000000"/>
          <w:sz w:val="32"/>
          <w:szCs w:val="32"/>
        </w:rPr>
        <w:t>76</w:t>
      </w:r>
      <w:r>
        <w:rPr>
          <w:rFonts w:hint="eastAsia" w:ascii="宋体" w:hAnsi="宋体" w:eastAsia="宋体"/>
          <w:color w:val="000000"/>
          <w:sz w:val="32"/>
          <w:szCs w:val="32"/>
        </w:rPr>
        <w:t>平方米；水体面积：</w:t>
      </w:r>
      <w:r>
        <w:rPr>
          <w:rFonts w:hint="eastAsia" w:ascii="Calibri" w:hAnsi="Calibri" w:eastAsia="Calibri"/>
          <w:color w:val="000000"/>
          <w:sz w:val="32"/>
          <w:szCs w:val="32"/>
        </w:rPr>
        <w:t>2000</w:t>
      </w:r>
      <w:r>
        <w:rPr>
          <w:rFonts w:hint="eastAsia" w:ascii="宋体" w:hAnsi="宋体" w:eastAsia="宋体"/>
          <w:color w:val="000000"/>
          <w:sz w:val="32"/>
          <w:szCs w:val="32"/>
        </w:rPr>
        <w:t>平方米；硬地面积：</w:t>
      </w:r>
      <w:r>
        <w:rPr>
          <w:rFonts w:hint="eastAsia" w:ascii="Calibri" w:hAnsi="Calibri" w:eastAsia="Calibri"/>
          <w:color w:val="000000"/>
          <w:sz w:val="32"/>
          <w:szCs w:val="32"/>
        </w:rPr>
        <w:t>22600</w:t>
      </w:r>
      <w:r>
        <w:rPr>
          <w:rFonts w:hint="eastAsia" w:ascii="宋体" w:hAnsi="宋体" w:eastAsia="宋体"/>
          <w:color w:val="000000"/>
          <w:sz w:val="32"/>
          <w:szCs w:val="32"/>
        </w:rPr>
        <w:t>平方米；建筑面积：</w:t>
      </w:r>
      <w:r>
        <w:rPr>
          <w:rFonts w:hint="eastAsia" w:ascii="Calibri" w:hAnsi="Calibri" w:eastAsia="Calibri"/>
          <w:color w:val="000000"/>
          <w:sz w:val="32"/>
          <w:szCs w:val="32"/>
        </w:rPr>
        <w:t>4953</w:t>
      </w:r>
      <w:r>
        <w:rPr>
          <w:rFonts w:hint="eastAsia" w:ascii="宋体" w:hAnsi="宋体" w:eastAsia="宋体"/>
          <w:color w:val="000000"/>
          <w:sz w:val="32"/>
          <w:szCs w:val="32"/>
        </w:rPr>
        <w:t>.</w:t>
      </w:r>
      <w:r>
        <w:rPr>
          <w:rFonts w:hint="eastAsia" w:ascii="Calibri" w:hAnsi="Calibri" w:eastAsia="Calibri"/>
          <w:color w:val="000000"/>
          <w:sz w:val="32"/>
          <w:szCs w:val="32"/>
        </w:rPr>
        <w:t>242</w:t>
      </w:r>
      <w:r>
        <w:rPr>
          <w:rFonts w:hint="eastAsia" w:ascii="宋体" w:hAnsi="宋体" w:eastAsia="宋体"/>
          <w:color w:val="000000"/>
          <w:sz w:val="32"/>
          <w:szCs w:val="32"/>
        </w:rPr>
        <w:t>平方米。做好公园持续性工作，严格按照绩效整体目标完成工作。</w:t>
      </w:r>
    </w:p>
    <w:p>
      <w:pPr>
        <w:wordWrap w:val="0"/>
        <w:spacing w:before="0" w:after="0" w:line="225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（二）项目总体情况</w:t>
      </w:r>
    </w:p>
    <w:p>
      <w:pPr>
        <w:wordWrap w:val="0"/>
        <w:spacing w:before="0" w:after="0" w:line="271" w:lineRule="auto"/>
        <w:ind w:left="40" w:right="20" w:firstLine="720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昆明市郊野公项目根据林业草原生态保护，项目目标是提升公园的生态环境质量、管理水平、充分发挥生态森林草原的作用，确保林草资源的自然生长。</w:t>
      </w:r>
    </w:p>
    <w:p>
      <w:pPr>
        <w:wordWrap w:val="0"/>
        <w:spacing w:before="0" w:after="0" w:line="192" w:lineRule="auto"/>
        <w:ind w:firstLine="760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二、绩效运行监控工作组织实施情况</w:t>
      </w:r>
    </w:p>
    <w:p>
      <w:pPr>
        <w:wordWrap w:val="0"/>
        <w:spacing w:before="0" w:after="0" w:line="230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郊野公园建立完善监控运行机制，专业部门负责工作的落实：</w:t>
      </w:r>
    </w:p>
    <w:p>
      <w:pPr>
        <w:wordWrap w:val="0"/>
        <w:spacing w:before="207" w:after="0" w:line="240" w:lineRule="auto"/>
        <w:ind w:firstLine="760"/>
        <w:jc w:val="both"/>
        <w:rPr>
          <w:sz w:val="32"/>
          <w:szCs w:val="32"/>
        </w:rPr>
      </w:pPr>
      <w:r>
        <w:rPr>
          <w:rFonts w:hint="eastAsia" w:ascii="Calibri" w:hAnsi="Calibri" w:eastAsia="Calibri"/>
          <w:color w:val="000000"/>
          <w:sz w:val="32"/>
          <w:szCs w:val="32"/>
        </w:rPr>
        <w:t>1</w:t>
      </w:r>
      <w:r>
        <w:rPr>
          <w:rFonts w:hint="eastAsia" w:ascii="宋体" w:hAnsi="宋体" w:eastAsia="宋体"/>
          <w:color w:val="000000"/>
          <w:sz w:val="32"/>
          <w:szCs w:val="32"/>
        </w:rPr>
        <w:t>．公园保卫科负责工作制度、日常管理规范、护林员工作考核。</w:t>
      </w:r>
    </w:p>
    <w:p>
      <w:pPr>
        <w:wordWrap w:val="0"/>
        <w:spacing w:before="0" w:after="0" w:line="324" w:lineRule="auto"/>
        <w:ind w:left="60" w:right="60" w:firstLine="700"/>
        <w:jc w:val="both"/>
        <w:rPr>
          <w:sz w:val="32"/>
          <w:szCs w:val="32"/>
        </w:rPr>
      </w:pPr>
      <w:r>
        <w:rPr>
          <w:rFonts w:hint="eastAsia" w:ascii="Calibri" w:hAnsi="Calibri" w:eastAsia="Calibri"/>
          <w:color w:val="000000"/>
          <w:sz w:val="32"/>
          <w:szCs w:val="32"/>
        </w:rPr>
        <w:t>2</w:t>
      </w:r>
      <w:r>
        <w:rPr>
          <w:rFonts w:hint="eastAsia" w:ascii="宋体" w:hAnsi="宋体" w:eastAsia="宋体"/>
          <w:color w:val="000000"/>
          <w:sz w:val="32"/>
          <w:szCs w:val="32"/>
        </w:rPr>
        <w:t>．昆明市郊野公园保卫科，主要负责监督护林员完成日常的巡林，森林防火，病虫害的预防及对野生动植物的保护，确保林草资源的自然生长。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191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三、绩效运行结果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220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（一）部门整体支出</w:t>
      </w:r>
    </w:p>
    <w:p>
      <w:pPr>
        <w:wordWrap w:val="0"/>
        <w:spacing w:before="0" w:after="0" w:line="324" w:lineRule="auto"/>
        <w:ind w:left="60" w:right="60" w:firstLine="70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昆明市郊野公园</w:t>
      </w:r>
      <w:r>
        <w:rPr>
          <w:rFonts w:hint="eastAsia" w:ascii="Calibri" w:hAnsi="Calibri" w:eastAsia="Calibri"/>
          <w:color w:val="000000"/>
          <w:sz w:val="32"/>
          <w:szCs w:val="32"/>
        </w:rPr>
        <w:t>202</w:t>
      </w:r>
      <w:r>
        <w:rPr>
          <w:rFonts w:hint="eastAsia" w:ascii="Calibri" w:hAnsi="Calibri" w:eastAsia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32"/>
          <w:szCs w:val="32"/>
        </w:rPr>
        <w:t>年项目支出目标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859.24</w:t>
      </w:r>
      <w:r>
        <w:rPr>
          <w:rFonts w:hint="eastAsia" w:ascii="宋体" w:hAnsi="宋体" w:eastAsia="宋体"/>
          <w:color w:val="000000"/>
          <w:sz w:val="32"/>
          <w:szCs w:val="32"/>
        </w:rPr>
        <w:t>万元，完成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859.24</w:t>
      </w:r>
      <w:r>
        <w:rPr>
          <w:rFonts w:hint="eastAsia" w:ascii="宋体" w:hAnsi="宋体" w:eastAsia="宋体"/>
          <w:color w:val="000000"/>
          <w:sz w:val="32"/>
          <w:szCs w:val="32"/>
        </w:rPr>
        <w:t>万元，完成率</w:t>
      </w:r>
      <w:r>
        <w:rPr>
          <w:rFonts w:hint="eastAsia" w:ascii="Calibri" w:hAnsi="Calibri" w:eastAsia="Calibri"/>
          <w:color w:val="000000"/>
          <w:sz w:val="32"/>
          <w:szCs w:val="32"/>
        </w:rPr>
        <w:t>100</w:t>
      </w:r>
      <w:r>
        <w:rPr>
          <w:rFonts w:hint="eastAsia" w:ascii="宋体" w:hAnsi="宋体" w:eastAsia="宋体"/>
          <w:color w:val="000000"/>
          <w:sz w:val="32"/>
          <w:szCs w:val="32"/>
        </w:rPr>
        <w:t>％，绩效目标完成。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196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（二）项目支出</w:t>
      </w:r>
    </w:p>
    <w:p>
      <w:pPr>
        <w:wordWrap w:val="0"/>
        <w:spacing w:before="0" w:after="0" w:line="239" w:lineRule="auto"/>
        <w:ind w:firstLine="760"/>
        <w:jc w:val="both"/>
        <w:rPr>
          <w:sz w:val="32"/>
          <w:szCs w:val="32"/>
        </w:rPr>
      </w:pPr>
      <w:r>
        <w:rPr>
          <w:rFonts w:hint="eastAsia" w:ascii="Calibri" w:hAnsi="Calibri" w:eastAsia="Calibri"/>
          <w:color w:val="000000"/>
          <w:sz w:val="32"/>
          <w:szCs w:val="32"/>
        </w:rPr>
        <w:t>1</w:t>
      </w:r>
      <w:r>
        <w:rPr>
          <w:rFonts w:hint="eastAsia" w:ascii="宋体" w:hAnsi="宋体" w:eastAsia="宋体"/>
          <w:color w:val="000000"/>
          <w:sz w:val="32"/>
          <w:szCs w:val="32"/>
        </w:rPr>
        <w:t>．在预算执行中未追加的项目资金金额；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191" w:lineRule="auto"/>
        <w:ind w:firstLine="760"/>
        <w:jc w:val="both"/>
        <w:rPr>
          <w:sz w:val="32"/>
          <w:szCs w:val="32"/>
        </w:rPr>
      </w:pPr>
      <w:r>
        <w:rPr>
          <w:rFonts w:hint="eastAsia" w:ascii="Calibri" w:hAnsi="Calibri" w:eastAsia="Calibri"/>
          <w:color w:val="000000"/>
          <w:sz w:val="32"/>
          <w:szCs w:val="32"/>
        </w:rPr>
        <w:t>2</w:t>
      </w:r>
      <w:r>
        <w:rPr>
          <w:rFonts w:hint="eastAsia" w:ascii="宋体" w:hAnsi="宋体" w:eastAsia="宋体"/>
          <w:color w:val="000000"/>
          <w:sz w:val="32"/>
          <w:szCs w:val="32"/>
        </w:rPr>
        <w:t>．不存在未完成绩效目标或超过指标值较多的项目。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191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四、存在的主要问题及原因分析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196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（一）部门整体支出</w:t>
      </w:r>
    </w:p>
    <w:p>
      <w:pPr>
        <w:wordWrap w:val="0"/>
        <w:spacing w:before="0" w:after="0" w:line="324" w:lineRule="auto"/>
        <w:ind w:left="60" w:right="60" w:firstLine="70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昆明市郊野公园</w:t>
      </w:r>
      <w:r>
        <w:rPr>
          <w:rFonts w:hint="eastAsia" w:ascii="Calibri" w:hAnsi="Calibri" w:eastAsia="Calibri"/>
          <w:color w:val="000000"/>
          <w:sz w:val="32"/>
          <w:szCs w:val="32"/>
        </w:rPr>
        <w:t>202</w:t>
      </w:r>
      <w:r>
        <w:rPr>
          <w:rFonts w:hint="eastAsia" w:ascii="Calibri" w:hAnsi="Calibri" w:eastAsia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32"/>
          <w:szCs w:val="32"/>
        </w:rPr>
        <w:t>年全年完成了绩效指标的全部内容，实现了公园运营的持续性、持续提高公园的服务质量，并确保公园的保值增值。充分发挥生态森林草原的作用，确保林草资源的自然生长。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230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（二）项目支出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206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昆明市郊野公园完成</w:t>
      </w:r>
      <w:r>
        <w:rPr>
          <w:rFonts w:hint="eastAsia" w:ascii="Calibri" w:hAnsi="Calibri" w:eastAsia="Calibri"/>
          <w:color w:val="000000"/>
          <w:sz w:val="32"/>
          <w:szCs w:val="32"/>
        </w:rPr>
        <w:t>202</w:t>
      </w:r>
      <w:r>
        <w:rPr>
          <w:rFonts w:hint="eastAsia" w:ascii="Calibri" w:hAnsi="Calibri" w:eastAsia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32"/>
          <w:szCs w:val="32"/>
        </w:rPr>
        <w:t>年项目支出。</w:t>
      </w:r>
    </w:p>
    <w:p>
      <w:pPr>
        <w:wordWrap w:val="0"/>
        <w:spacing w:before="213" w:after="0" w:line="239" w:lineRule="auto"/>
        <w:ind w:firstLine="760"/>
        <w:jc w:val="both"/>
        <w:rPr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五、下一步工作的意见和建议</w:t>
      </w:r>
    </w:p>
    <w:p>
      <w:pPr>
        <w:wordWrap w:val="0"/>
        <w:spacing w:before="0" w:after="0" w:line="324" w:lineRule="auto"/>
        <w:ind w:left="60" w:right="60" w:firstLine="700"/>
        <w:jc w:val="both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促进生态森林草原有效保护和管理</w:t>
      </w: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color w:val="000000"/>
          <w:sz w:val="32"/>
          <w:szCs w:val="32"/>
        </w:rPr>
        <w:t>确保林草资源的自然生长。</w:t>
      </w:r>
    </w:p>
    <w:p>
      <w:pPr>
        <w:wordWrap w:val="0"/>
        <w:spacing w:before="0" w:after="0" w:line="191" w:lineRule="auto"/>
        <w:ind w:firstLine="0"/>
        <w:jc w:val="both"/>
        <w:rPr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六、其他需要说明的问题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wordWrap w:val="0"/>
        <w:spacing w:before="0" w:after="0" w:line="191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7921625</wp:posOffset>
            </wp:positionH>
            <wp:positionV relativeFrom="page">
              <wp:posOffset>2339975</wp:posOffset>
            </wp:positionV>
            <wp:extent cx="1714500" cy="1778000"/>
            <wp:effectExtent l="0" t="0" r="0" b="12700"/>
            <wp:wrapNone/>
            <wp:docPr id="8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MP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32"/>
          <w:szCs w:val="32"/>
        </w:rPr>
        <w:t>无。</w:t>
      </w:r>
    </w:p>
    <w:p>
      <w:pPr>
        <w:wordWrap w:val="0"/>
        <w:spacing w:before="0" w:after="0" w:line="324" w:lineRule="auto"/>
        <w:ind w:left="60" w:right="60" w:firstLine="700"/>
        <w:jc w:val="both"/>
        <w:rPr>
          <w:rFonts w:hint="eastAsia" w:ascii="宋体" w:hAnsi="宋体" w:eastAsia="宋体"/>
          <w:color w:val="000000"/>
          <w:sz w:val="38"/>
          <w:lang w:val="en-US" w:eastAsia="zh-CN"/>
        </w:rPr>
      </w:pPr>
    </w:p>
    <w:p>
      <w:pPr>
        <w:wordWrap w:val="0"/>
        <w:spacing w:before="0" w:after="0" w:line="324" w:lineRule="auto"/>
        <w:ind w:left="60" w:right="60" w:firstLine="700"/>
        <w:jc w:val="right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昆明市郊野公园</w:t>
      </w:r>
    </w:p>
    <w:p>
      <w:pPr>
        <w:wordWrap w:val="0"/>
        <w:spacing w:before="0" w:after="0" w:line="324" w:lineRule="auto"/>
        <w:ind w:left="60" w:right="60" w:firstLine="700"/>
        <w:jc w:val="right"/>
        <w:rPr>
          <w:rFonts w:hint="eastAsia" w:ascii="宋体" w:hAnsi="宋体" w:eastAsia="宋体"/>
          <w:color w:val="000000"/>
          <w:sz w:val="3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2025年5月23日</w:t>
      </w:r>
    </w:p>
    <w:p>
      <w:pPr>
        <w:wordWrap w:val="0"/>
        <w:spacing w:before="0" w:after="0" w:line="191" w:lineRule="auto"/>
        <w:ind w:firstLine="160"/>
        <w:jc w:val="both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附件</w:t>
      </w:r>
      <w:r>
        <w:rPr>
          <w:rFonts w:hint="eastAsia" w:ascii="Calibri" w:hAnsi="Calibri" w:eastAsia="Calibri"/>
          <w:color w:val="000000"/>
          <w:sz w:val="21"/>
          <w:szCs w:val="21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</w:rPr>
        <w:t>：</w:t>
      </w:r>
    </w:p>
    <w:p>
      <w:pPr>
        <w:wordWrap w:val="0"/>
        <w:spacing w:before="0" w:after="0" w:line="240" w:lineRule="auto"/>
        <w:jc w:val="both"/>
        <w:rPr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五华区昆明市郊野公园财务部门支出项目</w:t>
      </w:r>
    </w:p>
    <w:p>
      <w:pPr>
        <w:wordWrap w:val="0"/>
        <w:spacing w:before="0" w:after="0" w:line="230" w:lineRule="auto"/>
        <w:ind w:firstLine="2960"/>
        <w:jc w:val="both"/>
        <w:rPr>
          <w:sz w:val="46"/>
        </w:rPr>
      </w:pPr>
      <w:r>
        <w:rPr>
          <w:rFonts w:hint="eastAsia" w:ascii="宋体" w:hAnsi="宋体" w:eastAsia="宋体"/>
          <w:b/>
          <w:color w:val="000000"/>
          <w:sz w:val="46"/>
        </w:rPr>
        <w:t>绩效评价问题清单</w:t>
      </w:r>
    </w:p>
    <w:tbl>
      <w:tblPr>
        <w:tblStyle w:val="4"/>
        <w:tblW w:w="958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940"/>
        <w:gridCol w:w="21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问题分类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after="0" w:line="239" w:lineRule="auto"/>
              <w:ind w:firstLine="16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项目责任单位</w:t>
            </w:r>
          </w:p>
        </w:tc>
        <w:tc>
          <w:tcPr>
            <w:tcW w:w="378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5" w:after="0" w:line="239" w:lineRule="auto"/>
              <w:ind w:firstLine="13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7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  <w:p>
            <w:pPr>
              <w:spacing w:before="0" w:after="0" w:line="201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项目立项存在的问题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20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18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05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资金管理存在的问题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after="0" w:line="239" w:lineRule="auto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7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  <w:p>
            <w:pPr>
              <w:spacing w:before="0" w:after="0" w:line="201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业务管理存在的问题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.....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10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  <w:p>
            <w:pPr>
              <w:spacing w:before="0" w:after="0" w:line="22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项目产出存在的问题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0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25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项目效益存在的问题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.....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  <w:p>
            <w:pPr>
              <w:spacing w:before="0" w:after="0" w:line="22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其他问题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3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39" w:lineRule="auto"/>
              <w:ind w:firstLine="12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" w:after="0" w:line="239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1"/>
              </w:rPr>
              <w:t>·····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昆明市郊野公园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10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580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spacing w:before="125" w:after="0" w:line="239" w:lineRule="auto"/>
              <w:ind w:firstLine="140"/>
              <w:jc w:val="both"/>
              <w:rPr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备注：</w:t>
            </w: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2154"/>
    <w:rsid w:val="04BD283F"/>
    <w:rsid w:val="0A800529"/>
    <w:rsid w:val="0C560B2A"/>
    <w:rsid w:val="130350BA"/>
    <w:rsid w:val="15156319"/>
    <w:rsid w:val="1FC54D85"/>
    <w:rsid w:val="1FE60E8C"/>
    <w:rsid w:val="21287B7A"/>
    <w:rsid w:val="22490643"/>
    <w:rsid w:val="23186699"/>
    <w:rsid w:val="29F20C19"/>
    <w:rsid w:val="2B971F51"/>
    <w:rsid w:val="2D2C7D42"/>
    <w:rsid w:val="2D7E1B91"/>
    <w:rsid w:val="2ED943C5"/>
    <w:rsid w:val="306C5BA2"/>
    <w:rsid w:val="32414601"/>
    <w:rsid w:val="3A070E46"/>
    <w:rsid w:val="3CC855B3"/>
    <w:rsid w:val="3FB7631D"/>
    <w:rsid w:val="46D748F4"/>
    <w:rsid w:val="48A32BAC"/>
    <w:rsid w:val="4A840BDB"/>
    <w:rsid w:val="4E10012D"/>
    <w:rsid w:val="59904C3F"/>
    <w:rsid w:val="5AE042F3"/>
    <w:rsid w:val="5DA91EBF"/>
    <w:rsid w:val="5FDE1397"/>
    <w:rsid w:val="618414B0"/>
    <w:rsid w:val="61CB41A2"/>
    <w:rsid w:val="61F50795"/>
    <w:rsid w:val="64EA6C6E"/>
    <w:rsid w:val="6B7F029F"/>
    <w:rsid w:val="6C9879CC"/>
    <w:rsid w:val="6E787465"/>
    <w:rsid w:val="701A2CA3"/>
    <w:rsid w:val="70673646"/>
    <w:rsid w:val="707A4658"/>
    <w:rsid w:val="71316DB8"/>
    <w:rsid w:val="71FC43DD"/>
    <w:rsid w:val="731A1A74"/>
    <w:rsid w:val="77312D8C"/>
    <w:rsid w:val="788A554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2025-08-29T03:52:29Z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