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AE8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黑体" w:eastAsia="方正小标宋简体" w:cs="Times New Roman"/>
          <w:color w:val="000000"/>
          <w:sz w:val="44"/>
          <w:szCs w:val="44"/>
          <w:lang w:eastAsia="zh-CN"/>
        </w:rPr>
      </w:pPr>
    </w:p>
    <w:p w14:paraId="7830B7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军队转业干部补助经费预算支出部门评价表</w:t>
      </w:r>
    </w:p>
    <w:p w14:paraId="1414C0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12"/>
        <w:tblpPr w:leftFromText="180" w:rightFromText="180" w:vertAnchor="text" w:horzAnchor="page" w:tblpXSpec="center" w:tblpY="258"/>
        <w:tblOverlap w:val="neve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277"/>
        <w:gridCol w:w="471"/>
        <w:gridCol w:w="2094"/>
        <w:gridCol w:w="510"/>
        <w:gridCol w:w="61"/>
        <w:gridCol w:w="734"/>
        <w:gridCol w:w="1440"/>
        <w:gridCol w:w="112"/>
        <w:gridCol w:w="1013"/>
        <w:gridCol w:w="307"/>
        <w:gridCol w:w="721"/>
        <w:gridCol w:w="112"/>
      </w:tblGrid>
      <w:tr w14:paraId="31F7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95" w:hRule="atLeast"/>
          <w:jc w:val="center"/>
        </w:trPr>
        <w:tc>
          <w:tcPr>
            <w:tcW w:w="1690" w:type="dxa"/>
            <w:gridSpan w:val="2"/>
            <w:noWrap w:val="0"/>
            <w:vAlign w:val="center"/>
          </w:tcPr>
          <w:p w14:paraId="65FA8A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463" w:type="dxa"/>
            <w:gridSpan w:val="10"/>
            <w:noWrap w:val="0"/>
            <w:vAlign w:val="center"/>
          </w:tcPr>
          <w:p w14:paraId="7DD1C98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sz w:val="18"/>
                <w:szCs w:val="18"/>
              </w:rPr>
              <w:t>军队转业干部补助经费</w:t>
            </w:r>
          </w:p>
        </w:tc>
      </w:tr>
      <w:tr w14:paraId="2C40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1690" w:type="dxa"/>
            <w:gridSpan w:val="2"/>
            <w:noWrap w:val="0"/>
            <w:vAlign w:val="center"/>
          </w:tcPr>
          <w:p w14:paraId="3386F0E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136" w:type="dxa"/>
            <w:gridSpan w:val="4"/>
            <w:noWrap w:val="0"/>
            <w:vAlign w:val="center"/>
          </w:tcPr>
          <w:p w14:paraId="4001301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昆明市退役军人事务局</w:t>
            </w:r>
          </w:p>
        </w:tc>
        <w:tc>
          <w:tcPr>
            <w:tcW w:w="2174" w:type="dxa"/>
            <w:gridSpan w:val="2"/>
            <w:noWrap w:val="0"/>
            <w:vAlign w:val="center"/>
          </w:tcPr>
          <w:p w14:paraId="580BED81">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53" w:type="dxa"/>
            <w:gridSpan w:val="4"/>
            <w:noWrap w:val="0"/>
            <w:vAlign w:val="center"/>
          </w:tcPr>
          <w:p w14:paraId="6ABEAFE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五华区退役军人事务局</w:t>
            </w:r>
          </w:p>
        </w:tc>
      </w:tr>
      <w:tr w14:paraId="0F9F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1690" w:type="dxa"/>
            <w:gridSpan w:val="2"/>
            <w:noWrap w:val="0"/>
            <w:vAlign w:val="center"/>
          </w:tcPr>
          <w:p w14:paraId="1D67EE4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136" w:type="dxa"/>
            <w:gridSpan w:val="4"/>
            <w:noWrap w:val="0"/>
            <w:vAlign w:val="center"/>
          </w:tcPr>
          <w:p w14:paraId="17550D75">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黄斌</w:t>
            </w:r>
          </w:p>
        </w:tc>
        <w:tc>
          <w:tcPr>
            <w:tcW w:w="2174" w:type="dxa"/>
            <w:gridSpan w:val="2"/>
            <w:noWrap w:val="0"/>
            <w:vAlign w:val="center"/>
          </w:tcPr>
          <w:p w14:paraId="4D54B99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53" w:type="dxa"/>
            <w:gridSpan w:val="4"/>
            <w:noWrap w:val="0"/>
            <w:vAlign w:val="center"/>
          </w:tcPr>
          <w:p w14:paraId="793414C5">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63589248</w:t>
            </w:r>
            <w:bookmarkStart w:id="6" w:name="_GoBack"/>
            <w:bookmarkEnd w:id="6"/>
          </w:p>
        </w:tc>
      </w:tr>
      <w:tr w14:paraId="1D1E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1690" w:type="dxa"/>
            <w:gridSpan w:val="2"/>
            <w:noWrap w:val="0"/>
            <w:vAlign w:val="center"/>
          </w:tcPr>
          <w:p w14:paraId="4D58A52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463" w:type="dxa"/>
            <w:gridSpan w:val="10"/>
            <w:noWrap w:val="0"/>
            <w:vAlign w:val="center"/>
          </w:tcPr>
          <w:p w14:paraId="3EDB110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经常性项目（</w:t>
            </w:r>
            <w:r>
              <w:rPr>
                <w:rFonts w:hint="eastAsia" w:ascii="宋体" w:hAnsi="宋体"/>
                <w:sz w:val="18"/>
                <w:szCs w:val="18"/>
              </w:rPr>
              <w:t>√</w:t>
            </w:r>
            <w:r>
              <w:rPr>
                <w:rFonts w:hint="eastAsia" w:ascii="宋体" w:hAnsi="宋体" w:eastAsia="宋体"/>
                <w:sz w:val="18"/>
                <w:szCs w:val="18"/>
              </w:rPr>
              <w:t>）       一次性项目（  ）</w:t>
            </w:r>
          </w:p>
        </w:tc>
      </w:tr>
      <w:tr w14:paraId="65A9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1690" w:type="dxa"/>
            <w:gridSpan w:val="2"/>
            <w:vMerge w:val="restart"/>
            <w:noWrap w:val="0"/>
            <w:vAlign w:val="center"/>
          </w:tcPr>
          <w:p w14:paraId="62C816B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2565" w:type="dxa"/>
            <w:gridSpan w:val="2"/>
            <w:noWrap w:val="0"/>
            <w:vAlign w:val="center"/>
          </w:tcPr>
          <w:p w14:paraId="66C21DE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305" w:type="dxa"/>
            <w:gridSpan w:val="3"/>
            <w:noWrap w:val="0"/>
            <w:vAlign w:val="center"/>
          </w:tcPr>
          <w:p w14:paraId="6E069DB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440" w:type="dxa"/>
            <w:noWrap w:val="0"/>
            <w:vAlign w:val="center"/>
          </w:tcPr>
          <w:p w14:paraId="3469D55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125" w:type="dxa"/>
            <w:gridSpan w:val="2"/>
            <w:noWrap w:val="0"/>
            <w:vAlign w:val="center"/>
          </w:tcPr>
          <w:p w14:paraId="28E4822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1028" w:type="dxa"/>
            <w:gridSpan w:val="2"/>
            <w:noWrap w:val="0"/>
            <w:vAlign w:val="center"/>
          </w:tcPr>
          <w:p w14:paraId="39A85B0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0B86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1690" w:type="dxa"/>
            <w:gridSpan w:val="2"/>
            <w:vMerge w:val="continue"/>
            <w:noWrap w:val="0"/>
            <w:vAlign w:val="center"/>
          </w:tcPr>
          <w:p w14:paraId="75DCB47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565" w:type="dxa"/>
            <w:gridSpan w:val="2"/>
            <w:noWrap w:val="0"/>
            <w:vAlign w:val="center"/>
          </w:tcPr>
          <w:p w14:paraId="379BB36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ascii="宋体" w:hAnsi="宋体" w:eastAsia="宋体"/>
                <w:sz w:val="18"/>
                <w:szCs w:val="18"/>
              </w:rPr>
              <w:t>军转干部补助经费</w:t>
            </w:r>
          </w:p>
        </w:tc>
        <w:tc>
          <w:tcPr>
            <w:tcW w:w="1305" w:type="dxa"/>
            <w:gridSpan w:val="3"/>
            <w:noWrap w:val="0"/>
            <w:vAlign w:val="center"/>
          </w:tcPr>
          <w:p w14:paraId="19A31B10">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459.94</w:t>
            </w:r>
          </w:p>
        </w:tc>
        <w:tc>
          <w:tcPr>
            <w:tcW w:w="1440" w:type="dxa"/>
            <w:shd w:val="clear" w:color="auto" w:fill="auto"/>
            <w:noWrap w:val="0"/>
            <w:vAlign w:val="center"/>
          </w:tcPr>
          <w:p w14:paraId="22E4C5BD">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459.94</w:t>
            </w:r>
          </w:p>
        </w:tc>
        <w:tc>
          <w:tcPr>
            <w:tcW w:w="1125" w:type="dxa"/>
            <w:gridSpan w:val="2"/>
            <w:noWrap w:val="0"/>
            <w:vAlign w:val="center"/>
          </w:tcPr>
          <w:p w14:paraId="787F6674">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312.98</w:t>
            </w:r>
          </w:p>
        </w:tc>
        <w:tc>
          <w:tcPr>
            <w:tcW w:w="1028" w:type="dxa"/>
            <w:gridSpan w:val="2"/>
            <w:noWrap w:val="0"/>
            <w:vAlign w:val="center"/>
          </w:tcPr>
          <w:p w14:paraId="37BDC885">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68.05%</w:t>
            </w:r>
          </w:p>
        </w:tc>
      </w:tr>
      <w:tr w14:paraId="0F6D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4255" w:type="dxa"/>
            <w:gridSpan w:val="4"/>
            <w:noWrap w:val="0"/>
            <w:vAlign w:val="center"/>
          </w:tcPr>
          <w:p w14:paraId="276B85D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305" w:type="dxa"/>
            <w:gridSpan w:val="3"/>
            <w:noWrap w:val="0"/>
            <w:vAlign w:val="center"/>
          </w:tcPr>
          <w:p w14:paraId="3FAB18E1">
            <w:pPr>
              <w:spacing w:line="300" w:lineRule="exact"/>
              <w:ind w:left="0" w:leftChars="0" w:right="0" w:rightChars="0" w:firstLine="0" w:firstLineChars="0"/>
              <w:jc w:val="center"/>
              <w:rPr>
                <w:rFonts w:hint="default" w:ascii="宋体" w:hAnsi="宋体"/>
                <w:sz w:val="18"/>
                <w:szCs w:val="18"/>
                <w:lang w:val="en-US" w:eastAsia="zh-CN"/>
              </w:rPr>
            </w:pPr>
            <w:r>
              <w:rPr>
                <w:rFonts w:hint="eastAsia" w:ascii="宋体" w:hAnsi="宋体"/>
                <w:sz w:val="18"/>
                <w:szCs w:val="18"/>
                <w:lang w:val="en-US" w:eastAsia="zh-CN"/>
              </w:rPr>
              <w:t>459.94</w:t>
            </w:r>
          </w:p>
        </w:tc>
        <w:tc>
          <w:tcPr>
            <w:tcW w:w="1440" w:type="dxa"/>
            <w:noWrap w:val="0"/>
            <w:vAlign w:val="center"/>
          </w:tcPr>
          <w:p w14:paraId="32BF42F9">
            <w:pPr>
              <w:spacing w:line="300" w:lineRule="exact"/>
              <w:ind w:left="0" w:leftChars="0" w:right="0" w:rightChars="0" w:firstLine="0" w:firstLineChars="0"/>
              <w:jc w:val="center"/>
              <w:rPr>
                <w:rFonts w:hint="default" w:ascii="宋体" w:hAnsi="宋体"/>
                <w:sz w:val="18"/>
                <w:szCs w:val="18"/>
                <w:lang w:val="en-US" w:eastAsia="zh-CN"/>
              </w:rPr>
            </w:pPr>
            <w:r>
              <w:rPr>
                <w:rFonts w:hint="eastAsia" w:ascii="宋体" w:hAnsi="宋体"/>
                <w:sz w:val="18"/>
                <w:szCs w:val="18"/>
                <w:lang w:val="en-US" w:eastAsia="zh-CN"/>
              </w:rPr>
              <w:t>459.94</w:t>
            </w:r>
          </w:p>
        </w:tc>
        <w:tc>
          <w:tcPr>
            <w:tcW w:w="1125" w:type="dxa"/>
            <w:gridSpan w:val="2"/>
            <w:noWrap w:val="0"/>
            <w:vAlign w:val="center"/>
          </w:tcPr>
          <w:p w14:paraId="6BD85D9B">
            <w:pPr>
              <w:spacing w:line="300" w:lineRule="exact"/>
              <w:ind w:left="0" w:leftChars="0" w:right="0" w:rightChars="0" w:firstLine="0" w:firstLineChars="0"/>
              <w:jc w:val="center"/>
              <w:rPr>
                <w:rFonts w:hint="default" w:ascii="宋体" w:hAnsi="宋体"/>
                <w:sz w:val="18"/>
                <w:szCs w:val="18"/>
                <w:lang w:val="en-US" w:eastAsia="zh-CN"/>
              </w:rPr>
            </w:pPr>
            <w:r>
              <w:rPr>
                <w:rFonts w:hint="eastAsia" w:ascii="宋体" w:hAnsi="宋体"/>
                <w:sz w:val="18"/>
                <w:szCs w:val="18"/>
                <w:lang w:val="en-US" w:eastAsia="zh-CN"/>
              </w:rPr>
              <w:t>312.98</w:t>
            </w:r>
          </w:p>
        </w:tc>
        <w:tc>
          <w:tcPr>
            <w:tcW w:w="1028" w:type="dxa"/>
            <w:gridSpan w:val="2"/>
            <w:noWrap w:val="0"/>
            <w:vAlign w:val="center"/>
          </w:tcPr>
          <w:p w14:paraId="5476AE91">
            <w:pPr>
              <w:spacing w:line="300" w:lineRule="exact"/>
              <w:ind w:left="0" w:leftChars="0" w:right="0" w:rightChars="0" w:firstLine="0" w:firstLineChars="0"/>
              <w:jc w:val="center"/>
              <w:rPr>
                <w:rFonts w:hint="default" w:ascii="宋体" w:hAnsi="宋体"/>
                <w:sz w:val="18"/>
                <w:szCs w:val="18"/>
                <w:lang w:val="en-US" w:eastAsia="zh-CN"/>
              </w:rPr>
            </w:pPr>
            <w:r>
              <w:rPr>
                <w:rFonts w:hint="eastAsia" w:ascii="宋体" w:hAnsi="宋体"/>
                <w:sz w:val="18"/>
                <w:szCs w:val="18"/>
                <w:lang w:val="en-US" w:eastAsia="zh-CN"/>
              </w:rPr>
              <w:t>68.05%</w:t>
            </w:r>
          </w:p>
        </w:tc>
      </w:tr>
      <w:tr w14:paraId="19CD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4255" w:type="dxa"/>
            <w:gridSpan w:val="4"/>
            <w:noWrap w:val="0"/>
            <w:vAlign w:val="center"/>
          </w:tcPr>
          <w:p w14:paraId="66F04A6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305" w:type="dxa"/>
            <w:gridSpan w:val="3"/>
            <w:noWrap w:val="0"/>
            <w:vAlign w:val="center"/>
          </w:tcPr>
          <w:p w14:paraId="7F7404EF">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362.92</w:t>
            </w:r>
          </w:p>
        </w:tc>
        <w:tc>
          <w:tcPr>
            <w:tcW w:w="1440" w:type="dxa"/>
            <w:noWrap w:val="0"/>
            <w:vAlign w:val="center"/>
          </w:tcPr>
          <w:p w14:paraId="2150B1C4">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362.92</w:t>
            </w:r>
          </w:p>
        </w:tc>
        <w:tc>
          <w:tcPr>
            <w:tcW w:w="1125" w:type="dxa"/>
            <w:gridSpan w:val="2"/>
            <w:noWrap w:val="0"/>
            <w:vAlign w:val="center"/>
          </w:tcPr>
          <w:p w14:paraId="61548900">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309.20</w:t>
            </w:r>
          </w:p>
        </w:tc>
        <w:tc>
          <w:tcPr>
            <w:tcW w:w="1028" w:type="dxa"/>
            <w:gridSpan w:val="2"/>
            <w:noWrap w:val="0"/>
            <w:vAlign w:val="center"/>
          </w:tcPr>
          <w:p w14:paraId="0088AB50">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85.20%</w:t>
            </w:r>
          </w:p>
        </w:tc>
      </w:tr>
      <w:tr w14:paraId="7CB6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4255" w:type="dxa"/>
            <w:gridSpan w:val="4"/>
            <w:noWrap w:val="0"/>
            <w:vAlign w:val="center"/>
          </w:tcPr>
          <w:p w14:paraId="07B8038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305" w:type="dxa"/>
            <w:gridSpan w:val="3"/>
            <w:noWrap w:val="0"/>
            <w:vAlign w:val="center"/>
          </w:tcPr>
          <w:p w14:paraId="16AF5ECD">
            <w:pPr>
              <w:keepNext w:val="0"/>
              <w:keepLines w:val="0"/>
              <w:widowControl/>
              <w:suppressLineNumbers w:val="0"/>
              <w:jc w:val="center"/>
              <w:textAlignment w:val="center"/>
              <w:rPr>
                <w:rFonts w:hint="default" w:ascii="宋体" w:hAnsi="宋体" w:eastAsia="宋体"/>
                <w:sz w:val="18"/>
                <w:szCs w:val="18"/>
                <w:lang w:val="en-US"/>
              </w:rPr>
            </w:pPr>
            <w:r>
              <w:rPr>
                <w:rFonts w:hint="eastAsia" w:ascii="宋体" w:hAnsi="宋体" w:eastAsia="宋体" w:cs="宋体"/>
                <w:i w:val="0"/>
                <w:iCs w:val="0"/>
                <w:color w:val="000000"/>
                <w:kern w:val="0"/>
                <w:sz w:val="18"/>
                <w:szCs w:val="18"/>
                <w:u w:val="none"/>
                <w:lang w:val="en-US" w:eastAsia="zh-CN" w:bidi="ar"/>
              </w:rPr>
              <w:t>0.6</w:t>
            </w:r>
          </w:p>
        </w:tc>
        <w:tc>
          <w:tcPr>
            <w:tcW w:w="1440" w:type="dxa"/>
            <w:noWrap w:val="0"/>
            <w:vAlign w:val="center"/>
          </w:tcPr>
          <w:p w14:paraId="4F625959">
            <w:pPr>
              <w:keepNext w:val="0"/>
              <w:keepLines w:val="0"/>
              <w:widowControl/>
              <w:suppressLineNumbers w:val="0"/>
              <w:jc w:val="center"/>
              <w:textAlignment w:val="center"/>
              <w:rPr>
                <w:rFonts w:hint="default" w:ascii="宋体" w:hAnsi="宋体"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0.6</w:t>
            </w:r>
          </w:p>
        </w:tc>
        <w:tc>
          <w:tcPr>
            <w:tcW w:w="1125" w:type="dxa"/>
            <w:gridSpan w:val="2"/>
            <w:noWrap w:val="0"/>
            <w:vAlign w:val="center"/>
          </w:tcPr>
          <w:p w14:paraId="32B8A7C9">
            <w:pPr>
              <w:keepNext w:val="0"/>
              <w:keepLines w:val="0"/>
              <w:widowControl/>
              <w:suppressLineNumbers w:val="0"/>
              <w:jc w:val="center"/>
              <w:textAlignment w:val="center"/>
              <w:rPr>
                <w:rFonts w:hint="default" w:ascii="宋体" w:hAnsi="宋体"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1028" w:type="dxa"/>
            <w:gridSpan w:val="2"/>
            <w:noWrap w:val="0"/>
            <w:vAlign w:val="center"/>
          </w:tcPr>
          <w:p w14:paraId="75BD0F90">
            <w:pPr>
              <w:keepNext w:val="0"/>
              <w:keepLines w:val="0"/>
              <w:widowControl/>
              <w:suppressLineNumbers w:val="0"/>
              <w:jc w:val="center"/>
              <w:textAlignment w:val="center"/>
              <w:rPr>
                <w:rFonts w:hint="default" w:ascii="宋体" w:hAnsi="宋体"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0.00%</w:t>
            </w:r>
          </w:p>
        </w:tc>
      </w:tr>
      <w:tr w14:paraId="2142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4255" w:type="dxa"/>
            <w:gridSpan w:val="4"/>
            <w:noWrap w:val="0"/>
            <w:vAlign w:val="center"/>
          </w:tcPr>
          <w:p w14:paraId="79BF361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305" w:type="dxa"/>
            <w:gridSpan w:val="3"/>
            <w:noWrap w:val="0"/>
            <w:vAlign w:val="center"/>
          </w:tcPr>
          <w:p w14:paraId="642A80A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0</w:t>
            </w:r>
          </w:p>
        </w:tc>
        <w:tc>
          <w:tcPr>
            <w:tcW w:w="1440" w:type="dxa"/>
            <w:noWrap w:val="0"/>
            <w:vAlign w:val="center"/>
          </w:tcPr>
          <w:p w14:paraId="20CC4B98">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1125" w:type="dxa"/>
            <w:gridSpan w:val="2"/>
            <w:noWrap w:val="0"/>
            <w:vAlign w:val="center"/>
          </w:tcPr>
          <w:p w14:paraId="2604DDA1">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1028" w:type="dxa"/>
            <w:gridSpan w:val="2"/>
            <w:noWrap w:val="0"/>
            <w:vAlign w:val="center"/>
          </w:tcPr>
          <w:p w14:paraId="7A38CFBF">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14:paraId="4BC8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4255" w:type="dxa"/>
            <w:gridSpan w:val="4"/>
            <w:noWrap w:val="0"/>
            <w:vAlign w:val="center"/>
          </w:tcPr>
          <w:p w14:paraId="08818B6D">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305" w:type="dxa"/>
            <w:gridSpan w:val="3"/>
            <w:noWrap w:val="0"/>
            <w:vAlign w:val="center"/>
          </w:tcPr>
          <w:p w14:paraId="78AB4BBC">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92.64</w:t>
            </w:r>
          </w:p>
        </w:tc>
        <w:tc>
          <w:tcPr>
            <w:tcW w:w="1440" w:type="dxa"/>
            <w:noWrap w:val="0"/>
            <w:vAlign w:val="center"/>
          </w:tcPr>
          <w:p w14:paraId="1DB02AA8">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92.64</w:t>
            </w:r>
          </w:p>
        </w:tc>
        <w:tc>
          <w:tcPr>
            <w:tcW w:w="1125" w:type="dxa"/>
            <w:gridSpan w:val="2"/>
            <w:noWrap w:val="0"/>
            <w:vAlign w:val="center"/>
          </w:tcPr>
          <w:p w14:paraId="14B3087A">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1028" w:type="dxa"/>
            <w:gridSpan w:val="2"/>
            <w:noWrap w:val="0"/>
            <w:vAlign w:val="center"/>
          </w:tcPr>
          <w:p w14:paraId="5BA14ECF">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14:paraId="31B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299" w:hRule="atLeast"/>
          <w:jc w:val="center"/>
        </w:trPr>
        <w:tc>
          <w:tcPr>
            <w:tcW w:w="4255" w:type="dxa"/>
            <w:gridSpan w:val="4"/>
            <w:noWrap w:val="0"/>
            <w:vAlign w:val="center"/>
          </w:tcPr>
          <w:p w14:paraId="46B63B8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305" w:type="dxa"/>
            <w:gridSpan w:val="3"/>
            <w:noWrap w:val="0"/>
            <w:vAlign w:val="center"/>
          </w:tcPr>
          <w:p w14:paraId="21B49B9C">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3.78</w:t>
            </w:r>
          </w:p>
        </w:tc>
        <w:tc>
          <w:tcPr>
            <w:tcW w:w="1440" w:type="dxa"/>
            <w:noWrap w:val="0"/>
            <w:vAlign w:val="center"/>
          </w:tcPr>
          <w:p w14:paraId="0CF29B5D">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3.78</w:t>
            </w:r>
          </w:p>
        </w:tc>
        <w:tc>
          <w:tcPr>
            <w:tcW w:w="1125" w:type="dxa"/>
            <w:gridSpan w:val="2"/>
            <w:noWrap w:val="0"/>
            <w:vAlign w:val="center"/>
          </w:tcPr>
          <w:p w14:paraId="66C39E39">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3.78</w:t>
            </w:r>
          </w:p>
        </w:tc>
        <w:tc>
          <w:tcPr>
            <w:tcW w:w="1028" w:type="dxa"/>
            <w:gridSpan w:val="2"/>
            <w:noWrap w:val="0"/>
            <w:vAlign w:val="center"/>
          </w:tcPr>
          <w:p w14:paraId="28E53FA2">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54AB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299" w:hRule="atLeast"/>
          <w:jc w:val="center"/>
        </w:trPr>
        <w:tc>
          <w:tcPr>
            <w:tcW w:w="1690" w:type="dxa"/>
            <w:gridSpan w:val="2"/>
            <w:vMerge w:val="restart"/>
            <w:noWrap w:val="0"/>
            <w:vAlign w:val="center"/>
          </w:tcPr>
          <w:p w14:paraId="2F50B12D">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870" w:type="dxa"/>
            <w:gridSpan w:val="5"/>
            <w:noWrap w:val="0"/>
            <w:vAlign w:val="center"/>
          </w:tcPr>
          <w:p w14:paraId="320FCD86">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593" w:type="dxa"/>
            <w:gridSpan w:val="5"/>
            <w:noWrap w:val="0"/>
            <w:vAlign w:val="center"/>
          </w:tcPr>
          <w:p w14:paraId="6B24D670">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19B4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1019" w:hRule="atLeast"/>
          <w:jc w:val="center"/>
        </w:trPr>
        <w:tc>
          <w:tcPr>
            <w:tcW w:w="1690" w:type="dxa"/>
            <w:gridSpan w:val="2"/>
            <w:vMerge w:val="continue"/>
            <w:noWrap w:val="0"/>
            <w:vAlign w:val="center"/>
          </w:tcPr>
          <w:p w14:paraId="5A8FBE91">
            <w:pPr>
              <w:spacing w:line="300" w:lineRule="exact"/>
              <w:ind w:left="0" w:leftChars="0" w:right="0" w:rightChars="0" w:firstLine="0" w:firstLineChars="0"/>
              <w:jc w:val="center"/>
              <w:rPr>
                <w:rFonts w:hint="eastAsia" w:ascii="宋体" w:hAnsi="宋体"/>
                <w:sz w:val="18"/>
                <w:szCs w:val="18"/>
                <w:lang w:val="en-US" w:eastAsia="zh-CN"/>
              </w:rPr>
            </w:pPr>
          </w:p>
        </w:tc>
        <w:tc>
          <w:tcPr>
            <w:tcW w:w="3870" w:type="dxa"/>
            <w:gridSpan w:val="5"/>
            <w:noWrap w:val="0"/>
            <w:vAlign w:val="center"/>
          </w:tcPr>
          <w:p w14:paraId="0EC29B06">
            <w:pPr>
              <w:spacing w:line="300" w:lineRule="exact"/>
              <w:ind w:left="0" w:leftChars="0" w:right="0" w:rightChars="0" w:firstLine="0" w:firstLineChars="0"/>
              <w:jc w:val="left"/>
              <w:rPr>
                <w:rFonts w:hint="eastAsia" w:ascii="宋体" w:hAnsi="宋体" w:eastAsia="宋体"/>
                <w:sz w:val="18"/>
                <w:szCs w:val="18"/>
                <w:lang w:eastAsia="zh-CN"/>
              </w:rPr>
            </w:pPr>
            <w:bookmarkStart w:id="0" w:name="OLE_LINK1"/>
            <w:r>
              <w:rPr>
                <w:rFonts w:hint="eastAsia"/>
                <w:sz w:val="18"/>
                <w:szCs w:val="18"/>
                <w:lang w:val="en-US" w:eastAsia="zh-CN"/>
              </w:rPr>
              <w:t>完成</w:t>
            </w:r>
            <w:r>
              <w:rPr>
                <w:rFonts w:hint="eastAsia"/>
                <w:sz w:val="18"/>
                <w:szCs w:val="18"/>
              </w:rPr>
              <w:t>2024年军队转业干部补助发放</w:t>
            </w:r>
            <w:bookmarkEnd w:id="0"/>
            <w:r>
              <w:rPr>
                <w:rFonts w:hint="eastAsia"/>
                <w:sz w:val="18"/>
                <w:szCs w:val="18"/>
                <w:lang w:eastAsia="zh-CN"/>
              </w:rPr>
              <w:t>，保障服务管理机构正常运转。</w:t>
            </w:r>
          </w:p>
        </w:tc>
        <w:tc>
          <w:tcPr>
            <w:tcW w:w="3593" w:type="dxa"/>
            <w:gridSpan w:val="5"/>
            <w:noWrap w:val="0"/>
            <w:vAlign w:val="center"/>
          </w:tcPr>
          <w:p w14:paraId="74A9B9F7">
            <w:pPr>
              <w:spacing w:line="300" w:lineRule="exact"/>
              <w:ind w:left="0" w:leftChars="0" w:right="0" w:rightChars="0" w:firstLine="0" w:firstLineChars="0"/>
              <w:jc w:val="left"/>
              <w:rPr>
                <w:rFonts w:hint="eastAsia" w:ascii="宋体" w:hAnsi="宋体" w:eastAsia="宋体"/>
                <w:sz w:val="18"/>
                <w:szCs w:val="18"/>
              </w:rPr>
            </w:pPr>
            <w:r>
              <w:rPr>
                <w:rFonts w:hint="eastAsia"/>
                <w:sz w:val="18"/>
                <w:szCs w:val="18"/>
              </w:rPr>
              <w:t>2024年</w:t>
            </w:r>
            <w:r>
              <w:rPr>
                <w:rFonts w:hint="eastAsia"/>
                <w:sz w:val="18"/>
                <w:szCs w:val="18"/>
                <w:lang w:val="en-US" w:eastAsia="zh-CN"/>
              </w:rPr>
              <w:t>已及时准确发放</w:t>
            </w:r>
            <w:r>
              <w:rPr>
                <w:rFonts w:hint="eastAsia"/>
                <w:sz w:val="18"/>
                <w:szCs w:val="18"/>
              </w:rPr>
              <w:t>军队转业干部补助</w:t>
            </w:r>
            <w:r>
              <w:rPr>
                <w:rFonts w:hint="eastAsia"/>
                <w:sz w:val="18"/>
                <w:szCs w:val="18"/>
                <w:lang w:eastAsia="zh-CN"/>
              </w:rPr>
              <w:t>，服务管理机构正常运转。</w:t>
            </w:r>
          </w:p>
        </w:tc>
      </w:tr>
      <w:tr w14:paraId="458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12" w:type="dxa"/>
          <w:trHeight w:val="364" w:hRule="atLeast"/>
          <w:jc w:val="center"/>
        </w:trPr>
        <w:tc>
          <w:tcPr>
            <w:tcW w:w="9153" w:type="dxa"/>
            <w:gridSpan w:val="12"/>
            <w:noWrap w:val="0"/>
            <w:vAlign w:val="center"/>
          </w:tcPr>
          <w:p w14:paraId="5B2EEE7B">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4862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1E1E8E0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2"/>
            <w:tcBorders>
              <w:top w:val="single" w:color="000000" w:sz="4" w:space="0"/>
              <w:left w:val="single" w:color="000000" w:sz="4" w:space="0"/>
              <w:right w:val="single" w:color="000000" w:sz="4" w:space="0"/>
            </w:tcBorders>
            <w:noWrap w:val="0"/>
            <w:vAlign w:val="center"/>
          </w:tcPr>
          <w:p w14:paraId="300D5165">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04FB4F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50061F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540B3BC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7634F60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28BDF53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2F41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7F4D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3591780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2"/>
            <w:vMerge w:val="restart"/>
            <w:tcBorders>
              <w:top w:val="single" w:color="000000" w:sz="4" w:space="0"/>
              <w:left w:val="single" w:color="000000" w:sz="4" w:space="0"/>
              <w:right w:val="single" w:color="000000" w:sz="4" w:space="0"/>
            </w:tcBorders>
            <w:noWrap w:val="0"/>
            <w:vAlign w:val="center"/>
          </w:tcPr>
          <w:p w14:paraId="08688CD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2094" w:type="dxa"/>
            <w:vMerge w:val="restart"/>
            <w:tcBorders>
              <w:top w:val="single" w:color="000000" w:sz="4" w:space="0"/>
              <w:left w:val="single" w:color="000000" w:sz="4" w:space="0"/>
              <w:right w:val="single" w:color="000000" w:sz="4" w:space="0"/>
            </w:tcBorders>
            <w:noWrap w:val="0"/>
            <w:vAlign w:val="center"/>
          </w:tcPr>
          <w:p w14:paraId="58DAC5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510" w:type="dxa"/>
            <w:vMerge w:val="restart"/>
            <w:tcBorders>
              <w:top w:val="single" w:color="000000" w:sz="4" w:space="0"/>
              <w:left w:val="single" w:color="000000" w:sz="4" w:space="0"/>
              <w:right w:val="single" w:color="000000" w:sz="4" w:space="0"/>
            </w:tcBorders>
            <w:noWrap w:val="0"/>
            <w:vAlign w:val="center"/>
          </w:tcPr>
          <w:p w14:paraId="27EADB3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7AD3F6E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5429F3F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0A8F0ED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6E93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98E2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2"/>
            <w:vMerge w:val="continue"/>
            <w:tcBorders>
              <w:left w:val="single" w:color="000000" w:sz="4" w:space="0"/>
              <w:right w:val="single" w:color="000000" w:sz="4" w:space="0"/>
            </w:tcBorders>
            <w:noWrap w:val="0"/>
            <w:vAlign w:val="center"/>
          </w:tcPr>
          <w:p w14:paraId="24AAA6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3DDA726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000000" w:sz="4" w:space="0"/>
            </w:tcBorders>
            <w:noWrap w:val="0"/>
            <w:vAlign w:val="center"/>
          </w:tcPr>
          <w:p w14:paraId="34E7A82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4FF9B69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38253A3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3C10933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1B56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938B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2"/>
            <w:vMerge w:val="continue"/>
            <w:tcBorders>
              <w:left w:val="single" w:color="000000" w:sz="4" w:space="0"/>
              <w:right w:val="single" w:color="000000" w:sz="4" w:space="0"/>
            </w:tcBorders>
            <w:noWrap w:val="0"/>
            <w:vAlign w:val="center"/>
          </w:tcPr>
          <w:p w14:paraId="118E574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restart"/>
            <w:tcBorders>
              <w:left w:val="single" w:color="000000" w:sz="4" w:space="0"/>
              <w:right w:val="single" w:color="000000" w:sz="4" w:space="0"/>
            </w:tcBorders>
            <w:noWrap w:val="0"/>
            <w:vAlign w:val="center"/>
          </w:tcPr>
          <w:p w14:paraId="7168F56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510" w:type="dxa"/>
            <w:vMerge w:val="restart"/>
            <w:tcBorders>
              <w:left w:val="single" w:color="000000" w:sz="4" w:space="0"/>
              <w:right w:val="single" w:color="000000" w:sz="4" w:space="0"/>
            </w:tcBorders>
            <w:noWrap w:val="0"/>
            <w:vAlign w:val="center"/>
          </w:tcPr>
          <w:p w14:paraId="16F7067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3EBA090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14DC1DF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89E4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1982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5755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2"/>
            <w:vMerge w:val="continue"/>
            <w:tcBorders>
              <w:left w:val="single" w:color="000000" w:sz="4" w:space="0"/>
              <w:right w:val="single" w:color="000000" w:sz="4" w:space="0"/>
            </w:tcBorders>
            <w:noWrap w:val="0"/>
            <w:vAlign w:val="center"/>
          </w:tcPr>
          <w:p w14:paraId="6D31CD2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2906625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000000" w:sz="4" w:space="0"/>
            </w:tcBorders>
            <w:noWrap w:val="0"/>
            <w:vAlign w:val="center"/>
          </w:tcPr>
          <w:p w14:paraId="4BE282B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42AE084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2CC3BD1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2EBD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405D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891F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left w:val="single" w:color="000000" w:sz="4" w:space="0"/>
              <w:right w:val="single" w:color="000000" w:sz="4" w:space="0"/>
            </w:tcBorders>
            <w:noWrap w:val="0"/>
            <w:vAlign w:val="center"/>
          </w:tcPr>
          <w:p w14:paraId="040503DB">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A07D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BD0F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3AFF872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202952A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FFF5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3EA0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39D8E9F8">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left w:val="single" w:color="000000" w:sz="4" w:space="0"/>
              <w:bottom w:val="single" w:color="auto" w:sz="4" w:space="0"/>
              <w:right w:val="single" w:color="000000" w:sz="4" w:space="0"/>
            </w:tcBorders>
            <w:noWrap w:val="0"/>
            <w:vAlign w:val="center"/>
          </w:tcPr>
          <w:p w14:paraId="582FB8B6">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7F87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1213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53E70C4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2E8AA43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39A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2452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5EBF0F6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2"/>
            <w:vMerge w:val="continue"/>
            <w:tcBorders>
              <w:top w:val="single" w:color="auto" w:sz="4" w:space="0"/>
              <w:left w:val="single" w:color="000000" w:sz="4" w:space="0"/>
              <w:right w:val="single" w:color="000000" w:sz="4" w:space="0"/>
            </w:tcBorders>
            <w:noWrap w:val="0"/>
            <w:vAlign w:val="center"/>
          </w:tcPr>
          <w:p w14:paraId="65D045C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D8968F">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46B1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3660F4FD">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74F7C19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51A433B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14:paraId="013A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15B5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left w:val="single" w:color="000000" w:sz="4" w:space="0"/>
              <w:right w:val="single" w:color="000000" w:sz="4" w:space="0"/>
            </w:tcBorders>
            <w:noWrap w:val="0"/>
            <w:vAlign w:val="center"/>
          </w:tcPr>
          <w:p w14:paraId="287E54CE">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22FD1">
            <w:pPr>
              <w:spacing w:line="300" w:lineRule="exact"/>
              <w:ind w:left="0" w:leftChars="0" w:right="0" w:rightChars="0" w:firstLine="0" w:firstLineChars="0"/>
              <w:jc w:val="center"/>
              <w:rPr>
                <w:rFonts w:hint="eastAsia" w:ascii="宋体" w:hAnsi="宋体" w:eastAsia="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59067">
            <w:pPr>
              <w:spacing w:line="300" w:lineRule="exact"/>
              <w:ind w:left="0" w:leftChars="0" w:right="0" w:rightChars="0" w:firstLine="0" w:firstLineChars="0"/>
              <w:jc w:val="center"/>
              <w:rPr>
                <w:rFonts w:hint="eastAsia" w:ascii="宋体" w:hAnsi="宋体" w:eastAsia="宋体"/>
                <w:sz w:val="18"/>
                <w:szCs w:val="18"/>
              </w:rPr>
            </w:pP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718A02A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4D52C3B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77CAE88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14:paraId="6552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F3F1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left w:val="single" w:color="000000" w:sz="4" w:space="0"/>
              <w:right w:val="single" w:color="000000" w:sz="4" w:space="0"/>
            </w:tcBorders>
            <w:noWrap w:val="0"/>
            <w:vAlign w:val="center"/>
          </w:tcPr>
          <w:p w14:paraId="09D53439">
            <w:pPr>
              <w:spacing w:line="300" w:lineRule="exact"/>
              <w:ind w:left="0" w:leftChars="0" w:right="0" w:rightChars="0" w:firstLine="0" w:firstLineChars="0"/>
              <w:jc w:val="center"/>
              <w:rPr>
                <w:rFonts w:hint="eastAsia" w:ascii="宋体" w:hAnsi="宋体" w:eastAsia="宋体"/>
                <w:sz w:val="18"/>
                <w:szCs w:val="18"/>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68F78AD">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02BD62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3CD5F26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3CEB84D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77E6B58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473A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ADD2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left w:val="single" w:color="000000" w:sz="4" w:space="0"/>
              <w:right w:val="single" w:color="000000" w:sz="4" w:space="0"/>
            </w:tcBorders>
            <w:noWrap w:val="0"/>
            <w:vAlign w:val="center"/>
          </w:tcPr>
          <w:p w14:paraId="59D1F176">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292638C3">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510" w:type="dxa"/>
            <w:vMerge w:val="restart"/>
            <w:tcBorders>
              <w:top w:val="single" w:color="000000" w:sz="4" w:space="0"/>
              <w:left w:val="single" w:color="000000" w:sz="4" w:space="0"/>
              <w:right w:val="single" w:color="000000" w:sz="4" w:space="0"/>
            </w:tcBorders>
            <w:noWrap w:val="0"/>
            <w:vAlign w:val="center"/>
          </w:tcPr>
          <w:p w14:paraId="468250D9">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7DFA7A7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19B2407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5DCFA2F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6D47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F664F">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left w:val="single" w:color="000000" w:sz="4" w:space="0"/>
              <w:bottom w:val="single" w:color="000000" w:sz="4" w:space="0"/>
              <w:right w:val="single" w:color="000000" w:sz="4" w:space="0"/>
            </w:tcBorders>
            <w:noWrap w:val="0"/>
            <w:vAlign w:val="center"/>
          </w:tcPr>
          <w:p w14:paraId="00E4F61F">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35925B0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000000" w:sz="4" w:space="0"/>
            </w:tcBorders>
            <w:noWrap w:val="0"/>
            <w:vAlign w:val="center"/>
          </w:tcPr>
          <w:p w14:paraId="568BD81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gridSpan w:val="4"/>
            <w:tcBorders>
              <w:top w:val="single" w:color="000000" w:sz="4" w:space="0"/>
              <w:left w:val="single" w:color="000000" w:sz="4" w:space="0"/>
              <w:bottom w:val="single" w:color="000000" w:sz="4" w:space="0"/>
              <w:right w:val="single" w:color="000000" w:sz="4" w:space="0"/>
            </w:tcBorders>
            <w:noWrap w:val="0"/>
            <w:vAlign w:val="center"/>
          </w:tcPr>
          <w:p w14:paraId="6262995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3EBC513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gridSpan w:val="2"/>
            <w:tcBorders>
              <w:top w:val="single" w:color="000000" w:sz="4" w:space="0"/>
              <w:left w:val="single" w:color="000000" w:sz="4" w:space="0"/>
              <w:bottom w:val="single" w:color="000000" w:sz="4" w:space="0"/>
              <w:right w:val="single" w:color="000000" w:sz="4" w:space="0"/>
            </w:tcBorders>
            <w:noWrap w:val="0"/>
            <w:vAlign w:val="center"/>
          </w:tcPr>
          <w:p w14:paraId="159B1D0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bl>
    <w:p w14:paraId="35FEC7E9"/>
    <w:tbl>
      <w:tblPr>
        <w:tblStyle w:val="12"/>
        <w:tblpPr w:leftFromText="180" w:rightFromText="180" w:vertAnchor="text" w:horzAnchor="page" w:tblpXSpec="center" w:tblpY="258"/>
        <w:tblOverlap w:val="never"/>
        <w:tblW w:w="9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186"/>
        <w:gridCol w:w="562"/>
        <w:gridCol w:w="2094"/>
        <w:gridCol w:w="510"/>
        <w:gridCol w:w="2091"/>
        <w:gridCol w:w="256"/>
        <w:gridCol w:w="1320"/>
        <w:gridCol w:w="833"/>
      </w:tblGrid>
      <w:tr w14:paraId="7CDE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7132367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2"/>
            <w:vMerge w:val="restart"/>
            <w:tcBorders>
              <w:top w:val="single" w:color="000000" w:sz="4" w:space="0"/>
              <w:left w:val="single" w:color="000000" w:sz="4" w:space="0"/>
              <w:right w:val="single" w:color="000000" w:sz="4" w:space="0"/>
            </w:tcBorders>
            <w:noWrap w:val="0"/>
            <w:vAlign w:val="center"/>
          </w:tcPr>
          <w:p w14:paraId="1A824E1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2094" w:type="dxa"/>
            <w:tcBorders>
              <w:top w:val="single" w:color="000000" w:sz="4" w:space="0"/>
              <w:left w:val="single" w:color="000000" w:sz="4" w:space="0"/>
              <w:right w:val="single" w:color="000000" w:sz="4" w:space="0"/>
            </w:tcBorders>
            <w:noWrap w:val="0"/>
            <w:vAlign w:val="center"/>
          </w:tcPr>
          <w:p w14:paraId="2959954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10" w:type="dxa"/>
            <w:tcBorders>
              <w:top w:val="single" w:color="000000" w:sz="4" w:space="0"/>
              <w:left w:val="single" w:color="000000" w:sz="4" w:space="0"/>
              <w:right w:val="single" w:color="auto" w:sz="4" w:space="0"/>
            </w:tcBorders>
            <w:noWrap w:val="0"/>
            <w:vAlign w:val="center"/>
          </w:tcPr>
          <w:p w14:paraId="469BDAE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409D716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军转干部</w:t>
            </w:r>
            <w:r>
              <w:rPr>
                <w:rFonts w:hint="eastAsia" w:ascii="宋体" w:hAnsi="宋体" w:eastAsia="宋体"/>
                <w:color w:val="000000"/>
                <w:sz w:val="18"/>
                <w:szCs w:val="18"/>
              </w:rPr>
              <w:t>补助发放率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324835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F16E97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14:paraId="2E23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413" w:type="dxa"/>
            <w:vMerge w:val="continue"/>
            <w:tcBorders>
              <w:left w:val="single" w:color="000000" w:sz="4" w:space="0"/>
              <w:right w:val="single" w:color="000000" w:sz="4" w:space="0"/>
            </w:tcBorders>
            <w:noWrap w:val="0"/>
            <w:vAlign w:val="center"/>
          </w:tcPr>
          <w:p w14:paraId="033ABE7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955E4F">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360D06C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510" w:type="dxa"/>
            <w:vMerge w:val="restart"/>
            <w:tcBorders>
              <w:top w:val="single" w:color="000000" w:sz="4" w:space="0"/>
              <w:left w:val="single" w:color="000000" w:sz="4" w:space="0"/>
              <w:right w:val="single" w:color="auto" w:sz="4" w:space="0"/>
            </w:tcBorders>
            <w:noWrap w:val="0"/>
            <w:vAlign w:val="center"/>
          </w:tcPr>
          <w:p w14:paraId="7166E0E4">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137C34E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补助按标准兑现率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C39D31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C0C9B2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2779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413" w:type="dxa"/>
            <w:vMerge w:val="continue"/>
            <w:tcBorders>
              <w:left w:val="single" w:color="000000" w:sz="4" w:space="0"/>
              <w:right w:val="single" w:color="000000" w:sz="4" w:space="0"/>
            </w:tcBorders>
            <w:noWrap w:val="0"/>
            <w:vAlign w:val="center"/>
          </w:tcPr>
          <w:p w14:paraId="5E6A3A7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A76E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right w:val="single" w:color="000000" w:sz="4" w:space="0"/>
            </w:tcBorders>
            <w:noWrap w:val="0"/>
            <w:vAlign w:val="center"/>
          </w:tcPr>
          <w:p w14:paraId="747E86A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right w:val="single" w:color="auto" w:sz="4" w:space="0"/>
            </w:tcBorders>
            <w:noWrap w:val="0"/>
            <w:vAlign w:val="center"/>
          </w:tcPr>
          <w:p w14:paraId="7F313D4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44F7CC80">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机构运转情况</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FA1A22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8B589D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2A98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13" w:type="dxa"/>
            <w:vMerge w:val="continue"/>
            <w:tcBorders>
              <w:left w:val="single" w:color="000000" w:sz="4" w:space="0"/>
              <w:right w:val="single" w:color="000000" w:sz="4" w:space="0"/>
            </w:tcBorders>
            <w:noWrap w:val="0"/>
            <w:vAlign w:val="center"/>
          </w:tcPr>
          <w:p w14:paraId="25265BF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871354">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1F598A8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510" w:type="dxa"/>
            <w:vMerge w:val="restart"/>
            <w:tcBorders>
              <w:top w:val="single" w:color="000000" w:sz="4" w:space="0"/>
              <w:left w:val="single" w:color="000000" w:sz="4" w:space="0"/>
              <w:right w:val="single" w:color="auto" w:sz="4" w:space="0"/>
            </w:tcBorders>
            <w:noWrap w:val="0"/>
            <w:vAlign w:val="center"/>
          </w:tcPr>
          <w:p w14:paraId="26B7059F">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8</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08C90B5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补助发放及时率</w:t>
            </w:r>
          </w:p>
        </w:tc>
        <w:tc>
          <w:tcPr>
            <w:tcW w:w="1320" w:type="dxa"/>
            <w:tcBorders>
              <w:top w:val="single" w:color="auto" w:sz="4" w:space="0"/>
              <w:left w:val="single" w:color="auto" w:sz="4" w:space="0"/>
              <w:bottom w:val="single" w:color="000000" w:sz="4" w:space="0"/>
              <w:right w:val="single" w:color="000000" w:sz="4" w:space="0"/>
            </w:tcBorders>
            <w:noWrap w:val="0"/>
            <w:vAlign w:val="center"/>
          </w:tcPr>
          <w:p w14:paraId="1A6DFD1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14:paraId="47FA9AC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001D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413" w:type="dxa"/>
            <w:vMerge w:val="continue"/>
            <w:tcBorders>
              <w:left w:val="single" w:color="000000" w:sz="4" w:space="0"/>
              <w:right w:val="single" w:color="000000" w:sz="4" w:space="0"/>
            </w:tcBorders>
            <w:noWrap w:val="0"/>
            <w:vAlign w:val="center"/>
          </w:tcPr>
          <w:p w14:paraId="3594948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63FE07C">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left w:val="single" w:color="000000" w:sz="4" w:space="0"/>
              <w:right w:val="single" w:color="000000" w:sz="4" w:space="0"/>
            </w:tcBorders>
            <w:noWrap w:val="0"/>
            <w:vAlign w:val="center"/>
          </w:tcPr>
          <w:p w14:paraId="527E13C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right w:val="single" w:color="auto" w:sz="4" w:space="0"/>
            </w:tcBorders>
            <w:noWrap w:val="0"/>
            <w:vAlign w:val="center"/>
          </w:tcPr>
          <w:p w14:paraId="54D952C6">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39FC069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完成时限</w:t>
            </w:r>
          </w:p>
        </w:tc>
        <w:tc>
          <w:tcPr>
            <w:tcW w:w="1320" w:type="dxa"/>
            <w:tcBorders>
              <w:top w:val="single" w:color="auto" w:sz="4" w:space="0"/>
              <w:left w:val="single" w:color="auto" w:sz="4" w:space="0"/>
              <w:bottom w:val="single" w:color="000000" w:sz="4" w:space="0"/>
              <w:right w:val="single" w:color="000000" w:sz="4" w:space="0"/>
            </w:tcBorders>
            <w:noWrap w:val="0"/>
            <w:vAlign w:val="center"/>
          </w:tcPr>
          <w:p w14:paraId="7254D69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14:paraId="2EC7C12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42D4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13" w:type="dxa"/>
            <w:vMerge w:val="continue"/>
            <w:tcBorders>
              <w:left w:val="single" w:color="000000" w:sz="4" w:space="0"/>
              <w:right w:val="single" w:color="000000" w:sz="4" w:space="0"/>
            </w:tcBorders>
            <w:noWrap w:val="0"/>
            <w:vAlign w:val="center"/>
          </w:tcPr>
          <w:p w14:paraId="0E8B1454">
            <w:pPr>
              <w:autoSpaceDN w:val="0"/>
              <w:spacing w:line="300" w:lineRule="exact"/>
              <w:ind w:left="0" w:leftChars="0" w:right="0" w:rightChars="0" w:firstLine="0" w:firstLineChars="0"/>
              <w:jc w:val="center"/>
              <w:textAlignment w:val="center"/>
            </w:pPr>
          </w:p>
        </w:tc>
        <w:tc>
          <w:tcPr>
            <w:tcW w:w="748" w:type="dxa"/>
            <w:gridSpan w:val="2"/>
            <w:vMerge w:val="continue"/>
            <w:tcBorders>
              <w:left w:val="single" w:color="000000" w:sz="4" w:space="0"/>
              <w:bottom w:val="single" w:color="000000" w:sz="4" w:space="0"/>
              <w:right w:val="single" w:color="000000" w:sz="4" w:space="0"/>
            </w:tcBorders>
            <w:noWrap w:val="0"/>
            <w:vAlign w:val="center"/>
          </w:tcPr>
          <w:p w14:paraId="0F2A9B16">
            <w:pPr>
              <w:autoSpaceDN w:val="0"/>
              <w:spacing w:line="300" w:lineRule="exact"/>
              <w:ind w:left="0" w:leftChars="0" w:right="0" w:rightChars="0" w:firstLine="0" w:firstLineChars="0"/>
              <w:jc w:val="center"/>
              <w:textAlignment w:val="center"/>
            </w:pPr>
          </w:p>
        </w:tc>
        <w:tc>
          <w:tcPr>
            <w:tcW w:w="2094" w:type="dxa"/>
            <w:vMerge w:val="continue"/>
            <w:tcBorders>
              <w:left w:val="single" w:color="000000" w:sz="4" w:space="0"/>
              <w:bottom w:val="single" w:color="000000" w:sz="4" w:space="0"/>
              <w:right w:val="single" w:color="000000" w:sz="4" w:space="0"/>
            </w:tcBorders>
            <w:noWrap w:val="0"/>
            <w:vAlign w:val="center"/>
          </w:tcPr>
          <w:p w14:paraId="0D276574">
            <w:pPr>
              <w:autoSpaceDN w:val="0"/>
              <w:spacing w:line="300" w:lineRule="exact"/>
              <w:ind w:left="0" w:leftChars="0" w:right="0" w:rightChars="0" w:firstLine="0" w:firstLineChars="0"/>
              <w:jc w:val="center"/>
              <w:textAlignment w:val="center"/>
            </w:pPr>
          </w:p>
        </w:tc>
        <w:tc>
          <w:tcPr>
            <w:tcW w:w="510" w:type="dxa"/>
            <w:vMerge w:val="continue"/>
            <w:tcBorders>
              <w:left w:val="single" w:color="000000" w:sz="4" w:space="0"/>
              <w:bottom w:val="single" w:color="000000" w:sz="4" w:space="0"/>
              <w:right w:val="single" w:color="auto" w:sz="4" w:space="0"/>
            </w:tcBorders>
            <w:noWrap w:val="0"/>
            <w:vAlign w:val="center"/>
          </w:tcPr>
          <w:p w14:paraId="7E10C813">
            <w:pPr>
              <w:autoSpaceDN w:val="0"/>
              <w:spacing w:line="300" w:lineRule="exact"/>
              <w:ind w:left="0" w:leftChars="0" w:right="0" w:rightChars="0" w:firstLine="0" w:firstLineChars="0"/>
              <w:jc w:val="center"/>
              <w:textAlignment w:val="center"/>
            </w:pP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345636B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全年预算执行率</w:t>
            </w:r>
          </w:p>
        </w:tc>
        <w:tc>
          <w:tcPr>
            <w:tcW w:w="1320" w:type="dxa"/>
            <w:tcBorders>
              <w:top w:val="single" w:color="auto" w:sz="4" w:space="0"/>
              <w:left w:val="single" w:color="auto" w:sz="4" w:space="0"/>
              <w:bottom w:val="single" w:color="000000" w:sz="4" w:space="0"/>
              <w:right w:val="single" w:color="000000" w:sz="4" w:space="0"/>
            </w:tcBorders>
            <w:noWrap w:val="0"/>
            <w:vAlign w:val="center"/>
          </w:tcPr>
          <w:p w14:paraId="4E3A936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14:paraId="3C060A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429B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13" w:type="dxa"/>
            <w:vMerge w:val="continue"/>
            <w:tcBorders>
              <w:left w:val="single" w:color="000000" w:sz="4" w:space="0"/>
              <w:right w:val="single" w:color="000000" w:sz="4" w:space="0"/>
            </w:tcBorders>
            <w:noWrap w:val="0"/>
            <w:vAlign w:val="center"/>
          </w:tcPr>
          <w:p w14:paraId="04C30BA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82E5F4">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58CD2DB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510" w:type="dxa"/>
            <w:vMerge w:val="restart"/>
            <w:tcBorders>
              <w:top w:val="single" w:color="000000" w:sz="4" w:space="0"/>
              <w:left w:val="single" w:color="000000" w:sz="4" w:space="0"/>
              <w:right w:val="single" w:color="auto" w:sz="4" w:space="0"/>
            </w:tcBorders>
            <w:noWrap w:val="0"/>
            <w:vAlign w:val="center"/>
          </w:tcPr>
          <w:p w14:paraId="2C568A09">
            <w:pPr>
              <w:spacing w:line="300" w:lineRule="exact"/>
              <w:ind w:left="0" w:leftChars="0" w:right="0" w:rightChars="0" w:firstLine="180" w:firstLineChars="100"/>
              <w:jc w:val="both"/>
              <w:rPr>
                <w:rFonts w:hint="default" w:ascii="宋体" w:hAnsi="宋体" w:eastAsia="宋体"/>
                <w:sz w:val="18"/>
                <w:szCs w:val="18"/>
                <w:lang w:val="en-US" w:eastAsia="zh-CN"/>
              </w:rPr>
            </w:pPr>
            <w:r>
              <w:rPr>
                <w:rFonts w:hint="eastAsia" w:ascii="宋体" w:hAnsi="宋体"/>
                <w:sz w:val="18"/>
                <w:szCs w:val="18"/>
                <w:lang w:val="en-US" w:eastAsia="zh-CN"/>
              </w:rPr>
              <w:t>6</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1D0BD5E">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补助发放</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4CD2D25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EEC4A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3BCA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1413" w:type="dxa"/>
            <w:vMerge w:val="continue"/>
            <w:tcBorders>
              <w:left w:val="single" w:color="000000" w:sz="4" w:space="0"/>
              <w:right w:val="single" w:color="000000" w:sz="4" w:space="0"/>
            </w:tcBorders>
            <w:noWrap w:val="0"/>
            <w:vAlign w:val="center"/>
          </w:tcPr>
          <w:p w14:paraId="15F0907D">
            <w:pPr>
              <w:autoSpaceDN w:val="0"/>
              <w:spacing w:line="300" w:lineRule="exact"/>
              <w:ind w:left="0" w:leftChars="0" w:right="0" w:rightChars="0" w:firstLine="0" w:firstLineChars="0"/>
              <w:jc w:val="center"/>
              <w:textAlignment w:val="center"/>
            </w:pPr>
          </w:p>
        </w:tc>
        <w:tc>
          <w:tcPr>
            <w:tcW w:w="748" w:type="dxa"/>
            <w:gridSpan w:val="2"/>
            <w:vMerge w:val="continue"/>
            <w:tcBorders>
              <w:left w:val="single" w:color="000000" w:sz="4" w:space="0"/>
              <w:bottom w:val="single" w:color="000000" w:sz="4" w:space="0"/>
              <w:right w:val="single" w:color="000000" w:sz="4" w:space="0"/>
            </w:tcBorders>
            <w:noWrap w:val="0"/>
            <w:vAlign w:val="center"/>
          </w:tcPr>
          <w:p w14:paraId="5B98BAA1">
            <w:pPr>
              <w:autoSpaceDN w:val="0"/>
              <w:spacing w:line="300" w:lineRule="exact"/>
              <w:ind w:left="0" w:leftChars="0" w:right="0" w:rightChars="0" w:firstLine="0" w:firstLineChars="0"/>
              <w:jc w:val="center"/>
              <w:textAlignment w:val="center"/>
            </w:pPr>
          </w:p>
        </w:tc>
        <w:tc>
          <w:tcPr>
            <w:tcW w:w="2094" w:type="dxa"/>
            <w:vMerge w:val="continue"/>
            <w:tcBorders>
              <w:left w:val="single" w:color="000000" w:sz="4" w:space="0"/>
              <w:bottom w:val="single" w:color="000000" w:sz="4" w:space="0"/>
              <w:right w:val="single" w:color="000000" w:sz="4" w:space="0"/>
            </w:tcBorders>
            <w:noWrap w:val="0"/>
            <w:vAlign w:val="center"/>
          </w:tcPr>
          <w:p w14:paraId="1A9AF6A7">
            <w:pPr>
              <w:autoSpaceDN w:val="0"/>
              <w:spacing w:line="300" w:lineRule="exact"/>
              <w:ind w:left="0" w:leftChars="0" w:right="0" w:rightChars="0" w:firstLine="0" w:firstLineChars="0"/>
              <w:jc w:val="center"/>
              <w:textAlignment w:val="center"/>
            </w:pPr>
          </w:p>
        </w:tc>
        <w:tc>
          <w:tcPr>
            <w:tcW w:w="510" w:type="dxa"/>
            <w:vMerge w:val="continue"/>
            <w:tcBorders>
              <w:left w:val="single" w:color="000000" w:sz="4" w:space="0"/>
              <w:bottom w:val="single" w:color="000000" w:sz="4" w:space="0"/>
              <w:right w:val="single" w:color="auto" w:sz="4" w:space="0"/>
            </w:tcBorders>
            <w:noWrap w:val="0"/>
            <w:vAlign w:val="center"/>
          </w:tcPr>
          <w:p w14:paraId="0C80982F">
            <w:pPr>
              <w:autoSpaceDN w:val="0"/>
              <w:spacing w:line="300" w:lineRule="exact"/>
              <w:ind w:left="0" w:leftChars="0" w:right="0" w:rightChars="0" w:firstLine="0" w:firstLineChars="0"/>
              <w:jc w:val="center"/>
              <w:textAlignment w:val="center"/>
            </w:pP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1BDCD1F">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成本节约</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43AD3F7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047295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51F2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1413" w:type="dxa"/>
            <w:vMerge w:val="continue"/>
            <w:tcBorders>
              <w:left w:val="single" w:color="000000" w:sz="4" w:space="0"/>
              <w:right w:val="single" w:color="000000" w:sz="4" w:space="0"/>
            </w:tcBorders>
            <w:noWrap w:val="0"/>
            <w:vAlign w:val="center"/>
          </w:tcPr>
          <w:p w14:paraId="1D1E593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FDE9C3">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0A783856">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510" w:type="dxa"/>
            <w:vMerge w:val="restart"/>
            <w:tcBorders>
              <w:top w:val="single" w:color="000000" w:sz="4" w:space="0"/>
              <w:left w:val="single" w:color="000000" w:sz="4" w:space="0"/>
              <w:right w:val="single" w:color="auto" w:sz="4" w:space="0"/>
            </w:tcBorders>
            <w:noWrap w:val="0"/>
            <w:vAlign w:val="center"/>
          </w:tcPr>
          <w:p w14:paraId="12D0AE8B">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30ABF72F">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s="宋体"/>
                <w:i w:val="0"/>
                <w:iCs w:val="0"/>
                <w:color w:val="000000"/>
                <w:kern w:val="0"/>
                <w:sz w:val="20"/>
                <w:szCs w:val="20"/>
                <w:u w:val="none"/>
                <w:lang w:val="en-US" w:eastAsia="zh-CN" w:bidi="ar"/>
              </w:rPr>
              <w:t>军转干部</w:t>
            </w:r>
            <w:r>
              <w:rPr>
                <w:rFonts w:hint="eastAsia" w:ascii="宋体" w:hAnsi="宋体" w:eastAsia="宋体" w:cs="宋体"/>
                <w:i w:val="0"/>
                <w:iCs w:val="0"/>
                <w:color w:val="000000"/>
                <w:kern w:val="0"/>
                <w:sz w:val="20"/>
                <w:szCs w:val="20"/>
                <w:u w:val="none"/>
                <w:lang w:val="en-US" w:eastAsia="zh-CN" w:bidi="ar"/>
              </w:rPr>
              <w:t>稳定情况</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6D9EC54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1B67943">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w:t>
            </w:r>
          </w:p>
        </w:tc>
      </w:tr>
      <w:tr w14:paraId="1339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1413" w:type="dxa"/>
            <w:vMerge w:val="continue"/>
            <w:tcBorders>
              <w:left w:val="single" w:color="000000" w:sz="4" w:space="0"/>
              <w:right w:val="single" w:color="000000" w:sz="4" w:space="0"/>
            </w:tcBorders>
            <w:noWrap w:val="0"/>
            <w:vAlign w:val="center"/>
          </w:tcPr>
          <w:p w14:paraId="1FC1611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2"/>
            <w:vMerge w:val="continue"/>
            <w:tcBorders>
              <w:left w:val="single" w:color="000000" w:sz="4" w:space="0"/>
              <w:bottom w:val="single" w:color="000000" w:sz="4" w:space="0"/>
              <w:right w:val="single" w:color="000000" w:sz="4" w:space="0"/>
            </w:tcBorders>
            <w:noWrap w:val="0"/>
            <w:vAlign w:val="center"/>
          </w:tcPr>
          <w:p w14:paraId="143CF45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6D980B2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auto" w:sz="4" w:space="0"/>
            </w:tcBorders>
            <w:noWrap w:val="0"/>
            <w:vAlign w:val="center"/>
          </w:tcPr>
          <w:p w14:paraId="6E77706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71A5E925">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军转干部生活改善情况</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404DFC4F">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C24D16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w:t>
            </w:r>
          </w:p>
        </w:tc>
      </w:tr>
      <w:tr w14:paraId="1734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20100FC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0DFA9A">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4C64EFF6">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510" w:type="dxa"/>
            <w:vMerge w:val="restart"/>
            <w:tcBorders>
              <w:top w:val="single" w:color="000000" w:sz="4" w:space="0"/>
              <w:left w:val="single" w:color="000000" w:sz="4" w:space="0"/>
              <w:right w:val="single" w:color="000000" w:sz="4" w:space="0"/>
            </w:tcBorders>
            <w:noWrap w:val="0"/>
            <w:vAlign w:val="center"/>
          </w:tcPr>
          <w:p w14:paraId="34A0F73B">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347" w:type="dxa"/>
            <w:gridSpan w:val="2"/>
            <w:tcBorders>
              <w:top w:val="single" w:color="auto" w:sz="4" w:space="0"/>
              <w:left w:val="single" w:color="000000" w:sz="4" w:space="0"/>
              <w:bottom w:val="single" w:color="000000" w:sz="4" w:space="0"/>
              <w:right w:val="single" w:color="000000" w:sz="4" w:space="0"/>
            </w:tcBorders>
            <w:noWrap w:val="0"/>
            <w:vAlign w:val="center"/>
          </w:tcPr>
          <w:p w14:paraId="0AFEB742">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自主择业干部满意度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F2F2C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C9032B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0CC5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05A8DA88">
            <w:pPr>
              <w:autoSpaceDN w:val="0"/>
              <w:spacing w:line="300" w:lineRule="exact"/>
              <w:ind w:left="0" w:leftChars="0" w:right="0" w:rightChars="0" w:firstLine="0" w:firstLineChars="0"/>
              <w:jc w:val="center"/>
              <w:textAlignment w:val="center"/>
            </w:pPr>
          </w:p>
        </w:tc>
        <w:tc>
          <w:tcPr>
            <w:tcW w:w="7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833B5C">
            <w:pPr>
              <w:autoSpaceDN w:val="0"/>
              <w:spacing w:line="300" w:lineRule="exact"/>
              <w:ind w:left="0" w:leftChars="0" w:right="0" w:rightChars="0" w:firstLine="0" w:firstLineChars="0"/>
              <w:jc w:val="center"/>
              <w:textAlignment w:val="center"/>
            </w:pPr>
          </w:p>
        </w:tc>
        <w:tc>
          <w:tcPr>
            <w:tcW w:w="2094" w:type="dxa"/>
            <w:vMerge w:val="continue"/>
            <w:tcBorders>
              <w:left w:val="single" w:color="000000" w:sz="4" w:space="0"/>
              <w:right w:val="single" w:color="000000" w:sz="4" w:space="0"/>
            </w:tcBorders>
            <w:noWrap w:val="0"/>
            <w:vAlign w:val="center"/>
          </w:tcPr>
          <w:p w14:paraId="216A29D2">
            <w:pPr>
              <w:autoSpaceDN w:val="0"/>
              <w:spacing w:line="300" w:lineRule="exact"/>
              <w:ind w:left="0" w:leftChars="0" w:right="0" w:rightChars="0" w:firstLine="0" w:firstLineChars="0"/>
              <w:jc w:val="center"/>
              <w:textAlignment w:val="center"/>
            </w:pPr>
          </w:p>
        </w:tc>
        <w:tc>
          <w:tcPr>
            <w:tcW w:w="510" w:type="dxa"/>
            <w:vMerge w:val="continue"/>
            <w:tcBorders>
              <w:left w:val="single" w:color="000000" w:sz="4" w:space="0"/>
              <w:right w:val="single" w:color="000000" w:sz="4" w:space="0"/>
            </w:tcBorders>
            <w:noWrap w:val="0"/>
            <w:vAlign w:val="center"/>
          </w:tcPr>
          <w:p w14:paraId="36EE692F">
            <w:pPr>
              <w:autoSpaceDN w:val="0"/>
              <w:spacing w:line="300" w:lineRule="exact"/>
              <w:ind w:left="0" w:leftChars="0" w:right="0" w:rightChars="0" w:firstLine="0" w:firstLineChars="0"/>
              <w:jc w:val="center"/>
              <w:textAlignment w:val="center"/>
            </w:pPr>
          </w:p>
        </w:tc>
        <w:tc>
          <w:tcPr>
            <w:tcW w:w="2347" w:type="dxa"/>
            <w:gridSpan w:val="2"/>
            <w:tcBorders>
              <w:top w:val="single" w:color="auto" w:sz="4" w:space="0"/>
              <w:left w:val="single" w:color="000000" w:sz="4" w:space="0"/>
              <w:bottom w:val="single" w:color="000000" w:sz="4" w:space="0"/>
              <w:right w:val="single" w:color="000000" w:sz="4" w:space="0"/>
            </w:tcBorders>
            <w:noWrap w:val="0"/>
            <w:vAlign w:val="center"/>
          </w:tcPr>
          <w:p w14:paraId="78D7CF00">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逐月领取退役金人员满意度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4586D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039431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137B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0E5890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4E3B454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9751C4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0376CE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347" w:type="dxa"/>
            <w:gridSpan w:val="2"/>
            <w:tcBorders>
              <w:top w:val="single" w:color="000000" w:sz="4" w:space="0"/>
              <w:left w:val="single" w:color="000000" w:sz="4" w:space="0"/>
              <w:bottom w:val="single" w:color="000000" w:sz="4" w:space="0"/>
              <w:right w:val="single" w:color="000000" w:sz="4" w:space="0"/>
            </w:tcBorders>
            <w:noWrap w:val="0"/>
            <w:vAlign w:val="center"/>
          </w:tcPr>
          <w:p w14:paraId="1AFB579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8415B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DF3BFC">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98</w:t>
            </w:r>
          </w:p>
        </w:tc>
      </w:tr>
      <w:tr w14:paraId="5487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4AF5D3F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852" w:type="dxa"/>
            <w:gridSpan w:val="8"/>
            <w:noWrap w:val="0"/>
            <w:vAlign w:val="center"/>
          </w:tcPr>
          <w:p w14:paraId="52CBB0D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cs="宋体"/>
                <w:color w:val="000000"/>
                <w:kern w:val="0"/>
                <w:sz w:val="18"/>
                <w:szCs w:val="18"/>
              </w:rPr>
              <w:sym w:font="Wingdings 2" w:char="F052"/>
            </w:r>
            <w:r>
              <w:rPr>
                <w:rFonts w:hint="eastAsia" w:ascii="宋体" w:hAnsi="宋体" w:cs="宋体"/>
                <w:color w:val="000000"/>
                <w:kern w:val="0"/>
                <w:sz w:val="18"/>
                <w:szCs w:val="18"/>
              </w:rPr>
              <w:t xml:space="preserve"> </w:t>
            </w:r>
            <w:r>
              <w:rPr>
                <w:rFonts w:hint="eastAsia" w:ascii="宋体" w:hAnsi="宋体" w:eastAsia="宋体" w:cs="宋体"/>
                <w:color w:val="000000"/>
                <w:kern w:val="0"/>
                <w:sz w:val="18"/>
                <w:szCs w:val="18"/>
              </w:rPr>
              <w:t xml:space="preserve">       良□       中 □       差□</w:t>
            </w:r>
          </w:p>
        </w:tc>
      </w:tr>
      <w:tr w14:paraId="365E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74356437">
            <w:pPr>
              <w:spacing w:line="300" w:lineRule="exact"/>
              <w:ind w:left="0" w:leftChars="0" w:right="0" w:rightChars="0" w:firstLine="0" w:firstLineChars="0"/>
              <w:jc w:val="center"/>
              <w:rPr>
                <w:rFonts w:hint="eastAsia" w:ascii="宋体" w:hAnsi="宋体" w:eastAsia="宋体"/>
                <w:sz w:val="18"/>
                <w:szCs w:val="18"/>
              </w:rPr>
            </w:pPr>
          </w:p>
        </w:tc>
        <w:tc>
          <w:tcPr>
            <w:tcW w:w="7852" w:type="dxa"/>
            <w:gridSpan w:val="8"/>
            <w:noWrap w:val="0"/>
            <w:vAlign w:val="center"/>
          </w:tcPr>
          <w:p w14:paraId="2C20007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1664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noWrap w:val="0"/>
            <w:vAlign w:val="center"/>
          </w:tcPr>
          <w:p w14:paraId="1F5F7858">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852" w:type="dxa"/>
            <w:gridSpan w:val="8"/>
            <w:noWrap w:val="0"/>
            <w:vAlign w:val="top"/>
          </w:tcPr>
          <w:p w14:paraId="7D65FDEB">
            <w:pPr>
              <w:spacing w:line="300" w:lineRule="exact"/>
              <w:jc w:val="left"/>
              <w:rPr>
                <w:rFonts w:ascii="宋体" w:hAnsi="宋体"/>
                <w:sz w:val="18"/>
                <w:szCs w:val="18"/>
              </w:rPr>
            </w:pPr>
            <w:r>
              <w:rPr>
                <w:rFonts w:hint="eastAsia" w:ascii="宋体" w:hAnsi="宋体"/>
                <w:sz w:val="18"/>
                <w:szCs w:val="18"/>
              </w:rPr>
              <w:t>存在的问题：一是预算执行率未达1</w:t>
            </w:r>
            <w:r>
              <w:rPr>
                <w:rFonts w:ascii="宋体" w:hAnsi="宋体"/>
                <w:sz w:val="18"/>
                <w:szCs w:val="18"/>
              </w:rPr>
              <w:t>00</w:t>
            </w:r>
            <w:r>
              <w:rPr>
                <w:rFonts w:hint="eastAsia" w:ascii="宋体" w:hAnsi="宋体"/>
                <w:sz w:val="18"/>
                <w:szCs w:val="18"/>
              </w:rPr>
              <w:t>%。二是项目指标体系建设有待加强，存在绩效目标设置不全面，细化量化工作不到位的情况。</w:t>
            </w:r>
          </w:p>
          <w:p w14:paraId="30EAABD2">
            <w:pPr>
              <w:pStyle w:val="11"/>
              <w:spacing w:line="300" w:lineRule="exact"/>
              <w:jc w:val="left"/>
              <w:rPr>
                <w:rFonts w:ascii="宋体" w:hAnsi="宋体"/>
                <w:sz w:val="18"/>
                <w:szCs w:val="18"/>
              </w:rPr>
            </w:pPr>
            <w:r>
              <w:rPr>
                <w:rFonts w:hint="eastAsia" w:ascii="宋体" w:hAnsi="宋体"/>
                <w:sz w:val="18"/>
                <w:szCs w:val="18"/>
              </w:rPr>
              <w:t>建议：一是下一步工作中积极与区财政局进行工作对接，保障项目资金足额并及时到位。二是加强绩效目标管理及增加相关培训，提高部门预算绩效目标管理的科学性、规范性和有效性。做好细化量化工作，绩效目标应当从数量、质量、成本、时效以及经济效益、社会效益、环境效益、可持续影响、满意度等方面进行细化，尽量进行定量表述。不能以量化形式表述的，可采用定性表述，但应具有可衡量性。</w:t>
            </w:r>
          </w:p>
          <w:p w14:paraId="72511697">
            <w:pPr>
              <w:pStyle w:val="11"/>
              <w:rPr>
                <w:rFonts w:hint="eastAsia" w:ascii="宋体" w:hAnsi="宋体" w:eastAsia="宋体" w:cs="宋体"/>
                <w:color w:val="000000"/>
                <w:kern w:val="0"/>
                <w:sz w:val="18"/>
                <w:szCs w:val="18"/>
                <w:lang w:val="en-US" w:eastAsia="zh-CN"/>
              </w:rPr>
            </w:pPr>
          </w:p>
        </w:tc>
      </w:tr>
      <w:tr w14:paraId="5C36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65" w:type="dxa"/>
            <w:gridSpan w:val="9"/>
            <w:noWrap w:val="0"/>
            <w:vAlign w:val="center"/>
          </w:tcPr>
          <w:p w14:paraId="5D5A911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0F47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2140AAC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656" w:type="dxa"/>
            <w:gridSpan w:val="2"/>
            <w:noWrap w:val="0"/>
            <w:vAlign w:val="center"/>
          </w:tcPr>
          <w:p w14:paraId="793628D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601" w:type="dxa"/>
            <w:gridSpan w:val="2"/>
            <w:noWrap w:val="0"/>
            <w:vAlign w:val="center"/>
          </w:tcPr>
          <w:p w14:paraId="3335E97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09" w:type="dxa"/>
            <w:gridSpan w:val="3"/>
            <w:noWrap w:val="0"/>
            <w:vAlign w:val="center"/>
          </w:tcPr>
          <w:p w14:paraId="1752ECB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43B6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112464F3">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李德海</w:t>
            </w:r>
          </w:p>
        </w:tc>
        <w:tc>
          <w:tcPr>
            <w:tcW w:w="2656" w:type="dxa"/>
            <w:gridSpan w:val="2"/>
            <w:shd w:val="clear" w:color="auto" w:fill="auto"/>
            <w:noWrap w:val="0"/>
            <w:vAlign w:val="center"/>
          </w:tcPr>
          <w:p w14:paraId="5DE3AF51">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党</w:t>
            </w:r>
            <w:r>
              <w:rPr>
                <w:rFonts w:hint="eastAsia" w:ascii="宋体" w:hAnsi="宋体" w:cs="Times New Roman"/>
                <w:sz w:val="18"/>
                <w:szCs w:val="18"/>
                <w:lang w:val="en-US" w:eastAsia="zh-CN"/>
              </w:rPr>
              <w:t>组</w:t>
            </w:r>
            <w:r>
              <w:rPr>
                <w:rFonts w:hint="eastAsia" w:ascii="宋体" w:hAnsi="宋体" w:eastAsia="宋体" w:cs="Times New Roman"/>
                <w:sz w:val="18"/>
                <w:szCs w:val="18"/>
                <w:lang w:val="en-US" w:eastAsia="zh-CN"/>
              </w:rPr>
              <w:t>书记、局长</w:t>
            </w:r>
          </w:p>
        </w:tc>
        <w:tc>
          <w:tcPr>
            <w:tcW w:w="2601" w:type="dxa"/>
            <w:gridSpan w:val="2"/>
            <w:shd w:val="clear" w:color="auto" w:fill="auto"/>
            <w:noWrap w:val="0"/>
            <w:vAlign w:val="center"/>
          </w:tcPr>
          <w:p w14:paraId="725FA2A8">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昆明市五华区退役军人事务局</w:t>
            </w:r>
          </w:p>
        </w:tc>
        <w:tc>
          <w:tcPr>
            <w:tcW w:w="2409" w:type="dxa"/>
            <w:gridSpan w:val="3"/>
            <w:noWrap w:val="0"/>
            <w:vAlign w:val="center"/>
          </w:tcPr>
          <w:p w14:paraId="6FF19E9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7394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1DF0A113">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李亮</w:t>
            </w:r>
          </w:p>
        </w:tc>
        <w:tc>
          <w:tcPr>
            <w:tcW w:w="2656" w:type="dxa"/>
            <w:gridSpan w:val="2"/>
            <w:shd w:val="clear" w:color="auto" w:fill="auto"/>
            <w:noWrap w:val="0"/>
            <w:vAlign w:val="center"/>
          </w:tcPr>
          <w:p w14:paraId="6A0923F9">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党</w:t>
            </w:r>
            <w:r>
              <w:rPr>
                <w:rFonts w:hint="eastAsia" w:ascii="宋体" w:hAnsi="宋体" w:cs="Times New Roman"/>
                <w:sz w:val="18"/>
                <w:szCs w:val="18"/>
                <w:lang w:val="en-US" w:eastAsia="zh-CN"/>
              </w:rPr>
              <w:t>组成员</w:t>
            </w:r>
            <w:r>
              <w:rPr>
                <w:rFonts w:hint="eastAsia" w:ascii="宋体" w:hAnsi="宋体" w:eastAsia="宋体" w:cs="Times New Roman"/>
                <w:sz w:val="18"/>
                <w:szCs w:val="18"/>
                <w:lang w:val="en-US" w:eastAsia="zh-CN"/>
              </w:rPr>
              <w:t>、副局长</w:t>
            </w:r>
          </w:p>
        </w:tc>
        <w:tc>
          <w:tcPr>
            <w:tcW w:w="2601" w:type="dxa"/>
            <w:gridSpan w:val="2"/>
            <w:shd w:val="clear" w:color="auto" w:fill="auto"/>
            <w:noWrap w:val="0"/>
            <w:vAlign w:val="center"/>
          </w:tcPr>
          <w:p w14:paraId="236C5179">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昆明市五华区退役军人事务局</w:t>
            </w:r>
          </w:p>
        </w:tc>
        <w:tc>
          <w:tcPr>
            <w:tcW w:w="2409" w:type="dxa"/>
            <w:gridSpan w:val="3"/>
            <w:noWrap w:val="0"/>
            <w:vAlign w:val="center"/>
          </w:tcPr>
          <w:p w14:paraId="1C1DD51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0C71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48EF45D0">
            <w:pPr>
              <w:spacing w:line="260" w:lineRule="exact"/>
              <w:jc w:val="cente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孟任</w:t>
            </w:r>
          </w:p>
        </w:tc>
        <w:tc>
          <w:tcPr>
            <w:tcW w:w="2656" w:type="dxa"/>
            <w:gridSpan w:val="2"/>
            <w:shd w:val="clear" w:color="auto" w:fill="auto"/>
            <w:noWrap w:val="0"/>
            <w:vAlign w:val="center"/>
          </w:tcPr>
          <w:p w14:paraId="0F3D6060">
            <w:pPr>
              <w:spacing w:line="260" w:lineRule="exact"/>
              <w:jc w:val="center"/>
              <w:rPr>
                <w:rFonts w:hint="eastAsia" w:ascii="宋体" w:hAnsi="宋体" w:eastAsia="宋体" w:cs="Times New Roman"/>
                <w:kern w:val="2"/>
                <w:sz w:val="18"/>
                <w:szCs w:val="18"/>
                <w:lang w:val="en-US" w:eastAsia="zh-CN" w:bidi="ar-SA"/>
              </w:rPr>
            </w:pPr>
            <w:bookmarkStart w:id="1" w:name="OLE_LINK2"/>
            <w:r>
              <w:rPr>
                <w:rFonts w:hint="eastAsia" w:ascii="宋体" w:hAnsi="宋体" w:cs="Times New Roman"/>
                <w:sz w:val="18"/>
                <w:szCs w:val="18"/>
                <w:lang w:val="en-US" w:eastAsia="zh-CN"/>
              </w:rPr>
              <w:t>党组成</w:t>
            </w:r>
            <w:r>
              <w:rPr>
                <w:rFonts w:hint="eastAsia" w:ascii="宋体" w:hAnsi="宋体" w:eastAsia="宋体" w:cs="Times New Roman"/>
                <w:sz w:val="18"/>
                <w:szCs w:val="18"/>
                <w:lang w:val="en-US" w:eastAsia="zh-CN"/>
              </w:rPr>
              <w:t>员</w:t>
            </w:r>
            <w:bookmarkEnd w:id="1"/>
            <w:r>
              <w:rPr>
                <w:rFonts w:hint="eastAsia" w:ascii="宋体" w:hAnsi="宋体" w:eastAsia="宋体" w:cs="Times New Roman"/>
                <w:sz w:val="18"/>
                <w:szCs w:val="18"/>
                <w:lang w:val="en-US" w:eastAsia="zh-CN"/>
              </w:rPr>
              <w:t>、副局长</w:t>
            </w:r>
          </w:p>
        </w:tc>
        <w:tc>
          <w:tcPr>
            <w:tcW w:w="2601" w:type="dxa"/>
            <w:gridSpan w:val="2"/>
            <w:shd w:val="clear" w:color="auto" w:fill="auto"/>
            <w:noWrap w:val="0"/>
            <w:vAlign w:val="center"/>
          </w:tcPr>
          <w:p w14:paraId="36DF1D7C">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昆明市五华区退役军人事务局</w:t>
            </w:r>
          </w:p>
        </w:tc>
        <w:tc>
          <w:tcPr>
            <w:tcW w:w="2409" w:type="dxa"/>
            <w:gridSpan w:val="3"/>
            <w:noWrap w:val="0"/>
            <w:vAlign w:val="center"/>
          </w:tcPr>
          <w:p w14:paraId="0D881C0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017A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28B43E41">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司友华</w:t>
            </w:r>
          </w:p>
        </w:tc>
        <w:tc>
          <w:tcPr>
            <w:tcW w:w="2656" w:type="dxa"/>
            <w:gridSpan w:val="2"/>
            <w:shd w:val="clear" w:color="auto" w:fill="auto"/>
            <w:noWrap w:val="0"/>
            <w:vAlign w:val="center"/>
          </w:tcPr>
          <w:p w14:paraId="238FDF55">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党组成</w:t>
            </w:r>
            <w:r>
              <w:rPr>
                <w:rFonts w:hint="eastAsia" w:ascii="宋体" w:hAnsi="宋体" w:eastAsia="宋体" w:cs="Times New Roman"/>
                <w:sz w:val="18"/>
                <w:szCs w:val="18"/>
                <w:lang w:val="en-US" w:eastAsia="zh-CN"/>
              </w:rPr>
              <w:t>员、副局长</w:t>
            </w:r>
          </w:p>
        </w:tc>
        <w:tc>
          <w:tcPr>
            <w:tcW w:w="2601" w:type="dxa"/>
            <w:gridSpan w:val="2"/>
            <w:shd w:val="clear" w:color="auto" w:fill="auto"/>
            <w:noWrap w:val="0"/>
            <w:vAlign w:val="center"/>
          </w:tcPr>
          <w:p w14:paraId="53CBB217">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昆明市五华区退役军人事务局</w:t>
            </w:r>
          </w:p>
        </w:tc>
        <w:tc>
          <w:tcPr>
            <w:tcW w:w="2409" w:type="dxa"/>
            <w:gridSpan w:val="3"/>
            <w:noWrap w:val="0"/>
            <w:vAlign w:val="center"/>
          </w:tcPr>
          <w:p w14:paraId="2B25129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5D5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323C72C3">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zh-TW" w:eastAsia="zh-TW"/>
              </w:rPr>
              <w:t>张文星</w:t>
            </w:r>
          </w:p>
        </w:tc>
        <w:tc>
          <w:tcPr>
            <w:tcW w:w="2656" w:type="dxa"/>
            <w:gridSpan w:val="2"/>
            <w:shd w:val="clear" w:color="auto" w:fill="auto"/>
            <w:noWrap w:val="0"/>
            <w:vAlign w:val="center"/>
          </w:tcPr>
          <w:p w14:paraId="450C511B">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党组成</w:t>
            </w:r>
            <w:r>
              <w:rPr>
                <w:rFonts w:hint="eastAsia" w:ascii="宋体" w:hAnsi="宋体" w:eastAsia="宋体" w:cs="Times New Roman"/>
                <w:sz w:val="18"/>
                <w:szCs w:val="18"/>
                <w:lang w:val="en-US" w:eastAsia="zh-CN"/>
              </w:rPr>
              <w:t>员、</w:t>
            </w:r>
            <w:r>
              <w:rPr>
                <w:rFonts w:hint="eastAsia" w:ascii="宋体" w:hAnsi="宋体" w:eastAsia="宋体" w:cs="Times New Roman"/>
                <w:sz w:val="18"/>
                <w:szCs w:val="18"/>
                <w:lang w:val="zh-TW" w:eastAsia="zh-TW"/>
              </w:rPr>
              <w:t>主任</w:t>
            </w:r>
          </w:p>
        </w:tc>
        <w:tc>
          <w:tcPr>
            <w:tcW w:w="2601" w:type="dxa"/>
            <w:gridSpan w:val="2"/>
            <w:shd w:val="clear" w:color="auto" w:fill="auto"/>
            <w:noWrap w:val="0"/>
            <w:vAlign w:val="center"/>
          </w:tcPr>
          <w:p w14:paraId="0C1ACA98">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昆明市五华区退役军人事务局</w:t>
            </w:r>
          </w:p>
        </w:tc>
        <w:tc>
          <w:tcPr>
            <w:tcW w:w="2409" w:type="dxa"/>
            <w:gridSpan w:val="3"/>
            <w:noWrap w:val="0"/>
            <w:vAlign w:val="center"/>
          </w:tcPr>
          <w:p w14:paraId="51B56ED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19C4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30DC6B67">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zh-TW" w:eastAsia="zh-TW"/>
              </w:rPr>
              <w:t>黄斌</w:t>
            </w:r>
          </w:p>
        </w:tc>
        <w:tc>
          <w:tcPr>
            <w:tcW w:w="2656" w:type="dxa"/>
            <w:gridSpan w:val="2"/>
            <w:shd w:val="clear" w:color="auto" w:fill="auto"/>
            <w:noWrap w:val="0"/>
            <w:vAlign w:val="center"/>
          </w:tcPr>
          <w:p w14:paraId="08165A35">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科长</w:t>
            </w:r>
          </w:p>
        </w:tc>
        <w:tc>
          <w:tcPr>
            <w:tcW w:w="2601" w:type="dxa"/>
            <w:gridSpan w:val="2"/>
            <w:shd w:val="clear" w:color="auto" w:fill="auto"/>
            <w:noWrap w:val="0"/>
            <w:vAlign w:val="center"/>
          </w:tcPr>
          <w:p w14:paraId="3057AB7B">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昆明市五华区退役军人事务局</w:t>
            </w:r>
          </w:p>
        </w:tc>
        <w:tc>
          <w:tcPr>
            <w:tcW w:w="2409" w:type="dxa"/>
            <w:gridSpan w:val="3"/>
            <w:noWrap w:val="0"/>
            <w:vAlign w:val="center"/>
          </w:tcPr>
          <w:p w14:paraId="3DFFD1B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5799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0F9FE424">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李阳</w:t>
            </w:r>
          </w:p>
        </w:tc>
        <w:tc>
          <w:tcPr>
            <w:tcW w:w="2656" w:type="dxa"/>
            <w:gridSpan w:val="2"/>
            <w:shd w:val="clear" w:color="auto" w:fill="auto"/>
            <w:noWrap w:val="0"/>
            <w:vAlign w:val="center"/>
          </w:tcPr>
          <w:p w14:paraId="6E730DE6">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科长</w:t>
            </w:r>
          </w:p>
        </w:tc>
        <w:tc>
          <w:tcPr>
            <w:tcW w:w="2601" w:type="dxa"/>
            <w:gridSpan w:val="2"/>
            <w:shd w:val="clear" w:color="auto" w:fill="auto"/>
            <w:noWrap w:val="0"/>
            <w:vAlign w:val="center"/>
          </w:tcPr>
          <w:p w14:paraId="21D4DC37">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昆明市五华区退役军人事务局</w:t>
            </w:r>
          </w:p>
        </w:tc>
        <w:tc>
          <w:tcPr>
            <w:tcW w:w="2409" w:type="dxa"/>
            <w:gridSpan w:val="3"/>
            <w:noWrap w:val="0"/>
            <w:vAlign w:val="center"/>
          </w:tcPr>
          <w:p w14:paraId="19AAEC0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1AF4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33F2B88D">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向茂举</w:t>
            </w:r>
          </w:p>
        </w:tc>
        <w:tc>
          <w:tcPr>
            <w:tcW w:w="2656" w:type="dxa"/>
            <w:gridSpan w:val="2"/>
            <w:shd w:val="clear" w:color="auto" w:fill="auto"/>
            <w:noWrap w:val="0"/>
            <w:vAlign w:val="top"/>
          </w:tcPr>
          <w:p w14:paraId="70F240D5">
            <w:pPr>
              <w:spacing w:line="26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zh-TW" w:eastAsia="zh-TW"/>
              </w:rPr>
              <w:t>主任</w:t>
            </w:r>
          </w:p>
        </w:tc>
        <w:tc>
          <w:tcPr>
            <w:tcW w:w="2601" w:type="dxa"/>
            <w:gridSpan w:val="2"/>
            <w:shd w:val="clear" w:color="auto" w:fill="auto"/>
            <w:noWrap w:val="0"/>
            <w:vAlign w:val="top"/>
          </w:tcPr>
          <w:p w14:paraId="78138D5E">
            <w:pPr>
              <w:spacing w:line="260" w:lineRule="exact"/>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五华区退役军人服务中心</w:t>
            </w:r>
          </w:p>
        </w:tc>
        <w:tc>
          <w:tcPr>
            <w:tcW w:w="2409" w:type="dxa"/>
            <w:gridSpan w:val="3"/>
            <w:noWrap w:val="0"/>
            <w:vAlign w:val="top"/>
          </w:tcPr>
          <w:p w14:paraId="50B8AF6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07FF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265" w:type="dxa"/>
            <w:gridSpan w:val="9"/>
            <w:noWrap w:val="0"/>
            <w:vAlign w:val="center"/>
          </w:tcPr>
          <w:p w14:paraId="288DF2D9">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74E9E40B">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62A5394F">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388E04CC">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1E18D69E">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1A723BE6">
      <w:pPr>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eastAsia" w:ascii="方正小标宋简体" w:hAnsi="方正小标宋简体" w:eastAsia="方正小标宋简体" w:cs="方正小标宋简体"/>
          <w:color w:val="auto"/>
          <w:sz w:val="44"/>
          <w:szCs w:val="44"/>
        </w:rPr>
      </w:pPr>
    </w:p>
    <w:p w14:paraId="09994970">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黑体" w:eastAsia="方正小标宋简体" w:cs="Times New Roman"/>
          <w:color w:val="000000"/>
          <w:sz w:val="44"/>
          <w:szCs w:val="44"/>
          <w:lang w:eastAsia="zh-CN"/>
        </w:rPr>
        <w:t>军队转业干部补助经费</w:t>
      </w:r>
      <w:r>
        <w:rPr>
          <w:rFonts w:hint="eastAsia" w:ascii="方正小标宋简体" w:hAnsi="方正小标宋简体" w:eastAsia="方正小标宋简体" w:cs="方正小标宋简体"/>
          <w:color w:val="auto"/>
          <w:sz w:val="44"/>
          <w:szCs w:val="44"/>
        </w:rPr>
        <w:t>支出绩效评价报告</w:t>
      </w:r>
    </w:p>
    <w:p w14:paraId="5587C5B9">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rFonts w:hint="eastAsia" w:ascii="仿宋_GB2312" w:hAnsi="仿宋_GB2312" w:eastAsia="仿宋_GB2312" w:cs="仿宋_GB2312"/>
          <w:color w:val="auto"/>
          <w:sz w:val="30"/>
          <w:szCs w:val="30"/>
        </w:rPr>
      </w:pPr>
    </w:p>
    <w:p w14:paraId="77C3E0A8">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bookmarkStart w:id="2" w:name="OLE_LINK5"/>
      <w:r>
        <w:rPr>
          <w:rFonts w:hint="eastAsia" w:ascii="黑体" w:hAnsi="黑体" w:eastAsia="黑体" w:cs="黑体"/>
          <w:color w:val="auto"/>
          <w:sz w:val="32"/>
          <w:szCs w:val="32"/>
        </w:rPr>
        <w:t>一、基本情况</w:t>
      </w:r>
    </w:p>
    <w:p w14:paraId="42E04E49">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（一）项目概况。包括项目背景、主要内容及实施情况、资金投入和使用情况等。</w:t>
      </w:r>
    </w:p>
    <w:p w14:paraId="392442C7">
      <w:pPr>
        <w:ind w:firstLine="600" w:firstLineChars="200"/>
        <w:rPr>
          <w:rFonts w:ascii="仿宋_GB2312" w:hAnsi="仿宋_GB2312" w:eastAsia="仿宋_GB2312" w:cs="仿宋_GB2312"/>
          <w:snapToGrid w:val="0"/>
          <w:spacing w:val="6"/>
          <w:kern w:val="0"/>
          <w:sz w:val="30"/>
          <w:szCs w:val="30"/>
          <w:lang w:bidi="zh-CN"/>
        </w:rPr>
      </w:pPr>
      <w:r>
        <w:rPr>
          <w:rFonts w:hint="eastAsia" w:ascii="仿宋_GB2312" w:hAnsi="仿宋_GB2312" w:eastAsia="仿宋_GB2312" w:cs="仿宋_GB2312"/>
          <w:color w:val="333333"/>
          <w:kern w:val="0"/>
          <w:sz w:val="30"/>
          <w:szCs w:val="30"/>
          <w:lang w:val="en-US" w:eastAsia="zh-CN" w:bidi="ar-SA"/>
        </w:rPr>
        <w:t>项目背景：</w:t>
      </w:r>
      <w:r>
        <w:rPr>
          <w:rFonts w:ascii="仿宋_GB2312" w:hAnsi="仿宋_GB2312" w:eastAsia="仿宋_GB2312" w:cs="仿宋_GB2312"/>
          <w:snapToGrid w:val="0"/>
          <w:spacing w:val="6"/>
          <w:kern w:val="0"/>
          <w:sz w:val="30"/>
          <w:szCs w:val="30"/>
          <w:lang w:bidi="zh-CN"/>
        </w:rPr>
        <w:t>为全面支持落实国家</w:t>
      </w:r>
      <w:r>
        <w:rPr>
          <w:rFonts w:hint="eastAsia" w:ascii="仿宋_GB2312" w:hAnsi="仿宋_GB2312" w:eastAsia="仿宋_GB2312" w:cs="仿宋_GB2312"/>
          <w:snapToGrid w:val="0"/>
          <w:spacing w:val="6"/>
          <w:kern w:val="0"/>
          <w:sz w:val="30"/>
          <w:szCs w:val="30"/>
          <w:lang w:val="en-US" w:bidi="zh-CN"/>
        </w:rPr>
        <w:t>接收安置</w:t>
      </w:r>
      <w:r>
        <w:rPr>
          <w:rFonts w:ascii="仿宋_GB2312" w:hAnsi="仿宋_GB2312" w:eastAsia="仿宋_GB2312" w:cs="仿宋_GB2312"/>
          <w:snapToGrid w:val="0"/>
          <w:spacing w:val="6"/>
          <w:kern w:val="0"/>
          <w:sz w:val="30"/>
          <w:szCs w:val="30"/>
          <w:lang w:bidi="zh-CN"/>
        </w:rPr>
        <w:t>政策，</w:t>
      </w:r>
      <w:r>
        <w:rPr>
          <w:rFonts w:hint="eastAsia" w:ascii="仿宋_GB2312" w:hAnsi="仿宋_GB2312" w:eastAsia="仿宋_GB2312" w:cs="仿宋_GB2312"/>
          <w:snapToGrid w:val="0"/>
          <w:spacing w:val="6"/>
          <w:kern w:val="0"/>
          <w:sz w:val="30"/>
          <w:szCs w:val="30"/>
          <w:lang w:bidi="zh-CN"/>
        </w:rPr>
        <w:t>通过发放</w:t>
      </w:r>
      <w:r>
        <w:rPr>
          <w:rFonts w:hint="eastAsia" w:ascii="仿宋_GB2312" w:hAnsi="仿宋_GB2312" w:eastAsia="仿宋_GB2312" w:cs="仿宋_GB2312"/>
          <w:snapToGrid w:val="0"/>
          <w:spacing w:val="6"/>
          <w:kern w:val="0"/>
          <w:sz w:val="30"/>
          <w:szCs w:val="30"/>
          <w:lang w:val="en-US" w:bidi="zh-CN"/>
        </w:rPr>
        <w:t>军转干部各项补助、服务</w:t>
      </w:r>
      <w:r>
        <w:rPr>
          <w:rFonts w:hint="eastAsia" w:ascii="仿宋_GB2312" w:hAnsi="仿宋_GB2312" w:eastAsia="仿宋_GB2312" w:cs="仿宋_GB2312"/>
          <w:color w:val="333333"/>
          <w:kern w:val="0"/>
          <w:sz w:val="30"/>
          <w:szCs w:val="30"/>
          <w:lang w:val="en-US" w:eastAsia="zh-CN" w:bidi="ar-SA"/>
        </w:rPr>
        <w:t>管理等工作，使军队转业干部的基本生活得到有效保障。</w:t>
      </w:r>
    </w:p>
    <w:p w14:paraId="49A84B17">
      <w:pPr>
        <w:ind w:firstLine="600" w:firstLineChars="200"/>
        <w:rPr>
          <w:rFonts w:hint="eastAsia" w:ascii="仿宋_GB2312" w:hAnsi="仿宋_GB2312" w:eastAsia="仿宋_GB2312" w:cs="仿宋_GB2312"/>
          <w:color w:val="333333"/>
          <w:kern w:val="0"/>
          <w:sz w:val="30"/>
          <w:szCs w:val="30"/>
          <w:lang w:val="en-US" w:eastAsia="zh-CN" w:bidi="ar-SA"/>
        </w:rPr>
      </w:pPr>
      <w:r>
        <w:rPr>
          <w:rFonts w:hint="eastAsia" w:ascii="仿宋_GB2312" w:hAnsi="仿宋_GB2312" w:eastAsia="仿宋_GB2312" w:cs="仿宋_GB2312"/>
          <w:color w:val="333333"/>
          <w:kern w:val="0"/>
          <w:sz w:val="30"/>
          <w:szCs w:val="30"/>
          <w:lang w:val="en-US" w:eastAsia="zh-CN" w:bidi="ar-SA"/>
        </w:rPr>
        <w:t>该项工作纳入我局日常工作职能，且为延续性项目</w:t>
      </w:r>
      <w:bookmarkStart w:id="3" w:name="OLE_LINK4"/>
      <w:r>
        <w:rPr>
          <w:rFonts w:hint="eastAsia" w:ascii="仿宋_GB2312" w:hAnsi="仿宋_GB2312" w:eastAsia="仿宋_GB2312" w:cs="仿宋_GB2312"/>
          <w:color w:val="333333"/>
          <w:kern w:val="0"/>
          <w:sz w:val="30"/>
          <w:szCs w:val="30"/>
          <w:lang w:val="en-US" w:eastAsia="zh-CN" w:bidi="ar-SA"/>
        </w:rPr>
        <w:t>。</w:t>
      </w:r>
    </w:p>
    <w:bookmarkEnd w:id="3"/>
    <w:p w14:paraId="51E2E9CF">
      <w:pPr>
        <w:spacing w:line="590" w:lineRule="exact"/>
        <w:ind w:firstLine="600" w:firstLineChars="200"/>
        <w:rPr>
          <w:rFonts w:hint="eastAsia" w:ascii="仿宋_GB2312" w:hAnsi="仿宋_GB2312" w:eastAsia="仿宋_GB2312" w:cs="仿宋_GB2312"/>
          <w:bCs/>
          <w:spacing w:val="6"/>
          <w:kern w:val="0"/>
          <w:sz w:val="30"/>
          <w:szCs w:val="30"/>
        </w:rPr>
      </w:pPr>
      <w:r>
        <w:rPr>
          <w:rFonts w:hint="eastAsia" w:ascii="仿宋_GB2312" w:hAnsi="仿宋_GB2312" w:eastAsia="仿宋_GB2312" w:cs="仿宋_GB2312"/>
          <w:sz w:val="30"/>
          <w:szCs w:val="30"/>
        </w:rPr>
        <w:t>主要内容及实施情况:</w:t>
      </w:r>
      <w:r>
        <w:rPr>
          <w:rFonts w:hint="eastAsia" w:ascii="仿宋_GB2312" w:hAnsi="仿宋_GB2312" w:eastAsia="仿宋_GB2312" w:cs="仿宋_GB2312"/>
          <w:snapToGrid w:val="0"/>
          <w:spacing w:val="6"/>
          <w:kern w:val="0"/>
          <w:sz w:val="30"/>
          <w:szCs w:val="30"/>
          <w:lang w:bidi="zh-CN"/>
        </w:rPr>
        <w:t>通过项目实施，</w:t>
      </w:r>
      <w:r>
        <w:rPr>
          <w:rFonts w:hint="eastAsia" w:ascii="仿宋_GB2312" w:hAnsi="仿宋_GB2312" w:eastAsia="仿宋_GB2312" w:cs="仿宋_GB2312"/>
          <w:color w:val="333333"/>
          <w:kern w:val="0"/>
          <w:sz w:val="30"/>
          <w:szCs w:val="30"/>
          <w:lang w:val="en-US" w:eastAsia="zh-CN" w:bidi="ar-SA"/>
        </w:rPr>
        <w:t>完成2024年军队转业干部补助发放，服务管理工作。</w:t>
      </w:r>
      <w:r>
        <w:rPr>
          <w:rFonts w:hint="eastAsia" w:ascii="仿宋_GB2312" w:hAnsi="仿宋_GB2312" w:eastAsia="仿宋_GB2312" w:cs="仿宋_GB2312"/>
          <w:snapToGrid w:val="0"/>
          <w:spacing w:val="6"/>
          <w:kern w:val="0"/>
          <w:sz w:val="30"/>
          <w:szCs w:val="30"/>
          <w:lang w:bidi="zh-CN"/>
        </w:rPr>
        <w:t>项目实施为国防和军队建设，完善退役军人事务组织管理、工作运行，为推动新时代五华区退役军人服务和保障工作高质量发展提供动力。不断加强和改进退役军人服务保障工作，切实增强退役军人的荣誉感、获得感、幸福感</w:t>
      </w:r>
      <w:r>
        <w:rPr>
          <w:rFonts w:hint="eastAsia" w:ascii="仿宋_GB2312" w:hAnsi="仿宋_GB2312" w:eastAsia="仿宋_GB2312" w:cs="仿宋_GB2312"/>
          <w:bCs/>
          <w:spacing w:val="6"/>
          <w:kern w:val="0"/>
          <w:sz w:val="30"/>
          <w:szCs w:val="30"/>
        </w:rPr>
        <w:t>。</w:t>
      </w:r>
    </w:p>
    <w:p w14:paraId="72D36FD7">
      <w:pPr>
        <w:ind w:firstLine="600" w:firstLineChars="200"/>
        <w:rPr>
          <w:rFonts w:hint="eastAsia" w:ascii="仿宋_GB2312" w:hAnsi="仿宋_GB2312" w:eastAsia="仿宋_GB2312" w:cs="仿宋_GB2312"/>
          <w:bCs/>
          <w:snapToGrid w:val="0"/>
          <w:spacing w:val="6"/>
          <w:kern w:val="0"/>
          <w:sz w:val="30"/>
          <w:szCs w:val="30"/>
          <w:highlight w:val="yellow"/>
          <w:lang w:val="en-US" w:bidi="zh-CN"/>
        </w:rPr>
      </w:pPr>
      <w:r>
        <w:rPr>
          <w:rFonts w:hint="eastAsia" w:ascii="仿宋_GB2312" w:hAnsi="仿宋_GB2312" w:eastAsia="仿宋_GB2312" w:cs="仿宋_GB2312"/>
          <w:sz w:val="30"/>
          <w:szCs w:val="30"/>
        </w:rPr>
        <w:t>资金投入和使用情况:</w:t>
      </w:r>
      <w:r>
        <w:rPr>
          <w:rFonts w:hint="eastAsia" w:ascii="仿宋_GB2312" w:hAnsi="仿宋_GB2312" w:eastAsia="仿宋_GB2312" w:cs="仿宋_GB2312"/>
          <w:bCs/>
          <w:snapToGrid w:val="0"/>
          <w:spacing w:val="6"/>
          <w:kern w:val="0"/>
          <w:sz w:val="30"/>
          <w:szCs w:val="30"/>
          <w:highlight w:val="none"/>
          <w:lang w:bidi="zh-CN"/>
        </w:rPr>
        <w:t>该项目资金</w:t>
      </w:r>
      <w:r>
        <w:rPr>
          <w:rFonts w:hint="eastAsia" w:ascii="仿宋_GB2312" w:hAnsi="仿宋_GB2312" w:eastAsia="仿宋_GB2312" w:cs="仿宋_GB2312"/>
          <w:bCs/>
          <w:snapToGrid w:val="0"/>
          <w:spacing w:val="6"/>
          <w:kern w:val="0"/>
          <w:sz w:val="30"/>
          <w:szCs w:val="30"/>
          <w:highlight w:val="none"/>
          <w:lang w:val="en-US" w:bidi="zh-CN"/>
        </w:rPr>
        <w:t>投入459.94</w:t>
      </w:r>
      <w:r>
        <w:rPr>
          <w:rFonts w:hint="eastAsia" w:ascii="仿宋_GB2312" w:hAnsi="仿宋_GB2312" w:eastAsia="仿宋_GB2312" w:cs="仿宋_GB2312"/>
          <w:bCs/>
          <w:snapToGrid w:val="0"/>
          <w:spacing w:val="6"/>
          <w:kern w:val="0"/>
          <w:sz w:val="30"/>
          <w:szCs w:val="30"/>
          <w:highlight w:val="none"/>
          <w:lang w:bidi="zh-CN"/>
        </w:rPr>
        <w:t>万元，其中，中央资金</w:t>
      </w:r>
      <w:r>
        <w:rPr>
          <w:rFonts w:hint="eastAsia" w:ascii="仿宋_GB2312" w:hAnsi="仿宋_GB2312" w:eastAsia="仿宋_GB2312" w:cs="仿宋_GB2312"/>
          <w:bCs/>
          <w:snapToGrid w:val="0"/>
          <w:spacing w:val="6"/>
          <w:kern w:val="0"/>
          <w:sz w:val="30"/>
          <w:szCs w:val="30"/>
          <w:highlight w:val="none"/>
          <w:lang w:val="en-US" w:bidi="zh-CN"/>
        </w:rPr>
        <w:t>362.92万</w:t>
      </w:r>
      <w:r>
        <w:rPr>
          <w:rFonts w:hint="eastAsia" w:ascii="仿宋_GB2312" w:hAnsi="仿宋_GB2312" w:eastAsia="仿宋_GB2312" w:cs="仿宋_GB2312"/>
          <w:bCs/>
          <w:snapToGrid w:val="0"/>
          <w:spacing w:val="6"/>
          <w:kern w:val="0"/>
          <w:sz w:val="30"/>
          <w:szCs w:val="30"/>
          <w:highlight w:val="none"/>
          <w:lang w:bidi="zh-CN"/>
        </w:rPr>
        <w:t>元，省级资金</w:t>
      </w:r>
      <w:r>
        <w:rPr>
          <w:rFonts w:hint="eastAsia" w:ascii="仿宋_GB2312" w:hAnsi="仿宋_GB2312" w:eastAsia="仿宋_GB2312" w:cs="仿宋_GB2312"/>
          <w:bCs/>
          <w:snapToGrid w:val="0"/>
          <w:spacing w:val="6"/>
          <w:kern w:val="0"/>
          <w:sz w:val="30"/>
          <w:szCs w:val="30"/>
          <w:highlight w:val="none"/>
          <w:lang w:val="en-US" w:bidi="zh-CN"/>
        </w:rPr>
        <w:t>0.6万</w:t>
      </w:r>
      <w:r>
        <w:rPr>
          <w:rFonts w:hint="eastAsia" w:ascii="仿宋_GB2312" w:hAnsi="仿宋_GB2312" w:eastAsia="仿宋_GB2312" w:cs="仿宋_GB2312"/>
          <w:bCs/>
          <w:snapToGrid w:val="0"/>
          <w:spacing w:val="6"/>
          <w:kern w:val="0"/>
          <w:sz w:val="30"/>
          <w:szCs w:val="30"/>
          <w:highlight w:val="none"/>
          <w:lang w:bidi="zh-CN"/>
        </w:rPr>
        <w:t>元，市级资金</w:t>
      </w:r>
      <w:r>
        <w:rPr>
          <w:rFonts w:hint="eastAsia" w:ascii="仿宋_GB2312" w:hAnsi="仿宋_GB2312" w:eastAsia="仿宋_GB2312" w:cs="仿宋_GB2312"/>
          <w:bCs/>
          <w:snapToGrid w:val="0"/>
          <w:spacing w:val="6"/>
          <w:kern w:val="0"/>
          <w:sz w:val="30"/>
          <w:szCs w:val="30"/>
          <w:highlight w:val="none"/>
          <w:lang w:val="en-US" w:bidi="zh-CN"/>
        </w:rPr>
        <w:t>0万</w:t>
      </w:r>
      <w:r>
        <w:rPr>
          <w:rFonts w:hint="eastAsia" w:ascii="仿宋_GB2312" w:hAnsi="仿宋_GB2312" w:eastAsia="仿宋_GB2312" w:cs="仿宋_GB2312"/>
          <w:bCs/>
          <w:snapToGrid w:val="0"/>
          <w:spacing w:val="6"/>
          <w:kern w:val="0"/>
          <w:sz w:val="30"/>
          <w:szCs w:val="30"/>
          <w:highlight w:val="none"/>
          <w:lang w:bidi="zh-CN"/>
        </w:rPr>
        <w:t>元，区级配套</w:t>
      </w:r>
      <w:r>
        <w:rPr>
          <w:rFonts w:hint="eastAsia" w:ascii="仿宋_GB2312" w:hAnsi="仿宋_GB2312" w:eastAsia="仿宋_GB2312" w:cs="仿宋_GB2312"/>
          <w:bCs/>
          <w:snapToGrid w:val="0"/>
          <w:spacing w:val="6"/>
          <w:kern w:val="0"/>
          <w:sz w:val="30"/>
          <w:szCs w:val="30"/>
          <w:highlight w:val="none"/>
          <w:lang w:val="en-US" w:bidi="zh-CN"/>
        </w:rPr>
        <w:t>92.64万</w:t>
      </w:r>
      <w:r>
        <w:rPr>
          <w:rFonts w:hint="eastAsia" w:ascii="仿宋_GB2312" w:hAnsi="仿宋_GB2312" w:eastAsia="仿宋_GB2312" w:cs="仿宋_GB2312"/>
          <w:bCs/>
          <w:snapToGrid w:val="0"/>
          <w:spacing w:val="6"/>
          <w:kern w:val="0"/>
          <w:sz w:val="30"/>
          <w:szCs w:val="30"/>
          <w:highlight w:val="none"/>
          <w:lang w:bidi="zh-CN"/>
        </w:rPr>
        <w:t>元，</w:t>
      </w:r>
      <w:r>
        <w:rPr>
          <w:rFonts w:hint="eastAsia" w:ascii="仿宋_GB2312" w:hAnsi="仿宋_GB2312" w:eastAsia="仿宋_GB2312" w:cs="仿宋_GB2312"/>
          <w:bCs/>
          <w:snapToGrid w:val="0"/>
          <w:spacing w:val="6"/>
          <w:kern w:val="0"/>
          <w:sz w:val="30"/>
          <w:szCs w:val="30"/>
          <w:highlight w:val="none"/>
          <w:lang w:val="en-US" w:bidi="zh-CN"/>
        </w:rPr>
        <w:t>其他资金3.78万元；使用312.98万元，</w:t>
      </w:r>
      <w:r>
        <w:rPr>
          <w:rFonts w:hint="eastAsia" w:ascii="仿宋_GB2312" w:hAnsi="仿宋_GB2312" w:eastAsia="仿宋_GB2312" w:cs="仿宋_GB2312"/>
          <w:bCs/>
          <w:snapToGrid w:val="0"/>
          <w:spacing w:val="6"/>
          <w:kern w:val="0"/>
          <w:sz w:val="30"/>
          <w:szCs w:val="30"/>
          <w:highlight w:val="none"/>
          <w:lang w:bidi="zh-CN"/>
        </w:rPr>
        <w:t>其中中央资金</w:t>
      </w:r>
      <w:r>
        <w:rPr>
          <w:rFonts w:hint="eastAsia" w:ascii="仿宋_GB2312" w:hAnsi="仿宋_GB2312" w:eastAsia="仿宋_GB2312" w:cs="仿宋_GB2312"/>
          <w:bCs/>
          <w:snapToGrid w:val="0"/>
          <w:spacing w:val="6"/>
          <w:kern w:val="0"/>
          <w:sz w:val="30"/>
          <w:szCs w:val="30"/>
          <w:highlight w:val="none"/>
          <w:lang w:val="en-US" w:bidi="zh-CN"/>
        </w:rPr>
        <w:t>309.20万</w:t>
      </w:r>
      <w:r>
        <w:rPr>
          <w:rFonts w:hint="eastAsia" w:ascii="仿宋_GB2312" w:hAnsi="仿宋_GB2312" w:eastAsia="仿宋_GB2312" w:cs="仿宋_GB2312"/>
          <w:bCs/>
          <w:snapToGrid w:val="0"/>
          <w:spacing w:val="6"/>
          <w:kern w:val="0"/>
          <w:sz w:val="30"/>
          <w:szCs w:val="30"/>
          <w:highlight w:val="none"/>
          <w:lang w:bidi="zh-CN"/>
        </w:rPr>
        <w:t>元，省级资金</w:t>
      </w:r>
      <w:r>
        <w:rPr>
          <w:rFonts w:hint="eastAsia" w:ascii="仿宋_GB2312" w:hAnsi="仿宋_GB2312" w:eastAsia="仿宋_GB2312" w:cs="仿宋_GB2312"/>
          <w:bCs/>
          <w:snapToGrid w:val="0"/>
          <w:spacing w:val="6"/>
          <w:kern w:val="0"/>
          <w:sz w:val="30"/>
          <w:szCs w:val="30"/>
          <w:highlight w:val="none"/>
          <w:lang w:val="en-US" w:bidi="zh-CN"/>
        </w:rPr>
        <w:t>0万</w:t>
      </w:r>
      <w:r>
        <w:rPr>
          <w:rFonts w:hint="eastAsia" w:ascii="仿宋_GB2312" w:hAnsi="仿宋_GB2312" w:eastAsia="仿宋_GB2312" w:cs="仿宋_GB2312"/>
          <w:bCs/>
          <w:snapToGrid w:val="0"/>
          <w:spacing w:val="6"/>
          <w:kern w:val="0"/>
          <w:sz w:val="30"/>
          <w:szCs w:val="30"/>
          <w:highlight w:val="none"/>
          <w:lang w:bidi="zh-CN"/>
        </w:rPr>
        <w:t>元，市级资金</w:t>
      </w:r>
      <w:r>
        <w:rPr>
          <w:rFonts w:hint="eastAsia" w:ascii="仿宋_GB2312" w:hAnsi="仿宋_GB2312" w:eastAsia="仿宋_GB2312" w:cs="仿宋_GB2312"/>
          <w:bCs/>
          <w:snapToGrid w:val="0"/>
          <w:spacing w:val="6"/>
          <w:kern w:val="0"/>
          <w:sz w:val="30"/>
          <w:szCs w:val="30"/>
          <w:highlight w:val="none"/>
          <w:lang w:val="en-US" w:bidi="zh-CN"/>
        </w:rPr>
        <w:t>0万元</w:t>
      </w:r>
      <w:r>
        <w:rPr>
          <w:rFonts w:hint="eastAsia" w:ascii="仿宋_GB2312" w:hAnsi="仿宋_GB2312" w:eastAsia="仿宋_GB2312" w:cs="仿宋_GB2312"/>
          <w:bCs/>
          <w:snapToGrid w:val="0"/>
          <w:spacing w:val="6"/>
          <w:kern w:val="0"/>
          <w:sz w:val="30"/>
          <w:szCs w:val="30"/>
          <w:highlight w:val="none"/>
          <w:lang w:bidi="zh-CN"/>
        </w:rPr>
        <w:t>，区级配套</w:t>
      </w:r>
      <w:r>
        <w:rPr>
          <w:rFonts w:hint="eastAsia" w:ascii="仿宋_GB2312" w:hAnsi="仿宋_GB2312" w:eastAsia="仿宋_GB2312" w:cs="仿宋_GB2312"/>
          <w:bCs/>
          <w:snapToGrid w:val="0"/>
          <w:spacing w:val="6"/>
          <w:kern w:val="0"/>
          <w:sz w:val="30"/>
          <w:szCs w:val="30"/>
          <w:highlight w:val="none"/>
          <w:lang w:val="en-US" w:bidi="zh-CN"/>
        </w:rPr>
        <w:t>0万</w:t>
      </w:r>
      <w:r>
        <w:rPr>
          <w:rFonts w:hint="eastAsia" w:ascii="仿宋_GB2312" w:hAnsi="仿宋_GB2312" w:eastAsia="仿宋_GB2312" w:cs="仿宋_GB2312"/>
          <w:bCs/>
          <w:snapToGrid w:val="0"/>
          <w:spacing w:val="6"/>
          <w:kern w:val="0"/>
          <w:sz w:val="30"/>
          <w:szCs w:val="30"/>
          <w:highlight w:val="none"/>
          <w:lang w:bidi="zh-CN"/>
        </w:rPr>
        <w:t>元，</w:t>
      </w:r>
      <w:r>
        <w:rPr>
          <w:rFonts w:hint="eastAsia" w:ascii="仿宋_GB2312" w:hAnsi="仿宋_GB2312" w:eastAsia="仿宋_GB2312" w:cs="仿宋_GB2312"/>
          <w:bCs/>
          <w:snapToGrid w:val="0"/>
          <w:spacing w:val="6"/>
          <w:kern w:val="0"/>
          <w:sz w:val="30"/>
          <w:szCs w:val="30"/>
          <w:highlight w:val="none"/>
          <w:lang w:val="en-US" w:bidi="zh-CN"/>
        </w:rPr>
        <w:t>其他资金3.78万元。</w:t>
      </w:r>
    </w:p>
    <w:p w14:paraId="76EA0FFF">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项目绩效目标。包括总体目标、阶段性目标。</w:t>
      </w:r>
    </w:p>
    <w:p w14:paraId="1E2FD23D">
      <w:pPr>
        <w:ind w:firstLine="624" w:firstLineChars="200"/>
        <w:rPr>
          <w:rFonts w:hint="eastAsia" w:ascii="仿宋_GB2312" w:hAnsi="仿宋_GB2312" w:eastAsia="仿宋_GB2312" w:cs="仿宋_GB2312"/>
          <w:snapToGrid w:val="0"/>
          <w:spacing w:val="6"/>
          <w:kern w:val="0"/>
          <w:sz w:val="30"/>
          <w:szCs w:val="30"/>
          <w:lang w:bidi="zh-CN"/>
        </w:rPr>
      </w:pPr>
      <w:r>
        <w:rPr>
          <w:rFonts w:hint="eastAsia" w:ascii="仿宋_GB2312" w:hAnsi="仿宋_GB2312" w:eastAsia="仿宋_GB2312" w:cs="仿宋_GB2312"/>
          <w:snapToGrid w:val="0"/>
          <w:spacing w:val="6"/>
          <w:kern w:val="0"/>
          <w:sz w:val="30"/>
          <w:szCs w:val="30"/>
          <w:lang w:bidi="zh-CN"/>
        </w:rPr>
        <w:t>总体目标：项目实施保证</w:t>
      </w:r>
      <w:r>
        <w:rPr>
          <w:rFonts w:hint="eastAsia" w:ascii="仿宋_GB2312" w:hAnsi="仿宋_GB2312" w:eastAsia="仿宋_GB2312" w:cs="仿宋_GB2312"/>
          <w:snapToGrid w:val="0"/>
          <w:spacing w:val="6"/>
          <w:kern w:val="0"/>
          <w:sz w:val="30"/>
          <w:szCs w:val="30"/>
          <w:lang w:val="en-US" w:bidi="zh-CN"/>
        </w:rPr>
        <w:t>军转干部</w:t>
      </w:r>
      <w:r>
        <w:rPr>
          <w:rFonts w:hint="eastAsia" w:ascii="仿宋_GB2312" w:hAnsi="仿宋_GB2312" w:eastAsia="仿宋_GB2312" w:cs="仿宋_GB2312"/>
          <w:snapToGrid w:val="0"/>
          <w:spacing w:val="6"/>
          <w:kern w:val="0"/>
          <w:sz w:val="30"/>
          <w:szCs w:val="30"/>
          <w:lang w:bidi="zh-CN"/>
        </w:rPr>
        <w:t>享有的保障待遇与服役贡献相匹配、与经济社会发展水平相适应，切实维护他们的切身利益，多措并举、综合优待，促进退役军人事业可持续发展，为保障涉及退役军人切身利益奠定坚实的基础。项目实施增强退役军人荣誉感、获得感、归属感、切实维护军人军属合法权益。</w:t>
      </w:r>
    </w:p>
    <w:p w14:paraId="4121CC8D">
      <w:pPr>
        <w:ind w:firstLine="624" w:firstLineChars="200"/>
        <w:rPr>
          <w:rFonts w:hint="eastAsia" w:ascii="仿宋_GB2312" w:hAnsi="仿宋_GB2312" w:eastAsia="仿宋_GB2312" w:cs="仿宋_GB2312"/>
          <w:snapToGrid w:val="0"/>
          <w:spacing w:val="6"/>
          <w:kern w:val="0"/>
          <w:sz w:val="30"/>
          <w:szCs w:val="30"/>
          <w:lang w:bidi="zh-CN"/>
        </w:rPr>
      </w:pPr>
      <w:r>
        <w:rPr>
          <w:rFonts w:hint="eastAsia" w:ascii="仿宋_GB2312" w:hAnsi="仿宋_GB2312" w:eastAsia="仿宋_GB2312" w:cs="仿宋_GB2312"/>
          <w:snapToGrid w:val="0"/>
          <w:spacing w:val="6"/>
          <w:kern w:val="0"/>
          <w:sz w:val="30"/>
          <w:szCs w:val="30"/>
          <w:lang w:bidi="zh-CN"/>
        </w:rPr>
        <w:t>阶段目标：</w:t>
      </w:r>
      <w:r>
        <w:rPr>
          <w:rFonts w:hint="eastAsia" w:ascii="仿宋_GB2312" w:hAnsi="仿宋_GB2312" w:eastAsia="仿宋_GB2312" w:cs="仿宋_GB2312"/>
          <w:snapToGrid w:val="0"/>
          <w:spacing w:val="6"/>
          <w:kern w:val="0"/>
          <w:sz w:val="30"/>
          <w:szCs w:val="30"/>
          <w:lang w:eastAsia="zh-CN" w:bidi="zh-CN"/>
        </w:rPr>
        <w:t>完成202</w:t>
      </w:r>
      <w:r>
        <w:rPr>
          <w:rFonts w:hint="eastAsia" w:ascii="仿宋_GB2312" w:hAnsi="仿宋_GB2312" w:eastAsia="仿宋_GB2312" w:cs="仿宋_GB2312"/>
          <w:snapToGrid w:val="0"/>
          <w:spacing w:val="6"/>
          <w:kern w:val="0"/>
          <w:sz w:val="30"/>
          <w:szCs w:val="30"/>
          <w:lang w:val="en-US" w:eastAsia="zh-CN" w:bidi="zh-CN"/>
        </w:rPr>
        <w:t>4</w:t>
      </w:r>
      <w:r>
        <w:rPr>
          <w:rFonts w:hint="eastAsia" w:ascii="仿宋_GB2312" w:hAnsi="仿宋_GB2312" w:eastAsia="仿宋_GB2312" w:cs="仿宋_GB2312"/>
          <w:snapToGrid w:val="0"/>
          <w:spacing w:val="6"/>
          <w:kern w:val="0"/>
          <w:sz w:val="30"/>
          <w:szCs w:val="30"/>
          <w:lang w:eastAsia="zh-CN" w:bidi="zh-CN"/>
        </w:rPr>
        <w:t>年中央军队转业干部补助发放，服务管理工作。通过发放</w:t>
      </w:r>
      <w:r>
        <w:rPr>
          <w:rFonts w:hint="eastAsia" w:ascii="仿宋_GB2312" w:hAnsi="仿宋_GB2312" w:eastAsia="仿宋_GB2312" w:cs="仿宋_GB2312"/>
          <w:snapToGrid w:val="0"/>
          <w:spacing w:val="6"/>
          <w:kern w:val="0"/>
          <w:sz w:val="30"/>
          <w:szCs w:val="30"/>
          <w:lang w:val="en-US" w:eastAsia="zh-CN" w:bidi="zh-CN"/>
        </w:rPr>
        <w:t>补助经费</w:t>
      </w:r>
      <w:r>
        <w:rPr>
          <w:rFonts w:hint="eastAsia" w:ascii="仿宋_GB2312" w:hAnsi="仿宋_GB2312" w:eastAsia="仿宋_GB2312" w:cs="仿宋_GB2312"/>
          <w:snapToGrid w:val="0"/>
          <w:spacing w:val="6"/>
          <w:kern w:val="0"/>
          <w:sz w:val="30"/>
          <w:szCs w:val="30"/>
          <w:lang w:eastAsia="zh-CN" w:bidi="zh-CN"/>
        </w:rPr>
        <w:t>，使</w:t>
      </w:r>
      <w:r>
        <w:rPr>
          <w:rFonts w:hint="eastAsia" w:ascii="仿宋_GB2312" w:hAnsi="仿宋_GB2312" w:eastAsia="仿宋_GB2312" w:cs="仿宋_GB2312"/>
          <w:snapToGrid w:val="0"/>
          <w:spacing w:val="6"/>
          <w:kern w:val="0"/>
          <w:sz w:val="30"/>
          <w:szCs w:val="30"/>
          <w:lang w:val="en-US" w:eastAsia="zh-CN" w:bidi="zh-CN"/>
        </w:rPr>
        <w:t>军队转业干部</w:t>
      </w:r>
      <w:r>
        <w:rPr>
          <w:rFonts w:hint="eastAsia" w:ascii="仿宋_GB2312" w:hAnsi="仿宋_GB2312" w:eastAsia="仿宋_GB2312" w:cs="仿宋_GB2312"/>
          <w:snapToGrid w:val="0"/>
          <w:spacing w:val="6"/>
          <w:kern w:val="0"/>
          <w:sz w:val="30"/>
          <w:szCs w:val="30"/>
          <w:lang w:eastAsia="zh-CN" w:bidi="zh-CN"/>
        </w:rPr>
        <w:t>的基本生活得到有效保障</w:t>
      </w:r>
      <w:r>
        <w:rPr>
          <w:rFonts w:hint="eastAsia" w:ascii="仿宋_GB2312" w:hAnsi="仿宋_GB2312" w:eastAsia="仿宋_GB2312" w:cs="仿宋_GB2312"/>
          <w:snapToGrid w:val="0"/>
          <w:spacing w:val="6"/>
          <w:kern w:val="0"/>
          <w:sz w:val="30"/>
          <w:szCs w:val="30"/>
          <w:lang w:bidi="zh-CN"/>
        </w:rPr>
        <w:t>。</w:t>
      </w:r>
    </w:p>
    <w:p w14:paraId="6D31DF44">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项目组织管理情况。包括项目相关方职责分工、管理流程、组织实施、制度建设情况等。</w:t>
      </w:r>
    </w:p>
    <w:p w14:paraId="40A7469F">
      <w:pPr>
        <w:widowControl/>
        <w:spacing w:line="560" w:lineRule="exact"/>
        <w:ind w:left="420" w:left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1、项目相关方职责分工、管理流程、组织实施</w:t>
      </w:r>
    </w:p>
    <w:p w14:paraId="190D809E">
      <w:pPr>
        <w:pStyle w:val="28"/>
        <w:keepNext w:val="0"/>
        <w:keepLines w:val="0"/>
        <w:pageBreakBefore w:val="0"/>
        <w:widowControl w:val="0"/>
        <w:tabs>
          <w:tab w:val="left" w:pos="1184"/>
        </w:tabs>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根据</w:t>
      </w:r>
      <w:r>
        <w:rPr>
          <w:rFonts w:hint="eastAsia" w:ascii="仿宋_GB2312" w:hAnsi="仿宋_GB2312" w:eastAsia="仿宋_GB2312" w:cs="仿宋_GB2312"/>
          <w:color w:val="000000"/>
          <w:sz w:val="30"/>
          <w:szCs w:val="30"/>
          <w:lang w:val="en-US" w:eastAsia="zh-CN"/>
        </w:rPr>
        <w:t>昆明市五华区退役军人事务局</w:t>
      </w:r>
      <w:r>
        <w:rPr>
          <w:rFonts w:hint="eastAsia" w:ascii="仿宋_GB2312" w:hAnsi="仿宋_GB2312" w:eastAsia="仿宋_GB2312" w:cs="仿宋_GB2312"/>
          <w:color w:val="000000"/>
          <w:sz w:val="30"/>
          <w:szCs w:val="30"/>
        </w:rPr>
        <w:t>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年度</w:t>
      </w:r>
      <w:r>
        <w:rPr>
          <w:rFonts w:hint="eastAsia" w:ascii="仿宋_GB2312" w:hAnsi="仿宋_GB2312" w:eastAsia="仿宋_GB2312" w:cs="仿宋_GB2312"/>
          <w:color w:val="000000"/>
          <w:sz w:val="30"/>
          <w:szCs w:val="30"/>
          <w:lang w:val="en-US" w:eastAsia="zh-CN"/>
        </w:rPr>
        <w:t>军队转业干部补助</w:t>
      </w:r>
      <w:r>
        <w:rPr>
          <w:rFonts w:hint="eastAsia" w:ascii="仿宋_GB2312" w:hAnsi="仿宋_GB2312" w:eastAsia="仿宋_GB2312" w:cs="仿宋_GB2312"/>
          <w:color w:val="000000"/>
          <w:sz w:val="30"/>
          <w:szCs w:val="30"/>
        </w:rPr>
        <w:t>项目计划，成立了预算绩效管理工作领导小组，领导小组成员主要由局领导和相关</w:t>
      </w:r>
      <w:r>
        <w:rPr>
          <w:rFonts w:hint="eastAsia" w:ascii="仿宋_GB2312" w:hAnsi="仿宋_GB2312" w:eastAsia="仿宋_GB2312" w:cs="仿宋_GB2312"/>
          <w:color w:val="000000"/>
          <w:sz w:val="30"/>
          <w:szCs w:val="30"/>
          <w:lang w:val="en-US" w:eastAsia="zh-CN"/>
        </w:rPr>
        <w:t>科</w:t>
      </w:r>
      <w:r>
        <w:rPr>
          <w:rFonts w:hint="eastAsia" w:ascii="仿宋_GB2312" w:hAnsi="仿宋_GB2312" w:eastAsia="仿宋_GB2312" w:cs="仿宋_GB2312"/>
          <w:color w:val="000000"/>
          <w:sz w:val="30"/>
          <w:szCs w:val="30"/>
        </w:rPr>
        <w:t>室负责人组成，为预算绩效管理工作有效开展提供了组织保障，确保了项目的顺利实施。</w:t>
      </w:r>
    </w:p>
    <w:p w14:paraId="36209024">
      <w:pPr>
        <w:pStyle w:val="28"/>
        <w:numPr>
          <w:ilvl w:val="0"/>
          <w:numId w:val="2"/>
        </w:numPr>
        <w:tabs>
          <w:tab w:val="left" w:pos="1184"/>
        </w:tabs>
        <w:spacing w:line="560" w:lineRule="exact"/>
        <w:ind w:firstLine="56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制度建设情况</w:t>
      </w:r>
    </w:p>
    <w:p w14:paraId="07E4D497">
      <w:pPr>
        <w:pStyle w:val="28"/>
        <w:keepNext w:val="0"/>
        <w:keepLines w:val="0"/>
        <w:pageBreakBefore w:val="0"/>
        <w:widowControl w:val="0"/>
        <w:numPr>
          <w:ilvl w:val="0"/>
          <w:numId w:val="0"/>
        </w:numPr>
        <w:tabs>
          <w:tab w:val="left" w:pos="1184"/>
        </w:tabs>
        <w:kinsoku/>
        <w:wordWrap/>
        <w:overflowPunct/>
        <w:topLinePunct w:val="0"/>
        <w:autoSpaceDE/>
        <w:autoSpaceDN/>
        <w:bidi w:val="0"/>
        <w:adjustRightInd/>
        <w:snapToGrid/>
        <w:spacing w:line="560" w:lineRule="exact"/>
        <w:ind w:firstLine="600" w:firstLineChars="200"/>
        <w:jc w:val="both"/>
        <w:textAlignment w:val="auto"/>
        <w:rPr>
          <w:rFonts w:hint="eastAsia"/>
          <w:sz w:val="30"/>
          <w:szCs w:val="30"/>
        </w:rPr>
      </w:pPr>
      <w:r>
        <w:rPr>
          <w:rFonts w:hint="eastAsia" w:ascii="仿宋_GB2312" w:hAnsi="仿宋_GB2312" w:eastAsia="仿宋_GB2312" w:cs="仿宋_GB2312"/>
          <w:color w:val="000000"/>
          <w:sz w:val="30"/>
          <w:szCs w:val="30"/>
        </w:rPr>
        <w:t>我单位把制度建设作为开展项目预算绩效管理工作的关键环节，根据国家和省市有关文件要求，结合我局工作实际，建立了《</w:t>
      </w:r>
      <w:r>
        <w:rPr>
          <w:rFonts w:hint="eastAsia" w:ascii="仿宋_GB2312" w:hAnsi="仿宋_GB2312" w:eastAsia="仿宋_GB2312" w:cs="仿宋_GB2312"/>
          <w:color w:val="000000"/>
          <w:sz w:val="30"/>
          <w:szCs w:val="30"/>
          <w:lang w:val="en-US" w:eastAsia="zh-CN"/>
        </w:rPr>
        <w:t>五华区退役军人事务局内部控制管理手册</w:t>
      </w:r>
      <w:r>
        <w:rPr>
          <w:rFonts w:hint="eastAsia" w:ascii="仿宋_GB2312" w:hAnsi="仿宋_GB2312" w:eastAsia="仿宋_GB2312" w:cs="仿宋_GB2312"/>
          <w:color w:val="000000"/>
          <w:sz w:val="30"/>
          <w:szCs w:val="30"/>
        </w:rPr>
        <w:t>》制度，通过制度将绩效管理贯穿预算编制、预算执行等各个环节之中，进一步加强预算绩效管理，切实提高财政资金使用效益。</w:t>
      </w:r>
    </w:p>
    <w:bookmarkEnd w:id="2"/>
    <w:p w14:paraId="2D08ED3C">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65EB55E6">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p>
    <w:p w14:paraId="67F616CF">
      <w:pPr>
        <w:pStyle w:val="28"/>
        <w:keepNext w:val="0"/>
        <w:keepLines w:val="0"/>
        <w:pageBreakBefore w:val="0"/>
        <w:tabs>
          <w:tab w:val="left" w:pos="1525"/>
        </w:tabs>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通过绩效自评，全面了解</w:t>
      </w:r>
      <w:r>
        <w:rPr>
          <w:rFonts w:hint="eastAsia" w:ascii="仿宋_GB2312" w:hAnsi="仿宋_GB2312" w:eastAsia="仿宋_GB2312" w:cs="仿宋_GB2312"/>
          <w:color w:val="000000"/>
          <w:sz w:val="30"/>
          <w:szCs w:val="30"/>
          <w:lang w:val="en-US" w:eastAsia="zh-CN"/>
        </w:rPr>
        <w:t>军队转业干部补助经费</w:t>
      </w:r>
      <w:r>
        <w:rPr>
          <w:rFonts w:hint="eastAsia" w:ascii="仿宋_GB2312" w:hAnsi="仿宋_GB2312" w:eastAsia="仿宋_GB2312" w:cs="仿宋_GB2312"/>
          <w:color w:val="000000"/>
          <w:sz w:val="30"/>
          <w:szCs w:val="30"/>
          <w:lang w:eastAsia="zh-CN"/>
        </w:rPr>
        <w:t>资金管理过程是否规范、产出目标是否完成以及效果目标是否实现等方面的内容，总结经验，查找不足，为项目在以后年度的开展提供可行性参考建议。在此基础上，重点分析项目预算编制的合理性、成本支出的真实性和控制有效性，正确引导和规范财政资金监督与管理，提高财政资金使用效益和效果，也有利于重点项目建设，对项目的运行及效率情况提供及时、有价值的信息，促进项目管理，为以后年度编制项目预算、选择项目实施主体等提供参考依据。</w:t>
      </w:r>
    </w:p>
    <w:p w14:paraId="479D46C7">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本次绩效评价对象和范围是对202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年的</w:t>
      </w:r>
      <w:r>
        <w:rPr>
          <w:rFonts w:hint="eastAsia" w:ascii="仿宋_GB2312" w:hAnsi="仿宋_GB2312" w:eastAsia="仿宋_GB2312" w:cs="仿宋_GB2312"/>
          <w:color w:val="000000"/>
          <w:sz w:val="30"/>
          <w:szCs w:val="30"/>
          <w:lang w:val="en-US" w:eastAsia="zh-CN"/>
        </w:rPr>
        <w:t>军队转业干部补助经费</w:t>
      </w:r>
      <w:r>
        <w:rPr>
          <w:rFonts w:hint="eastAsia" w:ascii="仿宋_GB2312" w:hAnsi="仿宋_GB2312" w:eastAsia="仿宋_GB2312" w:cs="仿宋_GB2312"/>
          <w:color w:val="000000"/>
          <w:sz w:val="30"/>
          <w:szCs w:val="30"/>
        </w:rPr>
        <w:t>项目的使用及执行情况开展绩效评价。</w:t>
      </w:r>
    </w:p>
    <w:p w14:paraId="463315DF">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绩效评价原则、依据、评价指标体系（附表说明）、评价方法、评价标准、评价抽样等。</w:t>
      </w:r>
    </w:p>
    <w:p w14:paraId="40B8668D">
      <w:pPr>
        <w:widowControl/>
        <w:ind w:firstLine="58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spacing w:val="-5"/>
          <w:sz w:val="30"/>
          <w:szCs w:val="30"/>
        </w:rPr>
        <w:t>根据《云南省财政厅关于印发〈云南省项目支出绩效评价管理办法〉的通知》（云财绩〔2020〕11号）精神，按照《</w:t>
      </w:r>
      <w:r>
        <w:rPr>
          <w:rFonts w:hint="eastAsia" w:ascii="仿宋_GB2312" w:hAnsi="仿宋_GB2312" w:eastAsia="仿宋_GB2312" w:cs="仿宋_GB2312"/>
          <w:spacing w:val="-5"/>
          <w:sz w:val="30"/>
          <w:szCs w:val="30"/>
          <w:lang w:val="en-US" w:eastAsia="zh-CN"/>
        </w:rPr>
        <w:t>五华区</w:t>
      </w:r>
      <w:r>
        <w:rPr>
          <w:rFonts w:hint="eastAsia" w:ascii="仿宋_GB2312" w:hAnsi="仿宋_GB2312" w:eastAsia="仿宋_GB2312" w:cs="仿宋_GB2312"/>
          <w:spacing w:val="-5"/>
          <w:sz w:val="30"/>
          <w:szCs w:val="30"/>
        </w:rPr>
        <w:t>财政局关于</w:t>
      </w:r>
      <w:r>
        <w:rPr>
          <w:rFonts w:hint="eastAsia" w:ascii="仿宋_GB2312" w:hAnsi="仿宋_GB2312" w:eastAsia="仿宋_GB2312" w:cs="仿宋_GB2312"/>
          <w:spacing w:val="-5"/>
          <w:sz w:val="30"/>
          <w:szCs w:val="30"/>
          <w:lang w:val="en-US" w:eastAsia="zh-CN"/>
        </w:rPr>
        <w:t>开展</w:t>
      </w:r>
      <w:r>
        <w:rPr>
          <w:rFonts w:hint="eastAsia" w:ascii="仿宋_GB2312" w:hAnsi="仿宋_GB2312" w:eastAsia="仿宋_GB2312" w:cs="仿宋_GB2312"/>
          <w:spacing w:val="-5"/>
          <w:sz w:val="30"/>
          <w:szCs w:val="30"/>
        </w:rPr>
        <w:t>2024年预算</w:t>
      </w:r>
      <w:r>
        <w:rPr>
          <w:rFonts w:hint="eastAsia" w:ascii="仿宋_GB2312" w:hAnsi="仿宋_GB2312" w:eastAsia="仿宋_GB2312" w:cs="仿宋_GB2312"/>
          <w:spacing w:val="-5"/>
          <w:sz w:val="30"/>
          <w:szCs w:val="30"/>
          <w:lang w:val="en-US" w:eastAsia="zh-CN"/>
        </w:rPr>
        <w:t>支出部门</w:t>
      </w:r>
      <w:r>
        <w:rPr>
          <w:rFonts w:hint="eastAsia" w:ascii="仿宋_GB2312" w:hAnsi="仿宋_GB2312" w:eastAsia="仿宋_GB2312" w:cs="仿宋_GB2312"/>
          <w:spacing w:val="-5"/>
          <w:sz w:val="30"/>
          <w:szCs w:val="30"/>
        </w:rPr>
        <w:t>绩效</w:t>
      </w:r>
      <w:r>
        <w:rPr>
          <w:rFonts w:hint="eastAsia" w:ascii="仿宋_GB2312" w:hAnsi="仿宋_GB2312" w:eastAsia="仿宋_GB2312" w:cs="仿宋_GB2312"/>
          <w:spacing w:val="-5"/>
          <w:sz w:val="30"/>
          <w:szCs w:val="30"/>
          <w:lang w:val="en-US" w:eastAsia="zh-CN"/>
        </w:rPr>
        <w:t>评价</w:t>
      </w:r>
      <w:r>
        <w:rPr>
          <w:rFonts w:hint="eastAsia" w:ascii="仿宋_GB2312" w:hAnsi="仿宋_GB2312" w:eastAsia="仿宋_GB2312" w:cs="仿宋_GB2312"/>
          <w:spacing w:val="-5"/>
          <w:sz w:val="30"/>
          <w:szCs w:val="30"/>
        </w:rPr>
        <w:t>工作的通知》（</w:t>
      </w:r>
      <w:r>
        <w:rPr>
          <w:rFonts w:hint="eastAsia" w:ascii="仿宋_GB2312" w:hAnsi="仿宋_GB2312" w:eastAsia="仿宋_GB2312" w:cs="仿宋_GB2312"/>
          <w:spacing w:val="-5"/>
          <w:sz w:val="30"/>
          <w:szCs w:val="30"/>
          <w:lang w:val="en-US" w:eastAsia="zh-CN"/>
        </w:rPr>
        <w:t>五财</w:t>
      </w:r>
      <w:r>
        <w:rPr>
          <w:rFonts w:hint="eastAsia" w:ascii="仿宋_GB2312" w:hAnsi="仿宋_GB2312" w:eastAsia="仿宋_GB2312" w:cs="仿宋_GB2312"/>
          <w:spacing w:val="-5"/>
          <w:sz w:val="30"/>
          <w:szCs w:val="30"/>
        </w:rPr>
        <w:t>〔202</w:t>
      </w:r>
      <w:r>
        <w:rPr>
          <w:rFonts w:hint="eastAsia" w:ascii="仿宋_GB2312" w:hAnsi="仿宋_GB2312" w:eastAsia="仿宋_GB2312" w:cs="仿宋_GB2312"/>
          <w:spacing w:val="-5"/>
          <w:sz w:val="30"/>
          <w:szCs w:val="30"/>
          <w:lang w:val="en-US" w:eastAsia="zh-CN"/>
        </w:rPr>
        <w:t>5</w:t>
      </w:r>
      <w:r>
        <w:rPr>
          <w:rFonts w:hint="eastAsia" w:ascii="仿宋_GB2312" w:hAnsi="仿宋_GB2312" w:eastAsia="仿宋_GB2312" w:cs="仿宋_GB2312"/>
          <w:spacing w:val="-5"/>
          <w:sz w:val="30"/>
          <w:szCs w:val="30"/>
        </w:rPr>
        <w:t>〕</w:t>
      </w:r>
      <w:r>
        <w:rPr>
          <w:rFonts w:hint="eastAsia" w:ascii="仿宋_GB2312" w:hAnsi="仿宋_GB2312" w:eastAsia="仿宋_GB2312" w:cs="仿宋_GB2312"/>
          <w:spacing w:val="-5"/>
          <w:sz w:val="30"/>
          <w:szCs w:val="30"/>
          <w:lang w:val="en-US" w:eastAsia="zh-CN"/>
        </w:rPr>
        <w:t>14</w:t>
      </w:r>
      <w:r>
        <w:rPr>
          <w:rFonts w:hint="eastAsia" w:ascii="仿宋_GB2312" w:hAnsi="仿宋_GB2312" w:eastAsia="仿宋_GB2312" w:cs="仿宋_GB2312"/>
          <w:spacing w:val="-5"/>
          <w:sz w:val="30"/>
          <w:szCs w:val="30"/>
        </w:rPr>
        <w:t>）要求，</w:t>
      </w:r>
      <w:r>
        <w:rPr>
          <w:rFonts w:hint="eastAsia" w:ascii="仿宋_GB2312" w:hAnsi="仿宋_GB2312" w:eastAsia="仿宋_GB2312" w:cs="仿宋_GB2312"/>
          <w:color w:val="000000"/>
          <w:sz w:val="30"/>
          <w:szCs w:val="30"/>
        </w:rPr>
        <w:t>评价工作组秉承科学规范、客观公正、定性定量结合的原则，采取计划标准、行业标准、历史标准，结合自评项目的特点、</w:t>
      </w:r>
      <w:r>
        <w:rPr>
          <w:rFonts w:hint="eastAsia" w:ascii="仿宋_GB2312" w:hAnsi="仿宋_GB2312" w:eastAsia="仿宋_GB2312" w:cs="仿宋_GB2312"/>
          <w:color w:val="000000"/>
          <w:sz w:val="30"/>
          <w:szCs w:val="30"/>
          <w:lang w:val="en-US" w:eastAsia="zh-CN"/>
        </w:rPr>
        <w:t>军队专业干部</w:t>
      </w:r>
      <w:r>
        <w:rPr>
          <w:rFonts w:hint="eastAsia" w:ascii="仿宋_GB2312" w:hAnsi="仿宋_GB2312" w:eastAsia="仿宋_GB2312" w:cs="仿宋_GB2312"/>
          <w:color w:val="000000"/>
          <w:sz w:val="30"/>
          <w:szCs w:val="30"/>
        </w:rPr>
        <w:t>现状、项目规模、历史经验，对绩效指标完成情况进行评价分析。</w:t>
      </w:r>
    </w:p>
    <w:p w14:paraId="508BC0DE">
      <w:pPr>
        <w:widowControl/>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评价指标体系</w:t>
      </w:r>
    </w:p>
    <w:tbl>
      <w:tblPr>
        <w:tblStyle w:val="12"/>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823"/>
        <w:gridCol w:w="4488"/>
        <w:gridCol w:w="1270"/>
        <w:gridCol w:w="1574"/>
      </w:tblGrid>
      <w:tr w14:paraId="2B8A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76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指标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B4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A29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8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BD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全年实际完成值</w:t>
            </w:r>
          </w:p>
        </w:tc>
      </w:tr>
      <w:tr w14:paraId="7B23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A2B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58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4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53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逐月领取退役金人员补助发放率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324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91E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r>
      <w:tr w14:paraId="6D92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5F87">
            <w:pPr>
              <w:jc w:val="center"/>
              <w:rPr>
                <w:rFonts w:hint="eastAsia" w:ascii="仿宋_GB2312" w:hAnsi="仿宋_GB2312" w:eastAsia="仿宋_GB2312" w:cs="仿宋_GB2312"/>
                <w:i w:val="0"/>
                <w:iCs w:val="0"/>
                <w:color w:val="000000"/>
                <w:sz w:val="21"/>
                <w:szCs w:val="21"/>
                <w:u w:val="none"/>
              </w:rPr>
            </w:pP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810A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4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EC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补助按标准兑现率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A7D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6D9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r>
      <w:tr w14:paraId="7B55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ED0D">
            <w:pPr>
              <w:jc w:val="center"/>
              <w:rPr>
                <w:rFonts w:hint="eastAsia" w:ascii="仿宋_GB2312" w:hAnsi="仿宋_GB2312" w:eastAsia="仿宋_GB2312" w:cs="仿宋_GB2312"/>
                <w:i w:val="0"/>
                <w:iCs w:val="0"/>
                <w:color w:val="000000"/>
                <w:sz w:val="21"/>
                <w:szCs w:val="21"/>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F5E1">
            <w:pPr>
              <w:jc w:val="center"/>
              <w:rPr>
                <w:rFonts w:hint="eastAsia" w:ascii="仿宋_GB2312" w:hAnsi="仿宋_GB2312" w:eastAsia="仿宋_GB2312" w:cs="仿宋_GB2312"/>
                <w:i w:val="0"/>
                <w:iCs w:val="0"/>
                <w:color w:val="000000"/>
                <w:sz w:val="21"/>
                <w:szCs w:val="21"/>
                <w:u w:val="none"/>
              </w:rPr>
            </w:pP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D5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机构运转情况</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50E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正常运转</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C9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正常运转</w:t>
            </w:r>
          </w:p>
        </w:tc>
      </w:tr>
      <w:tr w14:paraId="1CDE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5BF1">
            <w:pPr>
              <w:jc w:val="center"/>
              <w:rPr>
                <w:rFonts w:hint="eastAsia" w:ascii="仿宋_GB2312" w:hAnsi="仿宋_GB2312" w:eastAsia="仿宋_GB2312" w:cs="仿宋_GB2312"/>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745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C0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完成时限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DC5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年度内</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F6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12月30日</w:t>
            </w:r>
          </w:p>
        </w:tc>
      </w:tr>
      <w:tr w14:paraId="1873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9BCE5">
            <w:pPr>
              <w:jc w:val="center"/>
              <w:rPr>
                <w:rFonts w:hint="eastAsia" w:ascii="仿宋_GB2312" w:hAnsi="仿宋_GB2312" w:eastAsia="仿宋_GB2312" w:cs="仿宋_GB2312"/>
                <w:i w:val="0"/>
                <w:iCs w:val="0"/>
                <w:color w:val="000000"/>
                <w:sz w:val="21"/>
                <w:szCs w:val="21"/>
                <w:u w:val="none"/>
              </w:rPr>
            </w:pP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CD5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指标</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E4D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军转干部稳定情况</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87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总体稳定，无群体性事件发生。</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857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总体稳定，无群体性事件发生。</w:t>
            </w:r>
          </w:p>
        </w:tc>
      </w:tr>
      <w:tr w14:paraId="5727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FA3B">
            <w:pPr>
              <w:jc w:val="center"/>
              <w:rPr>
                <w:rFonts w:hint="eastAsia" w:ascii="仿宋_GB2312" w:hAnsi="仿宋_GB2312" w:eastAsia="仿宋_GB2312" w:cs="仿宋_GB2312"/>
                <w:i w:val="0"/>
                <w:iCs w:val="0"/>
                <w:color w:val="000000"/>
                <w:sz w:val="21"/>
                <w:szCs w:val="21"/>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5717">
            <w:pPr>
              <w:jc w:val="center"/>
              <w:rPr>
                <w:rFonts w:hint="eastAsia" w:ascii="仿宋_GB2312" w:hAnsi="仿宋_GB2312" w:eastAsia="仿宋_GB2312" w:cs="仿宋_GB2312"/>
                <w:i w:val="0"/>
                <w:iCs w:val="0"/>
                <w:color w:val="000000"/>
                <w:sz w:val="21"/>
                <w:szCs w:val="21"/>
                <w:u w:val="none"/>
              </w:rPr>
            </w:pP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B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逐月领取退役金人员生活改善情况</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8B3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有所改善</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931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有所改善</w:t>
            </w:r>
          </w:p>
        </w:tc>
      </w:tr>
      <w:tr w14:paraId="7528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9B2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4D52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BE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自主择业干部满意度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BCF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&gt;=90%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054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&gt;=90%</w:t>
            </w:r>
          </w:p>
        </w:tc>
      </w:tr>
      <w:tr w14:paraId="47A1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B8A4A">
            <w:pPr>
              <w:jc w:val="center"/>
              <w:rPr>
                <w:rFonts w:hint="eastAsia" w:ascii="仿宋_GB2312" w:hAnsi="仿宋_GB2312" w:eastAsia="仿宋_GB2312" w:cs="仿宋_GB2312"/>
                <w:i w:val="0"/>
                <w:iCs w:val="0"/>
                <w:color w:val="000000"/>
                <w:sz w:val="21"/>
                <w:szCs w:val="21"/>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CD77A">
            <w:pPr>
              <w:jc w:val="center"/>
              <w:rPr>
                <w:rFonts w:hint="eastAsia" w:ascii="仿宋_GB2312" w:hAnsi="仿宋_GB2312" w:eastAsia="仿宋_GB2312" w:cs="仿宋_GB2312"/>
                <w:i w:val="0"/>
                <w:iCs w:val="0"/>
                <w:color w:val="000000"/>
                <w:sz w:val="21"/>
                <w:szCs w:val="21"/>
                <w:u w:val="none"/>
              </w:rPr>
            </w:pP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67C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逐月领取退役金人员满意度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7F6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&gt;=90%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997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&gt;=90%</w:t>
            </w:r>
          </w:p>
        </w:tc>
      </w:tr>
    </w:tbl>
    <w:p w14:paraId="47B77D42">
      <w:pPr>
        <w:pStyle w:val="28"/>
        <w:numPr>
          <w:ilvl w:val="0"/>
          <w:numId w:val="1"/>
        </w:numPr>
        <w:tabs>
          <w:tab w:val="left" w:pos="1525"/>
        </w:tabs>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绩效评价工作过程。</w:t>
      </w:r>
    </w:p>
    <w:p w14:paraId="24FDD0F6">
      <w:pPr>
        <w:pStyle w:val="28"/>
        <w:keepNext w:val="0"/>
        <w:keepLines w:val="0"/>
        <w:pageBreakBefore w:val="0"/>
        <w:widowControl w:val="0"/>
        <w:numPr>
          <w:ilvl w:val="0"/>
          <w:numId w:val="0"/>
        </w:numPr>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1.数据填报和采集</w:t>
      </w:r>
    </w:p>
    <w:p w14:paraId="458BFB62">
      <w:pPr>
        <w:keepNext w:val="0"/>
        <w:keepLines w:val="0"/>
        <w:pageBreakBefore w:val="0"/>
        <w:widowControl w:val="0"/>
        <w:kinsoku/>
        <w:wordWrap/>
        <w:overflowPunct/>
        <w:topLinePunct w:val="0"/>
        <w:autoSpaceDE/>
        <w:autoSpaceDN/>
        <w:bidi w:val="0"/>
        <w:adjustRightInd/>
        <w:snapToGrid/>
        <w:spacing w:line="500" w:lineRule="atLeast"/>
        <w:ind w:leftChars="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评价组严格按照《五华区财政局关于开展202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年度预算支出部门绩效评价工作的通知》（五财〔202</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14</w:t>
      </w:r>
      <w:r>
        <w:rPr>
          <w:rFonts w:hint="eastAsia" w:ascii="仿宋_GB2312" w:hAnsi="仿宋_GB2312" w:eastAsia="仿宋_GB2312" w:cs="仿宋_GB2312"/>
          <w:color w:val="000000"/>
          <w:sz w:val="30"/>
          <w:szCs w:val="30"/>
        </w:rPr>
        <w:t>号）文件要求，结合我局项目支出财务资料和202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年决算资料进行相关数据采集和填报。</w:t>
      </w:r>
    </w:p>
    <w:p w14:paraId="18CBB552">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2.社会调查</w:t>
      </w:r>
    </w:p>
    <w:p w14:paraId="0DE9F5A7">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由于本次项目均为经费类专项支出项目，因此本次评价组在进行评价时未进行社会调查活动。</w:t>
      </w:r>
    </w:p>
    <w:p w14:paraId="152427AA">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3.数据分析和撰写报告</w:t>
      </w:r>
    </w:p>
    <w:p w14:paraId="41B9767F">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lang w:eastAsia="zh-CN"/>
        </w:rPr>
        <w:t>评价组在前期数据采集和填报的基础上，对项目的成本控制、各项绩效指标进行了详细分析，严格按照《五华区财政局关于开展20</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lang w:eastAsia="zh-CN"/>
        </w:rPr>
        <w:t>年度预算支出部门绩效评价工作的通知》</w:t>
      </w:r>
      <w:r>
        <w:rPr>
          <w:rFonts w:hint="eastAsia" w:ascii="仿宋_GB2312" w:hAnsi="仿宋_GB2312" w:eastAsia="仿宋_GB2312" w:cs="仿宋_GB2312"/>
          <w:color w:val="000000"/>
          <w:sz w:val="30"/>
          <w:szCs w:val="30"/>
          <w:lang w:val="en-US" w:eastAsia="zh-CN"/>
        </w:rPr>
        <w:t>文件</w:t>
      </w:r>
      <w:r>
        <w:rPr>
          <w:rFonts w:hint="eastAsia" w:ascii="仿宋_GB2312" w:hAnsi="仿宋_GB2312" w:eastAsia="仿宋_GB2312" w:cs="仿宋_GB2312"/>
          <w:color w:val="000000"/>
          <w:sz w:val="30"/>
          <w:szCs w:val="30"/>
          <w:lang w:eastAsia="zh-CN"/>
        </w:rPr>
        <w:t>要求撰写项目支出绩效评价报告。</w:t>
      </w:r>
    </w:p>
    <w:p w14:paraId="6FAF9AB0">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14:paraId="7934A7F7">
      <w:pPr>
        <w:pStyle w:val="28"/>
        <w:tabs>
          <w:tab w:val="left" w:pos="1489"/>
        </w:tabs>
        <w:spacing w:line="560" w:lineRule="exact"/>
        <w:ind w:firstLine="68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（一）绩效评价综合结论。</w:t>
      </w:r>
    </w:p>
    <w:p w14:paraId="7511A70A">
      <w:pPr>
        <w:pStyle w:val="28"/>
        <w:keepNext w:val="0"/>
        <w:keepLines w:val="0"/>
        <w:pageBreakBefore w:val="0"/>
        <w:widowControl w:val="0"/>
        <w:tabs>
          <w:tab w:val="left" w:pos="1489"/>
        </w:tabs>
        <w:kinsoku/>
        <w:wordWrap/>
        <w:overflowPunct/>
        <w:topLinePunct w:val="0"/>
        <w:autoSpaceDE/>
        <w:autoSpaceDN/>
        <w:bidi w:val="0"/>
        <w:adjustRightInd/>
        <w:snapToGrid/>
        <w:spacing w:line="560" w:lineRule="exact"/>
        <w:ind w:firstLine="403"/>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1.评价结论。五华区退役军人事务局2024年军队转业干部补助经费项目绩效自评分为</w:t>
      </w:r>
      <w:r>
        <w:rPr>
          <w:rFonts w:hint="eastAsia" w:ascii="仿宋_GB2312" w:hAnsi="仿宋_GB2312" w:eastAsia="仿宋_GB2312" w:cs="仿宋_GB2312"/>
          <w:sz w:val="30"/>
          <w:szCs w:val="30"/>
          <w:highlight w:val="none"/>
          <w:lang w:val="en-US" w:eastAsia="zh-CN"/>
        </w:rPr>
        <w:t>9</w:t>
      </w:r>
      <w:r>
        <w:rPr>
          <w:rFonts w:ascii="仿宋_GB2312" w:hAnsi="仿宋_GB2312" w:eastAsia="仿宋_GB2312" w:cs="仿宋_GB2312"/>
          <w:sz w:val="30"/>
          <w:szCs w:val="30"/>
          <w:highlight w:val="none"/>
          <w:lang w:val="en-US" w:eastAsia="zh-CN"/>
        </w:rPr>
        <w:t>8</w:t>
      </w:r>
      <w:r>
        <w:rPr>
          <w:rFonts w:hint="eastAsia" w:ascii="仿宋_GB2312" w:hAnsi="仿宋_GB2312" w:eastAsia="仿宋_GB2312" w:cs="仿宋_GB2312"/>
          <w:color w:val="000000"/>
          <w:sz w:val="30"/>
          <w:szCs w:val="30"/>
          <w:lang w:val="en-US" w:eastAsia="zh-CN"/>
        </w:rPr>
        <w:t>分，其中，项目决策总分1</w:t>
      </w:r>
      <w:r>
        <w:rPr>
          <w:rFonts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en-US" w:eastAsia="zh-CN"/>
        </w:rPr>
        <w:t>，评分1</w:t>
      </w:r>
      <w:r>
        <w:rPr>
          <w:rFonts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en-US" w:eastAsia="zh-CN"/>
        </w:rPr>
        <w:t>；项目过程总分2</w:t>
      </w:r>
      <w:r>
        <w:rPr>
          <w:rFonts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en-US" w:eastAsia="zh-CN"/>
        </w:rPr>
        <w:t>，评分2</w:t>
      </w:r>
      <w:r>
        <w:rPr>
          <w:rFonts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en-US" w:eastAsia="zh-CN"/>
        </w:rPr>
        <w:t>；项目产出总分30，评分30；项目效益总分30，评分30。自评等级为优。</w:t>
      </w:r>
    </w:p>
    <w:tbl>
      <w:tblPr>
        <w:tblStyle w:val="12"/>
        <w:tblpPr w:leftFromText="180" w:rightFromText="180" w:vertAnchor="text" w:horzAnchor="page" w:tblpXSpec="center" w:tblpY="258"/>
        <w:tblOverlap w:val="never"/>
        <w:tblW w:w="9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748"/>
        <w:gridCol w:w="2094"/>
        <w:gridCol w:w="510"/>
        <w:gridCol w:w="2347"/>
        <w:gridCol w:w="1320"/>
        <w:gridCol w:w="833"/>
      </w:tblGrid>
      <w:tr w14:paraId="3EC8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4409D8D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tcBorders>
              <w:top w:val="single" w:color="000000" w:sz="4" w:space="0"/>
              <w:left w:val="single" w:color="000000" w:sz="4" w:space="0"/>
              <w:right w:val="single" w:color="000000" w:sz="4" w:space="0"/>
            </w:tcBorders>
            <w:noWrap w:val="0"/>
            <w:vAlign w:val="center"/>
          </w:tcPr>
          <w:p w14:paraId="78718C13">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B97CA7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E1C3FD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086CA37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A3CF13">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0A9B6F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264A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8F9BA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02C550B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restart"/>
            <w:tcBorders>
              <w:top w:val="single" w:color="000000" w:sz="4" w:space="0"/>
              <w:left w:val="single" w:color="000000" w:sz="4" w:space="0"/>
              <w:right w:val="single" w:color="000000" w:sz="4" w:space="0"/>
            </w:tcBorders>
            <w:noWrap w:val="0"/>
            <w:vAlign w:val="center"/>
          </w:tcPr>
          <w:p w14:paraId="36F1985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2094" w:type="dxa"/>
            <w:vMerge w:val="restart"/>
            <w:tcBorders>
              <w:top w:val="single" w:color="000000" w:sz="4" w:space="0"/>
              <w:left w:val="single" w:color="000000" w:sz="4" w:space="0"/>
              <w:right w:val="single" w:color="000000" w:sz="4" w:space="0"/>
            </w:tcBorders>
            <w:noWrap w:val="0"/>
            <w:vAlign w:val="center"/>
          </w:tcPr>
          <w:p w14:paraId="63DB455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510" w:type="dxa"/>
            <w:vMerge w:val="restart"/>
            <w:tcBorders>
              <w:top w:val="single" w:color="000000" w:sz="4" w:space="0"/>
              <w:left w:val="single" w:color="000000" w:sz="4" w:space="0"/>
              <w:right w:val="single" w:color="000000" w:sz="4" w:space="0"/>
            </w:tcBorders>
            <w:noWrap w:val="0"/>
            <w:vAlign w:val="center"/>
          </w:tcPr>
          <w:p w14:paraId="22A8AD0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01577670">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A3C83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94E843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2820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F9D1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left w:val="single" w:color="000000" w:sz="4" w:space="0"/>
              <w:right w:val="single" w:color="000000" w:sz="4" w:space="0"/>
            </w:tcBorders>
            <w:noWrap w:val="0"/>
            <w:vAlign w:val="center"/>
          </w:tcPr>
          <w:p w14:paraId="69CC945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2090DE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000000" w:sz="4" w:space="0"/>
            </w:tcBorders>
            <w:noWrap w:val="0"/>
            <w:vAlign w:val="center"/>
          </w:tcPr>
          <w:p w14:paraId="4BA713F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62955D9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004418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1475D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6214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23D5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left w:val="single" w:color="000000" w:sz="4" w:space="0"/>
              <w:right w:val="single" w:color="000000" w:sz="4" w:space="0"/>
            </w:tcBorders>
            <w:noWrap w:val="0"/>
            <w:vAlign w:val="center"/>
          </w:tcPr>
          <w:p w14:paraId="6E47A5E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restart"/>
            <w:tcBorders>
              <w:left w:val="single" w:color="000000" w:sz="4" w:space="0"/>
              <w:right w:val="single" w:color="000000" w:sz="4" w:space="0"/>
            </w:tcBorders>
            <w:noWrap w:val="0"/>
            <w:vAlign w:val="center"/>
          </w:tcPr>
          <w:p w14:paraId="63FEF76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510" w:type="dxa"/>
            <w:vMerge w:val="restart"/>
            <w:tcBorders>
              <w:left w:val="single" w:color="000000" w:sz="4" w:space="0"/>
              <w:right w:val="single" w:color="000000" w:sz="4" w:space="0"/>
            </w:tcBorders>
            <w:noWrap w:val="0"/>
            <w:vAlign w:val="center"/>
          </w:tcPr>
          <w:p w14:paraId="17058E9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26C9095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C5F80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FC017">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2E71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AC62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left w:val="single" w:color="000000" w:sz="4" w:space="0"/>
              <w:right w:val="single" w:color="000000" w:sz="4" w:space="0"/>
            </w:tcBorders>
            <w:noWrap w:val="0"/>
            <w:vAlign w:val="center"/>
          </w:tcPr>
          <w:p w14:paraId="0D012DE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12EB60E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000000" w:sz="4" w:space="0"/>
            </w:tcBorders>
            <w:noWrap w:val="0"/>
            <w:vAlign w:val="center"/>
          </w:tcPr>
          <w:p w14:paraId="21C7545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3B9926A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78891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9B822">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0EDB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41548">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5CC8B7DA">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bottom w:val="single" w:color="000000" w:sz="4" w:space="0"/>
              <w:right w:val="single" w:color="000000" w:sz="4" w:space="0"/>
            </w:tcBorders>
            <w:noWrap w:val="0"/>
            <w:vAlign w:val="center"/>
          </w:tcPr>
          <w:p w14:paraId="4FA95E8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A2BA9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12CD588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79536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18DC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7EE6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0B627A03">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bottom w:val="single" w:color="auto" w:sz="4" w:space="0"/>
              <w:right w:val="single" w:color="000000" w:sz="4" w:space="0"/>
            </w:tcBorders>
            <w:noWrap w:val="0"/>
            <w:vAlign w:val="center"/>
          </w:tcPr>
          <w:p w14:paraId="7EFA377F">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BE51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6713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36BFBEF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93CDB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860EA">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77D5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58B0805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vMerge w:val="continue"/>
            <w:tcBorders>
              <w:top w:val="single" w:color="auto" w:sz="4" w:space="0"/>
              <w:left w:val="single" w:color="000000" w:sz="4" w:space="0"/>
              <w:right w:val="single" w:color="000000" w:sz="4" w:space="0"/>
            </w:tcBorders>
            <w:noWrap w:val="0"/>
            <w:vAlign w:val="center"/>
          </w:tcPr>
          <w:p w14:paraId="62094B3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B5EA8">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C648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7EA20FA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28B1E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B45178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14:paraId="1261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B7BD4">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0152305D">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4DE70">
            <w:pPr>
              <w:spacing w:line="300" w:lineRule="exact"/>
              <w:ind w:left="0" w:leftChars="0" w:right="0" w:rightChars="0" w:firstLine="0" w:firstLineChars="0"/>
              <w:jc w:val="center"/>
              <w:rPr>
                <w:rFonts w:hint="eastAsia" w:ascii="宋体" w:hAnsi="宋体" w:eastAsia="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0BB4D">
            <w:pPr>
              <w:spacing w:line="300" w:lineRule="exact"/>
              <w:ind w:left="0" w:leftChars="0" w:right="0" w:rightChars="0" w:firstLine="0" w:firstLineChars="0"/>
              <w:jc w:val="center"/>
              <w:rPr>
                <w:rFonts w:hint="eastAsia" w:ascii="宋体" w:hAnsi="宋体" w:eastAsia="宋体"/>
                <w:sz w:val="18"/>
                <w:szCs w:val="18"/>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67565FE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22CBC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7E9D17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14:paraId="2944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B8AC7">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388BC8D9">
            <w:pPr>
              <w:spacing w:line="300" w:lineRule="exact"/>
              <w:ind w:left="0" w:leftChars="0" w:right="0" w:rightChars="0" w:firstLine="0" w:firstLineChars="0"/>
              <w:jc w:val="center"/>
              <w:rPr>
                <w:rFonts w:hint="eastAsia" w:ascii="宋体" w:hAnsi="宋体" w:eastAsia="宋体"/>
                <w:sz w:val="18"/>
                <w:szCs w:val="18"/>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EBCCEEB">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5C6EB5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6D2623D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D4391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473148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2C38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EBCFD">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3DF262D9">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0C047D66">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510" w:type="dxa"/>
            <w:vMerge w:val="restart"/>
            <w:tcBorders>
              <w:top w:val="single" w:color="000000" w:sz="4" w:space="0"/>
              <w:left w:val="single" w:color="000000" w:sz="4" w:space="0"/>
              <w:right w:val="single" w:color="000000" w:sz="4" w:space="0"/>
            </w:tcBorders>
            <w:noWrap w:val="0"/>
            <w:vAlign w:val="center"/>
          </w:tcPr>
          <w:p w14:paraId="62F603F8">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056D05E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57E0C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131EA9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2D35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05B6E">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bottom w:val="single" w:color="000000" w:sz="4" w:space="0"/>
              <w:right w:val="single" w:color="000000" w:sz="4" w:space="0"/>
            </w:tcBorders>
            <w:noWrap w:val="0"/>
            <w:vAlign w:val="center"/>
          </w:tcPr>
          <w:p w14:paraId="3CD6B9D9">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472FD25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000000" w:sz="4" w:space="0"/>
            </w:tcBorders>
            <w:noWrap w:val="0"/>
            <w:vAlign w:val="center"/>
          </w:tcPr>
          <w:p w14:paraId="3D65E1F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2B0270C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B7147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CDE3CD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bl>
    <w:p w14:paraId="14A48F44">
      <w:pPr>
        <w:pStyle w:val="2"/>
        <w:ind w:left="0" w:leftChars="0" w:firstLine="0" w:firstLineChars="0"/>
      </w:pPr>
    </w:p>
    <w:p w14:paraId="0AB418B0"/>
    <w:tbl>
      <w:tblPr>
        <w:tblStyle w:val="12"/>
        <w:tblpPr w:leftFromText="180" w:rightFromText="180" w:vertAnchor="text" w:horzAnchor="page" w:tblpXSpec="center" w:tblpY="258"/>
        <w:tblOverlap w:val="never"/>
        <w:tblW w:w="9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748"/>
        <w:gridCol w:w="2094"/>
        <w:gridCol w:w="510"/>
        <w:gridCol w:w="2347"/>
        <w:gridCol w:w="1320"/>
        <w:gridCol w:w="833"/>
      </w:tblGrid>
      <w:tr w14:paraId="78F7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48AB618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vMerge w:val="restart"/>
            <w:tcBorders>
              <w:top w:val="single" w:color="000000" w:sz="4" w:space="0"/>
              <w:left w:val="single" w:color="000000" w:sz="4" w:space="0"/>
              <w:right w:val="single" w:color="000000" w:sz="4" w:space="0"/>
            </w:tcBorders>
            <w:noWrap w:val="0"/>
            <w:vAlign w:val="center"/>
          </w:tcPr>
          <w:p w14:paraId="6D9BDCA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2094" w:type="dxa"/>
            <w:tcBorders>
              <w:top w:val="single" w:color="000000" w:sz="4" w:space="0"/>
              <w:left w:val="single" w:color="000000" w:sz="4" w:space="0"/>
              <w:right w:val="single" w:color="000000" w:sz="4" w:space="0"/>
            </w:tcBorders>
            <w:noWrap w:val="0"/>
            <w:vAlign w:val="center"/>
          </w:tcPr>
          <w:p w14:paraId="395124B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10" w:type="dxa"/>
            <w:tcBorders>
              <w:top w:val="single" w:color="000000" w:sz="4" w:space="0"/>
              <w:left w:val="single" w:color="000000" w:sz="4" w:space="0"/>
              <w:right w:val="single" w:color="auto" w:sz="4" w:space="0"/>
            </w:tcBorders>
            <w:noWrap w:val="0"/>
            <w:vAlign w:val="center"/>
          </w:tcPr>
          <w:p w14:paraId="44B987E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31DC2BC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军转干部</w:t>
            </w:r>
            <w:r>
              <w:rPr>
                <w:rFonts w:hint="eastAsia" w:ascii="宋体" w:hAnsi="宋体" w:eastAsia="宋体"/>
                <w:color w:val="000000"/>
                <w:sz w:val="18"/>
                <w:szCs w:val="18"/>
              </w:rPr>
              <w:t>补助发放率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8CBDC3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0ED37B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14:paraId="6F9D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413" w:type="dxa"/>
            <w:vMerge w:val="continue"/>
            <w:tcBorders>
              <w:left w:val="single" w:color="000000" w:sz="4" w:space="0"/>
              <w:right w:val="single" w:color="000000" w:sz="4" w:space="0"/>
            </w:tcBorders>
            <w:noWrap w:val="0"/>
            <w:vAlign w:val="center"/>
          </w:tcPr>
          <w:p w14:paraId="30E2FC0E">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A0A28">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2273F3B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510" w:type="dxa"/>
            <w:vMerge w:val="restart"/>
            <w:tcBorders>
              <w:top w:val="single" w:color="000000" w:sz="4" w:space="0"/>
              <w:left w:val="single" w:color="000000" w:sz="4" w:space="0"/>
              <w:right w:val="single" w:color="auto" w:sz="4" w:space="0"/>
            </w:tcBorders>
            <w:noWrap w:val="0"/>
            <w:vAlign w:val="center"/>
          </w:tcPr>
          <w:p w14:paraId="115DFA71">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5EE11B11">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补助按标准兑现率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A7C6A4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A3FAA0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3A0D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413" w:type="dxa"/>
            <w:vMerge w:val="continue"/>
            <w:tcBorders>
              <w:left w:val="single" w:color="000000" w:sz="4" w:space="0"/>
              <w:right w:val="single" w:color="000000" w:sz="4" w:space="0"/>
            </w:tcBorders>
            <w:noWrap w:val="0"/>
            <w:vAlign w:val="center"/>
          </w:tcPr>
          <w:p w14:paraId="35C4FA8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B29E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right w:val="single" w:color="000000" w:sz="4" w:space="0"/>
            </w:tcBorders>
            <w:noWrap w:val="0"/>
            <w:vAlign w:val="center"/>
          </w:tcPr>
          <w:p w14:paraId="42EF6DE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right w:val="single" w:color="auto" w:sz="4" w:space="0"/>
            </w:tcBorders>
            <w:noWrap w:val="0"/>
            <w:vAlign w:val="center"/>
          </w:tcPr>
          <w:p w14:paraId="5D4678D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tcBorders>
              <w:top w:val="single" w:color="auto" w:sz="4" w:space="0"/>
              <w:left w:val="single" w:color="auto" w:sz="4" w:space="0"/>
              <w:bottom w:val="single" w:color="auto" w:sz="4" w:space="0"/>
              <w:right w:val="single" w:color="auto" w:sz="4" w:space="0"/>
            </w:tcBorders>
            <w:noWrap w:val="0"/>
            <w:vAlign w:val="center"/>
          </w:tcPr>
          <w:p w14:paraId="15875F7A">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机构运转情况</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801DCB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D596D0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14E7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13" w:type="dxa"/>
            <w:vMerge w:val="continue"/>
            <w:tcBorders>
              <w:left w:val="single" w:color="000000" w:sz="4" w:space="0"/>
              <w:right w:val="single" w:color="000000" w:sz="4" w:space="0"/>
            </w:tcBorders>
            <w:noWrap w:val="0"/>
            <w:vAlign w:val="center"/>
          </w:tcPr>
          <w:p w14:paraId="517F2385">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9D4FF">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7A9ADC0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510" w:type="dxa"/>
            <w:vMerge w:val="restart"/>
            <w:tcBorders>
              <w:top w:val="single" w:color="000000" w:sz="4" w:space="0"/>
              <w:left w:val="single" w:color="000000" w:sz="4" w:space="0"/>
              <w:right w:val="single" w:color="auto" w:sz="4" w:space="0"/>
            </w:tcBorders>
            <w:noWrap w:val="0"/>
            <w:vAlign w:val="center"/>
          </w:tcPr>
          <w:p w14:paraId="6D6F2854">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8</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5B84274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补助发放及时率</w:t>
            </w:r>
          </w:p>
        </w:tc>
        <w:tc>
          <w:tcPr>
            <w:tcW w:w="1320" w:type="dxa"/>
            <w:tcBorders>
              <w:top w:val="single" w:color="auto" w:sz="4" w:space="0"/>
              <w:left w:val="single" w:color="auto" w:sz="4" w:space="0"/>
              <w:bottom w:val="single" w:color="000000" w:sz="4" w:space="0"/>
              <w:right w:val="single" w:color="000000" w:sz="4" w:space="0"/>
            </w:tcBorders>
            <w:noWrap w:val="0"/>
            <w:vAlign w:val="center"/>
          </w:tcPr>
          <w:p w14:paraId="257889C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14:paraId="7F3049C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1C02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413" w:type="dxa"/>
            <w:vMerge w:val="continue"/>
            <w:tcBorders>
              <w:left w:val="single" w:color="000000" w:sz="4" w:space="0"/>
              <w:right w:val="single" w:color="000000" w:sz="4" w:space="0"/>
            </w:tcBorders>
            <w:noWrap w:val="0"/>
            <w:vAlign w:val="center"/>
          </w:tcPr>
          <w:p w14:paraId="42401A47">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C5BA3">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continue"/>
            <w:tcBorders>
              <w:left w:val="single" w:color="000000" w:sz="4" w:space="0"/>
              <w:right w:val="single" w:color="000000" w:sz="4" w:space="0"/>
            </w:tcBorders>
            <w:noWrap w:val="0"/>
            <w:vAlign w:val="center"/>
          </w:tcPr>
          <w:p w14:paraId="1D09CDB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right w:val="single" w:color="auto" w:sz="4" w:space="0"/>
            </w:tcBorders>
            <w:noWrap w:val="0"/>
            <w:vAlign w:val="center"/>
          </w:tcPr>
          <w:p w14:paraId="4CC18D08">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347" w:type="dxa"/>
            <w:tcBorders>
              <w:top w:val="single" w:color="auto" w:sz="4" w:space="0"/>
              <w:left w:val="single" w:color="auto" w:sz="4" w:space="0"/>
              <w:bottom w:val="single" w:color="auto" w:sz="4" w:space="0"/>
              <w:right w:val="single" w:color="auto" w:sz="4" w:space="0"/>
            </w:tcBorders>
            <w:noWrap w:val="0"/>
            <w:vAlign w:val="center"/>
          </w:tcPr>
          <w:p w14:paraId="0ACD1E6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完成时限</w:t>
            </w:r>
          </w:p>
        </w:tc>
        <w:tc>
          <w:tcPr>
            <w:tcW w:w="1320" w:type="dxa"/>
            <w:tcBorders>
              <w:top w:val="single" w:color="auto" w:sz="4" w:space="0"/>
              <w:left w:val="single" w:color="auto" w:sz="4" w:space="0"/>
              <w:bottom w:val="single" w:color="000000" w:sz="4" w:space="0"/>
              <w:right w:val="single" w:color="000000" w:sz="4" w:space="0"/>
            </w:tcBorders>
            <w:noWrap w:val="0"/>
            <w:vAlign w:val="center"/>
          </w:tcPr>
          <w:p w14:paraId="7D2D8D2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14:paraId="0EC2654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1745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13" w:type="dxa"/>
            <w:vMerge w:val="continue"/>
            <w:tcBorders>
              <w:left w:val="single" w:color="000000" w:sz="4" w:space="0"/>
              <w:right w:val="single" w:color="000000" w:sz="4" w:space="0"/>
            </w:tcBorders>
            <w:noWrap w:val="0"/>
            <w:vAlign w:val="center"/>
          </w:tcPr>
          <w:p w14:paraId="30A140F8">
            <w:pPr>
              <w:autoSpaceDN w:val="0"/>
              <w:spacing w:line="300" w:lineRule="exact"/>
              <w:ind w:left="0" w:leftChars="0" w:right="0" w:rightChars="0" w:firstLine="0" w:firstLineChars="0"/>
              <w:jc w:val="center"/>
              <w:textAlignment w:val="center"/>
            </w:pPr>
          </w:p>
        </w:tc>
        <w:tc>
          <w:tcPr>
            <w:tcW w:w="748" w:type="dxa"/>
            <w:vMerge w:val="continue"/>
            <w:tcBorders>
              <w:left w:val="single" w:color="000000" w:sz="4" w:space="0"/>
              <w:bottom w:val="single" w:color="000000" w:sz="4" w:space="0"/>
              <w:right w:val="single" w:color="000000" w:sz="4" w:space="0"/>
            </w:tcBorders>
            <w:noWrap w:val="0"/>
            <w:vAlign w:val="center"/>
          </w:tcPr>
          <w:p w14:paraId="3E0A14B8">
            <w:pPr>
              <w:autoSpaceDN w:val="0"/>
              <w:spacing w:line="300" w:lineRule="exact"/>
              <w:ind w:left="0" w:leftChars="0" w:right="0" w:rightChars="0" w:firstLine="0" w:firstLineChars="0"/>
              <w:jc w:val="center"/>
              <w:textAlignment w:val="center"/>
            </w:pPr>
          </w:p>
        </w:tc>
        <w:tc>
          <w:tcPr>
            <w:tcW w:w="2094" w:type="dxa"/>
            <w:vMerge w:val="continue"/>
            <w:tcBorders>
              <w:left w:val="single" w:color="000000" w:sz="4" w:space="0"/>
              <w:bottom w:val="single" w:color="000000" w:sz="4" w:space="0"/>
              <w:right w:val="single" w:color="000000" w:sz="4" w:space="0"/>
            </w:tcBorders>
            <w:noWrap w:val="0"/>
            <w:vAlign w:val="center"/>
          </w:tcPr>
          <w:p w14:paraId="79CAFA50">
            <w:pPr>
              <w:autoSpaceDN w:val="0"/>
              <w:spacing w:line="300" w:lineRule="exact"/>
              <w:ind w:left="0" w:leftChars="0" w:right="0" w:rightChars="0" w:firstLine="0" w:firstLineChars="0"/>
              <w:jc w:val="center"/>
              <w:textAlignment w:val="center"/>
            </w:pPr>
          </w:p>
        </w:tc>
        <w:tc>
          <w:tcPr>
            <w:tcW w:w="510" w:type="dxa"/>
            <w:vMerge w:val="continue"/>
            <w:tcBorders>
              <w:left w:val="single" w:color="000000" w:sz="4" w:space="0"/>
              <w:bottom w:val="single" w:color="000000" w:sz="4" w:space="0"/>
              <w:right w:val="single" w:color="auto" w:sz="4" w:space="0"/>
            </w:tcBorders>
            <w:noWrap w:val="0"/>
            <w:vAlign w:val="center"/>
          </w:tcPr>
          <w:p w14:paraId="1C140763">
            <w:pPr>
              <w:autoSpaceDN w:val="0"/>
              <w:spacing w:line="300" w:lineRule="exact"/>
              <w:ind w:left="0" w:leftChars="0" w:right="0" w:rightChars="0" w:firstLine="0" w:firstLineChars="0"/>
              <w:jc w:val="center"/>
              <w:textAlignment w:val="center"/>
            </w:pPr>
          </w:p>
        </w:tc>
        <w:tc>
          <w:tcPr>
            <w:tcW w:w="2347" w:type="dxa"/>
            <w:tcBorders>
              <w:top w:val="single" w:color="auto" w:sz="4" w:space="0"/>
              <w:left w:val="single" w:color="auto" w:sz="4" w:space="0"/>
              <w:bottom w:val="single" w:color="auto" w:sz="4" w:space="0"/>
              <w:right w:val="single" w:color="auto" w:sz="4" w:space="0"/>
            </w:tcBorders>
            <w:noWrap w:val="0"/>
            <w:vAlign w:val="center"/>
          </w:tcPr>
          <w:p w14:paraId="1E871F5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全年预算执行率</w:t>
            </w:r>
          </w:p>
        </w:tc>
        <w:tc>
          <w:tcPr>
            <w:tcW w:w="1320" w:type="dxa"/>
            <w:tcBorders>
              <w:top w:val="single" w:color="auto" w:sz="4" w:space="0"/>
              <w:left w:val="single" w:color="auto" w:sz="4" w:space="0"/>
              <w:bottom w:val="single" w:color="000000" w:sz="4" w:space="0"/>
              <w:right w:val="single" w:color="000000" w:sz="4" w:space="0"/>
            </w:tcBorders>
            <w:noWrap w:val="0"/>
            <w:vAlign w:val="center"/>
          </w:tcPr>
          <w:p w14:paraId="5A94D50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14:paraId="59A8E1D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0242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13" w:type="dxa"/>
            <w:vMerge w:val="continue"/>
            <w:tcBorders>
              <w:left w:val="single" w:color="000000" w:sz="4" w:space="0"/>
              <w:right w:val="single" w:color="000000" w:sz="4" w:space="0"/>
            </w:tcBorders>
            <w:noWrap w:val="0"/>
            <w:vAlign w:val="center"/>
          </w:tcPr>
          <w:p w14:paraId="555DB73C">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89915">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0E05874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510" w:type="dxa"/>
            <w:vMerge w:val="restart"/>
            <w:tcBorders>
              <w:top w:val="single" w:color="000000" w:sz="4" w:space="0"/>
              <w:left w:val="single" w:color="000000" w:sz="4" w:space="0"/>
              <w:right w:val="single" w:color="auto" w:sz="4" w:space="0"/>
            </w:tcBorders>
            <w:noWrap w:val="0"/>
            <w:vAlign w:val="center"/>
          </w:tcPr>
          <w:p w14:paraId="59D21621">
            <w:pPr>
              <w:spacing w:line="300" w:lineRule="exact"/>
              <w:ind w:left="0" w:leftChars="0" w:right="0" w:rightChars="0" w:firstLine="180" w:firstLineChars="100"/>
              <w:jc w:val="both"/>
              <w:rPr>
                <w:rFonts w:hint="default" w:ascii="宋体" w:hAnsi="宋体" w:eastAsia="宋体"/>
                <w:sz w:val="18"/>
                <w:szCs w:val="18"/>
                <w:lang w:val="en-US" w:eastAsia="zh-CN"/>
              </w:rPr>
            </w:pPr>
            <w:r>
              <w:rPr>
                <w:rFonts w:hint="eastAsia" w:ascii="宋体" w:hAnsi="宋体"/>
                <w:sz w:val="18"/>
                <w:szCs w:val="18"/>
                <w:lang w:val="en-US" w:eastAsia="zh-CN"/>
              </w:rPr>
              <w:t>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BA126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补助发放</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0409F72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58946A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36B1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1413" w:type="dxa"/>
            <w:vMerge w:val="continue"/>
            <w:tcBorders>
              <w:left w:val="single" w:color="000000" w:sz="4" w:space="0"/>
              <w:right w:val="single" w:color="000000" w:sz="4" w:space="0"/>
            </w:tcBorders>
            <w:noWrap w:val="0"/>
            <w:vAlign w:val="center"/>
          </w:tcPr>
          <w:p w14:paraId="5468E19E">
            <w:pPr>
              <w:autoSpaceDN w:val="0"/>
              <w:spacing w:line="300" w:lineRule="exact"/>
              <w:ind w:left="0" w:leftChars="0" w:right="0" w:rightChars="0" w:firstLine="0" w:firstLineChars="0"/>
              <w:jc w:val="center"/>
              <w:textAlignment w:val="center"/>
            </w:pPr>
          </w:p>
        </w:tc>
        <w:tc>
          <w:tcPr>
            <w:tcW w:w="748" w:type="dxa"/>
            <w:vMerge w:val="continue"/>
            <w:tcBorders>
              <w:left w:val="single" w:color="000000" w:sz="4" w:space="0"/>
              <w:bottom w:val="single" w:color="000000" w:sz="4" w:space="0"/>
              <w:right w:val="single" w:color="000000" w:sz="4" w:space="0"/>
            </w:tcBorders>
            <w:noWrap w:val="0"/>
            <w:vAlign w:val="center"/>
          </w:tcPr>
          <w:p w14:paraId="0C0ADF02">
            <w:pPr>
              <w:autoSpaceDN w:val="0"/>
              <w:spacing w:line="300" w:lineRule="exact"/>
              <w:ind w:left="0" w:leftChars="0" w:right="0" w:rightChars="0" w:firstLine="0" w:firstLineChars="0"/>
              <w:jc w:val="center"/>
              <w:textAlignment w:val="center"/>
            </w:pPr>
          </w:p>
        </w:tc>
        <w:tc>
          <w:tcPr>
            <w:tcW w:w="2094" w:type="dxa"/>
            <w:vMerge w:val="continue"/>
            <w:tcBorders>
              <w:left w:val="single" w:color="000000" w:sz="4" w:space="0"/>
              <w:bottom w:val="single" w:color="000000" w:sz="4" w:space="0"/>
              <w:right w:val="single" w:color="000000" w:sz="4" w:space="0"/>
            </w:tcBorders>
            <w:noWrap w:val="0"/>
            <w:vAlign w:val="center"/>
          </w:tcPr>
          <w:p w14:paraId="557F9E48">
            <w:pPr>
              <w:autoSpaceDN w:val="0"/>
              <w:spacing w:line="300" w:lineRule="exact"/>
              <w:ind w:left="0" w:leftChars="0" w:right="0" w:rightChars="0" w:firstLine="0" w:firstLineChars="0"/>
              <w:jc w:val="center"/>
              <w:textAlignment w:val="center"/>
            </w:pPr>
          </w:p>
        </w:tc>
        <w:tc>
          <w:tcPr>
            <w:tcW w:w="510" w:type="dxa"/>
            <w:vMerge w:val="continue"/>
            <w:tcBorders>
              <w:left w:val="single" w:color="000000" w:sz="4" w:space="0"/>
              <w:bottom w:val="single" w:color="000000" w:sz="4" w:space="0"/>
              <w:right w:val="single" w:color="auto" w:sz="4" w:space="0"/>
            </w:tcBorders>
            <w:noWrap w:val="0"/>
            <w:vAlign w:val="center"/>
          </w:tcPr>
          <w:p w14:paraId="47439FC1">
            <w:pPr>
              <w:autoSpaceDN w:val="0"/>
              <w:spacing w:line="300" w:lineRule="exact"/>
              <w:ind w:left="0" w:leftChars="0" w:right="0" w:rightChars="0" w:firstLine="0" w:firstLineChars="0"/>
              <w:jc w:val="center"/>
              <w:textAlignment w:val="center"/>
            </w:pPr>
          </w:p>
        </w:tc>
        <w:tc>
          <w:tcPr>
            <w:tcW w:w="2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3D214">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成本节约</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6375B37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7D2E0B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4961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1413" w:type="dxa"/>
            <w:vMerge w:val="continue"/>
            <w:tcBorders>
              <w:left w:val="single" w:color="000000" w:sz="4" w:space="0"/>
              <w:right w:val="single" w:color="000000" w:sz="4" w:space="0"/>
            </w:tcBorders>
            <w:noWrap w:val="0"/>
            <w:vAlign w:val="center"/>
          </w:tcPr>
          <w:p w14:paraId="4F90E2EA">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39341">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10683AA9">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510" w:type="dxa"/>
            <w:vMerge w:val="restart"/>
            <w:tcBorders>
              <w:top w:val="single" w:color="000000" w:sz="4" w:space="0"/>
              <w:left w:val="single" w:color="000000" w:sz="4" w:space="0"/>
              <w:right w:val="single" w:color="auto" w:sz="4" w:space="0"/>
            </w:tcBorders>
            <w:noWrap w:val="0"/>
            <w:vAlign w:val="center"/>
          </w:tcPr>
          <w:p w14:paraId="6B1B9AE7">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06A0EAF8">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s="宋体"/>
                <w:i w:val="0"/>
                <w:iCs w:val="0"/>
                <w:color w:val="000000"/>
                <w:kern w:val="0"/>
                <w:sz w:val="20"/>
                <w:szCs w:val="20"/>
                <w:u w:val="none"/>
                <w:lang w:val="en-US" w:eastAsia="zh-CN" w:bidi="ar"/>
              </w:rPr>
              <w:t>军转干部</w:t>
            </w:r>
            <w:r>
              <w:rPr>
                <w:rFonts w:hint="eastAsia" w:ascii="宋体" w:hAnsi="宋体" w:eastAsia="宋体" w:cs="宋体"/>
                <w:i w:val="0"/>
                <w:iCs w:val="0"/>
                <w:color w:val="000000"/>
                <w:kern w:val="0"/>
                <w:sz w:val="20"/>
                <w:szCs w:val="20"/>
                <w:u w:val="none"/>
                <w:lang w:val="en-US" w:eastAsia="zh-CN" w:bidi="ar"/>
              </w:rPr>
              <w:t>稳定情况</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437A051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66AF37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29B7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1413" w:type="dxa"/>
            <w:vMerge w:val="continue"/>
            <w:tcBorders>
              <w:left w:val="single" w:color="000000" w:sz="4" w:space="0"/>
              <w:right w:val="single" w:color="000000" w:sz="4" w:space="0"/>
            </w:tcBorders>
            <w:noWrap w:val="0"/>
            <w:vAlign w:val="center"/>
          </w:tcPr>
          <w:p w14:paraId="68AC6A7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left w:val="single" w:color="000000" w:sz="4" w:space="0"/>
              <w:bottom w:val="single" w:color="000000" w:sz="4" w:space="0"/>
              <w:right w:val="single" w:color="000000" w:sz="4" w:space="0"/>
            </w:tcBorders>
            <w:noWrap w:val="0"/>
            <w:vAlign w:val="center"/>
          </w:tcPr>
          <w:p w14:paraId="44B4057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94" w:type="dxa"/>
            <w:vMerge w:val="continue"/>
            <w:tcBorders>
              <w:left w:val="single" w:color="000000" w:sz="4" w:space="0"/>
              <w:bottom w:val="single" w:color="000000" w:sz="4" w:space="0"/>
              <w:right w:val="single" w:color="000000" w:sz="4" w:space="0"/>
            </w:tcBorders>
            <w:noWrap w:val="0"/>
            <w:vAlign w:val="center"/>
          </w:tcPr>
          <w:p w14:paraId="33B5232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10" w:type="dxa"/>
            <w:vMerge w:val="continue"/>
            <w:tcBorders>
              <w:left w:val="single" w:color="000000" w:sz="4" w:space="0"/>
              <w:bottom w:val="single" w:color="000000" w:sz="4" w:space="0"/>
              <w:right w:val="single" w:color="auto" w:sz="4" w:space="0"/>
            </w:tcBorders>
            <w:noWrap w:val="0"/>
            <w:vAlign w:val="center"/>
          </w:tcPr>
          <w:p w14:paraId="574BCEF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47" w:type="dxa"/>
            <w:tcBorders>
              <w:top w:val="single" w:color="auto" w:sz="4" w:space="0"/>
              <w:left w:val="single" w:color="auto" w:sz="4" w:space="0"/>
              <w:bottom w:val="single" w:color="auto" w:sz="4" w:space="0"/>
              <w:right w:val="single" w:color="auto" w:sz="4" w:space="0"/>
            </w:tcBorders>
            <w:noWrap w:val="0"/>
            <w:vAlign w:val="center"/>
          </w:tcPr>
          <w:p w14:paraId="563D38D8">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军转干部生活改善情况</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14:paraId="660ED50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28D159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08DA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71F2ECC5">
            <w:pPr>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CA4F9">
            <w:pPr>
              <w:spacing w:line="300" w:lineRule="exact"/>
              <w:ind w:left="0" w:leftChars="0" w:right="0" w:rightChars="0" w:firstLine="0" w:firstLineChars="0"/>
              <w:jc w:val="center"/>
              <w:rPr>
                <w:rFonts w:hint="eastAsia" w:ascii="宋体" w:hAnsi="宋体" w:eastAsia="宋体"/>
                <w:sz w:val="18"/>
                <w:szCs w:val="18"/>
              </w:rPr>
            </w:pPr>
          </w:p>
        </w:tc>
        <w:tc>
          <w:tcPr>
            <w:tcW w:w="2094" w:type="dxa"/>
            <w:vMerge w:val="restart"/>
            <w:tcBorders>
              <w:top w:val="single" w:color="000000" w:sz="4" w:space="0"/>
              <w:left w:val="single" w:color="000000" w:sz="4" w:space="0"/>
              <w:right w:val="single" w:color="000000" w:sz="4" w:space="0"/>
            </w:tcBorders>
            <w:noWrap w:val="0"/>
            <w:vAlign w:val="center"/>
          </w:tcPr>
          <w:p w14:paraId="2EE9963D">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510" w:type="dxa"/>
            <w:vMerge w:val="restart"/>
            <w:tcBorders>
              <w:top w:val="single" w:color="000000" w:sz="4" w:space="0"/>
              <w:left w:val="single" w:color="000000" w:sz="4" w:space="0"/>
              <w:right w:val="single" w:color="000000" w:sz="4" w:space="0"/>
            </w:tcBorders>
            <w:noWrap w:val="0"/>
            <w:vAlign w:val="center"/>
          </w:tcPr>
          <w:p w14:paraId="0F7151DC">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347" w:type="dxa"/>
            <w:tcBorders>
              <w:top w:val="single" w:color="auto" w:sz="4" w:space="0"/>
              <w:left w:val="single" w:color="000000" w:sz="4" w:space="0"/>
              <w:bottom w:val="single" w:color="000000" w:sz="4" w:space="0"/>
              <w:right w:val="single" w:color="000000" w:sz="4" w:space="0"/>
            </w:tcBorders>
            <w:noWrap w:val="0"/>
            <w:vAlign w:val="center"/>
          </w:tcPr>
          <w:p w14:paraId="048C0BD0">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自主择业干部满意度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FB6A4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1BBC13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1F16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3D21D5C0">
            <w:pPr>
              <w:autoSpaceDN w:val="0"/>
              <w:spacing w:line="300" w:lineRule="exact"/>
              <w:ind w:left="0" w:leftChars="0" w:right="0" w:rightChars="0" w:firstLine="0" w:firstLineChars="0"/>
              <w:jc w:val="center"/>
              <w:textAlignment w:val="cente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D6B22">
            <w:pPr>
              <w:autoSpaceDN w:val="0"/>
              <w:spacing w:line="300" w:lineRule="exact"/>
              <w:ind w:left="0" w:leftChars="0" w:right="0" w:rightChars="0" w:firstLine="0" w:firstLineChars="0"/>
              <w:jc w:val="center"/>
              <w:textAlignment w:val="center"/>
            </w:pPr>
          </w:p>
        </w:tc>
        <w:tc>
          <w:tcPr>
            <w:tcW w:w="2094" w:type="dxa"/>
            <w:vMerge w:val="continue"/>
            <w:tcBorders>
              <w:left w:val="single" w:color="000000" w:sz="4" w:space="0"/>
              <w:right w:val="single" w:color="000000" w:sz="4" w:space="0"/>
            </w:tcBorders>
            <w:noWrap w:val="0"/>
            <w:vAlign w:val="center"/>
          </w:tcPr>
          <w:p w14:paraId="62DA0A2B">
            <w:pPr>
              <w:autoSpaceDN w:val="0"/>
              <w:spacing w:line="300" w:lineRule="exact"/>
              <w:ind w:left="0" w:leftChars="0" w:right="0" w:rightChars="0" w:firstLine="0" w:firstLineChars="0"/>
              <w:jc w:val="center"/>
              <w:textAlignment w:val="center"/>
            </w:pPr>
          </w:p>
        </w:tc>
        <w:tc>
          <w:tcPr>
            <w:tcW w:w="510" w:type="dxa"/>
            <w:vMerge w:val="continue"/>
            <w:tcBorders>
              <w:left w:val="single" w:color="000000" w:sz="4" w:space="0"/>
              <w:right w:val="single" w:color="000000" w:sz="4" w:space="0"/>
            </w:tcBorders>
            <w:noWrap w:val="0"/>
            <w:vAlign w:val="center"/>
          </w:tcPr>
          <w:p w14:paraId="7F48286F">
            <w:pPr>
              <w:autoSpaceDN w:val="0"/>
              <w:spacing w:line="300" w:lineRule="exact"/>
              <w:ind w:left="0" w:leftChars="0" w:right="0" w:rightChars="0" w:firstLine="0" w:firstLineChars="0"/>
              <w:jc w:val="center"/>
              <w:textAlignment w:val="center"/>
            </w:pPr>
          </w:p>
        </w:tc>
        <w:tc>
          <w:tcPr>
            <w:tcW w:w="2347" w:type="dxa"/>
            <w:tcBorders>
              <w:top w:val="single" w:color="auto" w:sz="4" w:space="0"/>
              <w:left w:val="single" w:color="000000" w:sz="4" w:space="0"/>
              <w:bottom w:val="single" w:color="000000" w:sz="4" w:space="0"/>
              <w:right w:val="single" w:color="000000" w:sz="4" w:space="0"/>
            </w:tcBorders>
            <w:noWrap w:val="0"/>
            <w:vAlign w:val="center"/>
          </w:tcPr>
          <w:p w14:paraId="703883A1">
            <w:pPr>
              <w:autoSpaceDN w:val="0"/>
              <w:spacing w:line="300" w:lineRule="exact"/>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逐月领取退役金人员满意度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A699E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A9C7D6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693C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7D453F9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701AAB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EF6725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BEFAD9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1F959E2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D74C3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AE78E44">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98</w:t>
            </w:r>
          </w:p>
        </w:tc>
      </w:tr>
    </w:tbl>
    <w:p w14:paraId="572B4AA0">
      <w:pPr>
        <w:pStyle w:val="28"/>
        <w:keepNext w:val="0"/>
        <w:keepLines w:val="0"/>
        <w:pageBreakBefore w:val="0"/>
        <w:widowControl w:val="0"/>
        <w:tabs>
          <w:tab w:val="left" w:pos="1489"/>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sz w:val="30"/>
          <w:szCs w:val="30"/>
          <w:lang w:val="en-US" w:eastAsia="zh-CN"/>
        </w:rPr>
      </w:pPr>
    </w:p>
    <w:p w14:paraId="31F1B7F5">
      <w:pPr>
        <w:pStyle w:val="28"/>
        <w:keepNext w:val="0"/>
        <w:keepLines w:val="0"/>
        <w:pageBreakBefore w:val="0"/>
        <w:widowControl w:val="0"/>
        <w:tabs>
          <w:tab w:val="left" w:pos="1489"/>
        </w:tabs>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2.主要绩效。五华区退役军人事务局军队转业干部补助经费项目预算执行率50.26%。</w:t>
      </w:r>
    </w:p>
    <w:p w14:paraId="24448800">
      <w:pPr>
        <w:pStyle w:val="28"/>
        <w:keepNext w:val="0"/>
        <w:keepLines w:val="0"/>
        <w:pageBreakBefore w:val="0"/>
        <w:widowControl w:val="0"/>
        <w:tabs>
          <w:tab w:val="left" w:pos="1489"/>
        </w:tabs>
        <w:kinsoku/>
        <w:wordWrap w:val="0"/>
        <w:overflowPunct/>
        <w:topLinePunct/>
        <w:autoSpaceDE/>
        <w:autoSpaceDN/>
        <w:bidi w:val="0"/>
        <w:adjustRightInd/>
        <w:snapToGrid/>
        <w:spacing w:line="560" w:lineRule="exact"/>
        <w:ind w:firstLine="403"/>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产出指标中：设立了1个数量指标，分别是“逐月领取退役金人员补助发放率,目标值100%，实际完成值100%；设立了2个质量指标，分别是补助按标准兑现率，目标值100%，实际完成值100%，机构运转情况，目标值是正常运转，实际完成正常运转；设立了1个时效指标，为完成时限，目标值年度内，实际完成值12月30日；效益指标中：设置了2个社会效益指标，分别为自主择业军队转业干部、逐月领取退役金补助人员稳定情况，目标值是总体稳定，无群体性事件发生，实际完成总体稳定，逐月领取退役金人员生活改善情况，目标值是有所改善，实际完成值有所改善。</w:t>
      </w:r>
      <w:r>
        <w:rPr>
          <w:rFonts w:hint="eastAsia" w:ascii="仿宋_GB2312" w:hAnsi="仿宋_GB2312" w:eastAsia="仿宋_GB2312" w:cs="仿宋_GB2312"/>
          <w:color w:val="000000"/>
          <w:sz w:val="30"/>
          <w:szCs w:val="30"/>
        </w:rPr>
        <w:t>满意度指标中：设置了</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个服务对象满意度指标，</w:t>
      </w:r>
      <w:r>
        <w:rPr>
          <w:rFonts w:hint="eastAsia" w:ascii="仿宋_GB2312" w:hAnsi="仿宋_GB2312" w:eastAsia="仿宋_GB2312" w:cs="仿宋_GB2312"/>
          <w:color w:val="000000"/>
          <w:sz w:val="30"/>
          <w:szCs w:val="30"/>
          <w:lang w:val="en-US" w:eastAsia="zh-CN"/>
        </w:rPr>
        <w:t>分别</w:t>
      </w:r>
      <w:r>
        <w:rPr>
          <w:rFonts w:hint="eastAsia" w:ascii="仿宋_GB2312" w:hAnsi="仿宋_GB2312" w:eastAsia="仿宋_GB2312" w:cs="仿宋_GB2312"/>
          <w:color w:val="000000"/>
          <w:sz w:val="30"/>
          <w:szCs w:val="30"/>
        </w:rPr>
        <w:t>是自主择业</w:t>
      </w:r>
      <w:r>
        <w:rPr>
          <w:rFonts w:hint="eastAsia" w:ascii="仿宋_GB2312" w:hAnsi="仿宋_GB2312" w:eastAsia="仿宋_GB2312" w:cs="仿宋_GB2312"/>
          <w:color w:val="000000"/>
          <w:sz w:val="30"/>
          <w:szCs w:val="30"/>
          <w:lang w:eastAsia="zh-CN"/>
        </w:rPr>
        <w:t>军转</w:t>
      </w:r>
      <w:r>
        <w:rPr>
          <w:rFonts w:hint="eastAsia" w:ascii="仿宋_GB2312" w:hAnsi="仿宋_GB2312" w:eastAsia="仿宋_GB2312" w:cs="仿宋_GB2312"/>
          <w:color w:val="000000"/>
          <w:sz w:val="30"/>
          <w:szCs w:val="30"/>
        </w:rPr>
        <w:t>干部满意度，目标值是90%，实际完成值是90%</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逐月领取退役金人员满意度，目标值是90%，实际完成值是90%</w:t>
      </w:r>
      <w:r>
        <w:rPr>
          <w:rFonts w:hint="eastAsia" w:ascii="仿宋_GB2312" w:hAnsi="仿宋_GB2312" w:eastAsia="仿宋_GB2312" w:cs="仿宋_GB2312"/>
          <w:color w:val="000000"/>
          <w:sz w:val="30"/>
          <w:szCs w:val="30"/>
          <w:lang w:eastAsia="zh-CN"/>
        </w:rPr>
        <w:t>。</w:t>
      </w:r>
    </w:p>
    <w:p w14:paraId="272C5723">
      <w:pPr>
        <w:pStyle w:val="28"/>
        <w:numPr>
          <w:ilvl w:val="0"/>
          <w:numId w:val="3"/>
        </w:numPr>
        <w:tabs>
          <w:tab w:val="left" w:pos="1489"/>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绩效目标实现情况等。</w:t>
      </w:r>
    </w:p>
    <w:p w14:paraId="13BC9ADE">
      <w:pPr>
        <w:pStyle w:val="28"/>
        <w:keepNext w:val="0"/>
        <w:keepLines w:val="0"/>
        <w:pageBreakBefore w:val="0"/>
        <w:widowControl w:val="0"/>
        <w:numPr>
          <w:ilvl w:val="0"/>
          <w:numId w:val="0"/>
        </w:numPr>
        <w:tabs>
          <w:tab w:val="left" w:pos="1489"/>
        </w:tabs>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通过绩效管理，规范了项目资金使用，提高资金使用效率，使项目资金使用达到效益最大化。完成了2024年的预定目标，自评结果为优。</w:t>
      </w:r>
    </w:p>
    <w:p w14:paraId="145F94AD">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65BE384C">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t>。</w:t>
      </w:r>
    </w:p>
    <w:p w14:paraId="2802094C">
      <w:pPr>
        <w:spacing w:line="580" w:lineRule="exact"/>
        <w:ind w:firstLine="632" w:firstLineChars="200"/>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项目立项符合法律法规、相关政策、发展规划以及部门职责;项目申请、设立过程符合相关要求，项目所设定的绩效目标依据充分，符合客观实际;依据绩效目标设定的绩效指标清晰、细化、可衡量；项目预算编制经过科学论证、有明确标准，资金额度与年度目标相适应;项目预算资金分配有测算依据，与实际相适应。</w:t>
      </w:r>
    </w:p>
    <w:p w14:paraId="03788FBA">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项目过程情况分析。</w:t>
      </w:r>
    </w:p>
    <w:p w14:paraId="027994A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资金到位率和预算执行率</w:t>
      </w:r>
      <w:r>
        <w:rPr>
          <w:rFonts w:hint="eastAsia" w:ascii="仿宋_GB2312" w:hAnsi="仿宋_GB2312" w:eastAsia="仿宋_GB2312" w:cs="仿宋_GB2312"/>
          <w:spacing w:val="8"/>
          <w:sz w:val="30"/>
          <w:szCs w:val="30"/>
          <w:lang w:val="en-US" w:eastAsia="zh-CN"/>
        </w:rPr>
        <w:t>一般</w:t>
      </w:r>
      <w:r>
        <w:rPr>
          <w:rFonts w:hint="eastAsia" w:ascii="仿宋_GB2312" w:hAnsi="仿宋_GB2312" w:eastAsia="仿宋_GB2312" w:cs="仿宋_GB2312"/>
          <w:spacing w:val="8"/>
          <w:sz w:val="30"/>
          <w:szCs w:val="30"/>
        </w:rPr>
        <w:t>；过程符合国家财经法规和财务管理制度以及有关专项资金管理办法的规定；资金的拨付有完整的审批程序和手续；资金使用符合项目预算批复的用途，不存在截留、挤占、挪用、虚列支出等情况；单位具有相应的财务和业务管理制度且合法、合规、完整；项目实施单位的财务和业务管理制度健全；项目实施符合相关管理规定。</w:t>
      </w:r>
    </w:p>
    <w:p w14:paraId="1AC65A0A">
      <w:pPr>
        <w:numPr>
          <w:ilvl w:val="0"/>
          <w:numId w:val="3"/>
        </w:numPr>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项目产出情况分析。</w:t>
      </w:r>
    </w:p>
    <w:p w14:paraId="08924B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项目产出均达到目标值，“逐月领取退役金人员补助发放率等达到1</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%；补助按标准兑现率达到1</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%；资金使用合规性达到1</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%；补助发放及时率达到1</w:t>
      </w:r>
      <w:r>
        <w:rPr>
          <w:rFonts w:ascii="仿宋_GB2312" w:hAnsi="仿宋_GB2312" w:eastAsia="仿宋_GB2312" w:cs="仿宋_GB2312"/>
          <w:sz w:val="30"/>
          <w:szCs w:val="30"/>
        </w:rPr>
        <w:t>00</w:t>
      </w:r>
      <w:r>
        <w:rPr>
          <w:rFonts w:hint="eastAsia" w:ascii="仿宋_GB2312" w:hAnsi="仿宋_GB2312" w:eastAsia="仿宋_GB2312" w:cs="仿宋_GB2312"/>
          <w:sz w:val="30"/>
          <w:szCs w:val="30"/>
        </w:rPr>
        <w:t>%；全年预算执行率</w:t>
      </w:r>
      <w:r>
        <w:rPr>
          <w:rFonts w:hint="eastAsia" w:ascii="仿宋_GB2312" w:hAnsi="仿宋_GB2312" w:eastAsia="仿宋_GB2312" w:cs="仿宋_GB2312"/>
          <w:sz w:val="30"/>
          <w:szCs w:val="30"/>
          <w:lang w:val="en-US" w:eastAsia="zh-CN"/>
        </w:rPr>
        <w:t>未完成</w:t>
      </w:r>
      <w:r>
        <w:rPr>
          <w:rFonts w:hint="eastAsia" w:ascii="仿宋_GB2312" w:hAnsi="仿宋_GB2312" w:eastAsia="仿宋_GB2312" w:cs="仿宋_GB2312"/>
          <w:sz w:val="30"/>
          <w:szCs w:val="30"/>
        </w:rPr>
        <w:t>目标值；军队转业干部补助发放未超过预算标准，达到成本节约标准。</w:t>
      </w:r>
    </w:p>
    <w:p w14:paraId="030F0BAD">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（四）项目效益情况分析。</w:t>
      </w:r>
    </w:p>
    <w:p w14:paraId="6AEBDE99">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从社会效益看，</w:t>
      </w:r>
      <w:bookmarkStart w:id="4" w:name="OLE_LINK3"/>
      <w:r>
        <w:rPr>
          <w:rFonts w:hint="eastAsia" w:ascii="仿宋_GB2312" w:hAnsi="仿宋_GB2312" w:eastAsia="仿宋_GB2312" w:cs="仿宋_GB2312"/>
          <w:sz w:val="30"/>
          <w:szCs w:val="30"/>
        </w:rPr>
        <w:t>军队转业干部</w:t>
      </w:r>
      <w:bookmarkEnd w:id="4"/>
      <w:r>
        <w:rPr>
          <w:rFonts w:hint="eastAsia" w:ascii="仿宋_GB2312" w:hAnsi="仿宋_GB2312" w:eastAsia="仿宋_GB2312" w:cs="仿宋_GB2312"/>
          <w:sz w:val="30"/>
          <w:szCs w:val="30"/>
        </w:rPr>
        <w:t>补助经费项目的开展有效减轻了军队转业干部生活压力，促进了社会公平正义和社会稳定和谐，巩固和发展了军政军民团结，给社会安定带来了长久的效益。从经济效益看，军队转业干部补助经费项目的开展增强了社会经济资源的流动性，促进了社会经济的发展。</w:t>
      </w:r>
    </w:p>
    <w:p w14:paraId="7FDEB0C2">
      <w:pPr>
        <w:widowControl/>
        <w:numPr>
          <w:ilvl w:val="0"/>
          <w:numId w:val="4"/>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主要经验及做法</w:t>
      </w:r>
    </w:p>
    <w:p w14:paraId="6767264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是强化前期工作谋划。做实项目实施方案，做到工作有规划，整体有部署，落实有程序。二是强化动态监控管理。根据工作开展情况，开展定期开展项目绩效跟踪，针对新发生的问题，及时研究及时解决。三是强化资金执行进度管理。按照年初目标，规划项目资金支出进度，按序时开展工作，确保预算执行进度稳定，工作落实有序平稳。</w:t>
      </w:r>
    </w:p>
    <w:p w14:paraId="3089C68F">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14:paraId="5AA5F848">
      <w:pPr>
        <w:keepNext w:val="0"/>
        <w:keepLines w:val="0"/>
        <w:pageBreakBefore w:val="0"/>
        <w:widowControl/>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sz w:val="30"/>
          <w:szCs w:val="30"/>
        </w:rPr>
      </w:pPr>
      <w:bookmarkStart w:id="5" w:name="_Toc24081"/>
      <w:r>
        <w:rPr>
          <w:rFonts w:hint="eastAsia" w:ascii="仿宋_GB2312" w:hAnsi="仿宋_GB2312" w:eastAsia="仿宋_GB2312" w:cs="仿宋_GB2312"/>
          <w:sz w:val="30"/>
          <w:szCs w:val="30"/>
        </w:rPr>
        <w:t>存在的问题：一是</w:t>
      </w:r>
      <w:r>
        <w:rPr>
          <w:rFonts w:hint="eastAsia" w:ascii="仿宋_GB2312" w:hAnsi="仿宋_GB2312" w:eastAsia="仿宋_GB2312" w:cs="仿宋_GB2312"/>
          <w:spacing w:val="8"/>
          <w:sz w:val="30"/>
          <w:szCs w:val="30"/>
        </w:rPr>
        <w:t>预算执行率未达1</w:t>
      </w:r>
      <w:r>
        <w:rPr>
          <w:rFonts w:ascii="仿宋_GB2312" w:hAnsi="仿宋_GB2312" w:eastAsia="仿宋_GB2312" w:cs="仿宋_GB2312"/>
          <w:spacing w:val="8"/>
          <w:sz w:val="30"/>
          <w:szCs w:val="30"/>
        </w:rPr>
        <w:t>00</w:t>
      </w:r>
      <w:r>
        <w:rPr>
          <w:rFonts w:hint="eastAsia" w:ascii="仿宋_GB2312" w:hAnsi="仿宋_GB2312" w:eastAsia="仿宋_GB2312" w:cs="仿宋_GB2312"/>
          <w:spacing w:val="8"/>
          <w:sz w:val="30"/>
          <w:szCs w:val="30"/>
        </w:rPr>
        <w:t>%。二是</w:t>
      </w:r>
      <w:r>
        <w:rPr>
          <w:rFonts w:hint="eastAsia" w:ascii="仿宋_GB2312" w:hAnsi="仿宋_GB2312" w:eastAsia="仿宋_GB2312" w:cs="仿宋_GB2312"/>
          <w:sz w:val="30"/>
          <w:szCs w:val="30"/>
        </w:rPr>
        <w:t>项目指标体系建设有待加强，存在绩效目标设置不全面，细化量化工作不到位的情况。</w:t>
      </w:r>
    </w:p>
    <w:bookmarkEnd w:id="5"/>
    <w:p w14:paraId="031EE88F">
      <w:pPr>
        <w:keepNext w:val="0"/>
        <w:keepLines w:val="0"/>
        <w:pageBreakBefore w:val="0"/>
        <w:widowControl/>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下一步改进措施：加强绩效目标刚性约束，建立绩效目标考核体系，及时跟踪问效。希望上级部门加强对基层部门退役安置补助资金核算、使用指导。积极联系财政部门，争取资金能够及时到位，加快资金拨付审批。</w:t>
      </w:r>
    </w:p>
    <w:p w14:paraId="4A8664E0">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七、有关建议</w:t>
      </w:r>
    </w:p>
    <w:p w14:paraId="44E80BC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eastAsia="仿宋_GB2312"/>
          <w:sz w:val="30"/>
          <w:szCs w:val="30"/>
          <w:lang w:val="en-US" w:eastAsia="zh-CN"/>
        </w:rPr>
      </w:pPr>
      <w:r>
        <w:rPr>
          <w:rFonts w:hint="eastAsia"/>
          <w:sz w:val="30"/>
          <w:szCs w:val="30"/>
          <w:lang w:val="en-US" w:eastAsia="zh-CN"/>
        </w:rPr>
        <w:t>根据项目实施进度及时拨付资金，尽可能减少资金拨付时间，避免资金闲置、截留，提高资金使用效率。</w:t>
      </w:r>
    </w:p>
    <w:p w14:paraId="717C6AFA">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14:paraId="75622BEC">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w:t>
      </w:r>
    </w:p>
    <w:p w14:paraId="2FBB7693">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221F1C75">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30096204">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1BF67F39">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410364A7">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45119DFA">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61E9AE69">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236890E9">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1BAA71B1">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42B4FDA0">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28EE9377">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0B8F8E04">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14:paraId="186A0CDD">
      <w:pPr>
        <w:rPr>
          <w:rFonts w:hint="eastAsia"/>
          <w:lang w:eastAsia="zh-CN"/>
        </w:rPr>
      </w:pPr>
    </w:p>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38DF4">
    <w:pPr>
      <w:pStyle w:val="7"/>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52DDA8C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0D21">
    <w:pPr>
      <w:pStyle w:val="7"/>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42C15E8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00A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A4BBD"/>
    <w:multiLevelType w:val="singleLevel"/>
    <w:tmpl w:val="A73A4BBD"/>
    <w:lvl w:ilvl="0" w:tentative="0">
      <w:start w:val="2"/>
      <w:numFmt w:val="chineseCounting"/>
      <w:suff w:val="nothing"/>
      <w:lvlText w:val="（%1）"/>
      <w:lvlJc w:val="left"/>
      <w:rPr>
        <w:rFonts w:hint="eastAsia"/>
      </w:rPr>
    </w:lvl>
  </w:abstractNum>
  <w:abstractNum w:abstractNumId="1">
    <w:nsid w:val="FCE02A8A"/>
    <w:multiLevelType w:val="singleLevel"/>
    <w:tmpl w:val="FCE02A8A"/>
    <w:lvl w:ilvl="0" w:tentative="0">
      <w:start w:val="2"/>
      <w:numFmt w:val="decimal"/>
      <w:suff w:val="nothing"/>
      <w:lvlText w:val="%1、"/>
      <w:lvlJc w:val="left"/>
    </w:lvl>
  </w:abstractNum>
  <w:abstractNum w:abstractNumId="2">
    <w:nsid w:val="15CF864A"/>
    <w:multiLevelType w:val="singleLevel"/>
    <w:tmpl w:val="15CF864A"/>
    <w:lvl w:ilvl="0" w:tentative="0">
      <w:start w:val="2"/>
      <w:numFmt w:val="chineseCounting"/>
      <w:suff w:val="nothing"/>
      <w:lvlText w:val="（%1）"/>
      <w:lvlJc w:val="left"/>
      <w:rPr>
        <w:rFonts w:hint="eastAsia"/>
      </w:rPr>
    </w:lvl>
  </w:abstractNum>
  <w:abstractNum w:abstractNumId="3">
    <w:nsid w:val="49CB69C6"/>
    <w:multiLevelType w:val="singleLevel"/>
    <w:tmpl w:val="49CB69C6"/>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GMxMTJlZjY1MjZmZDlkYjY5OGRjMGY5OWFiNDUifQ=="/>
  </w:docVars>
  <w:rsids>
    <w:rsidRoot w:val="0020402E"/>
    <w:rsid w:val="00017A8F"/>
    <w:rsid w:val="00047AB7"/>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402095"/>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B9284A"/>
    <w:rsid w:val="01DB367D"/>
    <w:rsid w:val="026C0DFE"/>
    <w:rsid w:val="02D37998"/>
    <w:rsid w:val="03F82368"/>
    <w:rsid w:val="05C1375D"/>
    <w:rsid w:val="06C54798"/>
    <w:rsid w:val="06EEA7E6"/>
    <w:rsid w:val="08AF45C5"/>
    <w:rsid w:val="0B356F4C"/>
    <w:rsid w:val="0B6B4B9F"/>
    <w:rsid w:val="0CBE5358"/>
    <w:rsid w:val="0EB70C8A"/>
    <w:rsid w:val="0F0668E4"/>
    <w:rsid w:val="10A50CDB"/>
    <w:rsid w:val="12720960"/>
    <w:rsid w:val="134670C6"/>
    <w:rsid w:val="137618F4"/>
    <w:rsid w:val="14140C54"/>
    <w:rsid w:val="14BE19FD"/>
    <w:rsid w:val="16513469"/>
    <w:rsid w:val="1B201DBF"/>
    <w:rsid w:val="1BB73C80"/>
    <w:rsid w:val="1D9F059A"/>
    <w:rsid w:val="1DAFBBC6"/>
    <w:rsid w:val="1E777D37"/>
    <w:rsid w:val="1E93139D"/>
    <w:rsid w:val="1EFF4269"/>
    <w:rsid w:val="1FBB4F6A"/>
    <w:rsid w:val="1FCB59A9"/>
    <w:rsid w:val="204476A5"/>
    <w:rsid w:val="20F506B1"/>
    <w:rsid w:val="225B49F4"/>
    <w:rsid w:val="227814F2"/>
    <w:rsid w:val="22852317"/>
    <w:rsid w:val="22A237AD"/>
    <w:rsid w:val="268B7490"/>
    <w:rsid w:val="27DE7C64"/>
    <w:rsid w:val="27ED33DF"/>
    <w:rsid w:val="28047D00"/>
    <w:rsid w:val="28827CF6"/>
    <w:rsid w:val="28954DA0"/>
    <w:rsid w:val="29C91561"/>
    <w:rsid w:val="2ADC4E13"/>
    <w:rsid w:val="2B5A3C77"/>
    <w:rsid w:val="2DC43283"/>
    <w:rsid w:val="2FF9545C"/>
    <w:rsid w:val="31A21D92"/>
    <w:rsid w:val="32BE4F4A"/>
    <w:rsid w:val="33741546"/>
    <w:rsid w:val="33FE342B"/>
    <w:rsid w:val="350D2D29"/>
    <w:rsid w:val="35784879"/>
    <w:rsid w:val="35AF641B"/>
    <w:rsid w:val="3B1C3328"/>
    <w:rsid w:val="3CA974C2"/>
    <w:rsid w:val="3CFF3309"/>
    <w:rsid w:val="3D5B0142"/>
    <w:rsid w:val="3FDFF361"/>
    <w:rsid w:val="40414948"/>
    <w:rsid w:val="40B37971"/>
    <w:rsid w:val="40F65291"/>
    <w:rsid w:val="41CC4F14"/>
    <w:rsid w:val="426A72E7"/>
    <w:rsid w:val="42F02361"/>
    <w:rsid w:val="4568638C"/>
    <w:rsid w:val="48A153C2"/>
    <w:rsid w:val="48CD69B5"/>
    <w:rsid w:val="4AB42380"/>
    <w:rsid w:val="4B2B377F"/>
    <w:rsid w:val="4CCC314C"/>
    <w:rsid w:val="4E271D7B"/>
    <w:rsid w:val="4E714F41"/>
    <w:rsid w:val="5158080D"/>
    <w:rsid w:val="523E38F5"/>
    <w:rsid w:val="55EE42C8"/>
    <w:rsid w:val="56380A98"/>
    <w:rsid w:val="57EF97F7"/>
    <w:rsid w:val="591D1214"/>
    <w:rsid w:val="5A954308"/>
    <w:rsid w:val="5BF77FF4"/>
    <w:rsid w:val="5F7BC3B3"/>
    <w:rsid w:val="5FD76707"/>
    <w:rsid w:val="5FDBCDB7"/>
    <w:rsid w:val="600D77B8"/>
    <w:rsid w:val="60EB35BC"/>
    <w:rsid w:val="616E065A"/>
    <w:rsid w:val="61A161B8"/>
    <w:rsid w:val="62092C5F"/>
    <w:rsid w:val="6419080D"/>
    <w:rsid w:val="659418B0"/>
    <w:rsid w:val="672C7221"/>
    <w:rsid w:val="687545A8"/>
    <w:rsid w:val="6ABBB85C"/>
    <w:rsid w:val="6B830188"/>
    <w:rsid w:val="6C474FB0"/>
    <w:rsid w:val="6C5A6219"/>
    <w:rsid w:val="6D0E5D49"/>
    <w:rsid w:val="6F377E80"/>
    <w:rsid w:val="70C8455E"/>
    <w:rsid w:val="718C5DE7"/>
    <w:rsid w:val="71913A76"/>
    <w:rsid w:val="72717B4F"/>
    <w:rsid w:val="74BB4EE4"/>
    <w:rsid w:val="761F6DE9"/>
    <w:rsid w:val="76535483"/>
    <w:rsid w:val="77AF3071"/>
    <w:rsid w:val="77FA31F4"/>
    <w:rsid w:val="785A0460"/>
    <w:rsid w:val="796208D7"/>
    <w:rsid w:val="79A14261"/>
    <w:rsid w:val="7AD9DD47"/>
    <w:rsid w:val="7AE12ED0"/>
    <w:rsid w:val="7C252930"/>
    <w:rsid w:val="7DA76B40"/>
    <w:rsid w:val="7DEF6364"/>
    <w:rsid w:val="7E0A6333"/>
    <w:rsid w:val="7E673BD9"/>
    <w:rsid w:val="7E9A5B96"/>
    <w:rsid w:val="BF334EB0"/>
    <w:rsid w:val="D5FD31A4"/>
    <w:rsid w:val="DD68A85D"/>
    <w:rsid w:val="DEB849C9"/>
    <w:rsid w:val="DFFF4EAE"/>
    <w:rsid w:val="DFFFCE94"/>
    <w:rsid w:val="EDBD156B"/>
    <w:rsid w:val="EFC3D550"/>
    <w:rsid w:val="FABE5EC8"/>
    <w:rsid w:val="FE9F9627"/>
    <w:rsid w:val="FFEFFD37"/>
    <w:rsid w:val="FFFF5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630"/>
    </w:pPr>
    <w:rPr>
      <w:rFonts w:ascii="Times New Roman" w:hAnsi="Times New Roman" w:eastAsia="仿宋_GB2312"/>
      <w:kern w:val="0"/>
      <w:sz w:val="32"/>
      <w:szCs w:val="20"/>
    </w:rPr>
  </w:style>
  <w:style w:type="paragraph" w:styleId="4">
    <w:name w:val="Body Text"/>
    <w:basedOn w:val="1"/>
    <w:qFormat/>
    <w:uiPriority w:val="0"/>
    <w:rPr>
      <w:rFonts w:ascii="Calibri" w:hAnsi="Calibri" w:eastAsia="宋体" w:cs="Times New Roman"/>
    </w:rPr>
  </w:style>
  <w:style w:type="paragraph" w:styleId="5">
    <w:name w:val="Plain Text"/>
    <w:basedOn w:val="1"/>
    <w:qFormat/>
    <w:uiPriority w:val="99"/>
    <w:rPr>
      <w:rFonts w:ascii="宋体" w:hAnsi="Courier New" w:cs="宋体"/>
      <w:kern w:val="0"/>
      <w:sz w:val="20"/>
      <w:szCs w:val="21"/>
    </w:rPr>
  </w:style>
  <w:style w:type="paragraph" w:styleId="6">
    <w:name w:val="Date"/>
    <w:basedOn w:val="1"/>
    <w:next w:val="1"/>
    <w:link w:val="20"/>
    <w:qFormat/>
    <w:uiPriority w:val="0"/>
    <w:pPr>
      <w:ind w:left="100" w:leftChars="2500"/>
    </w:p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link w:val="19"/>
    <w:qFormat/>
    <w:uiPriority w:val="0"/>
    <w:pPr>
      <w:adjustRightInd w:val="0"/>
      <w:spacing w:before="240" w:after="60" w:line="312" w:lineRule="atLeast"/>
      <w:jc w:val="center"/>
      <w:textAlignment w:val="baseline"/>
    </w:pPr>
    <w:rPr>
      <w:rFonts w:ascii="Arial" w:hAnsi="Arial"/>
      <w:b/>
      <w:kern w:val="28"/>
      <w:sz w:val="32"/>
      <w:szCs w:val="20"/>
    </w:rPr>
  </w:style>
  <w:style w:type="paragraph" w:styleId="11">
    <w:name w:val="Body Text First Indent"/>
    <w:basedOn w:val="4"/>
    <w:qFormat/>
    <w:uiPriority w:val="0"/>
    <w:pPr>
      <w:snapToGrid/>
      <w:spacing w:line="520" w:lineRule="exact"/>
      <w:ind w:firstLine="0" w:firstLineChars="0"/>
      <w:jc w:val="center"/>
    </w:pPr>
    <w:rPr>
      <w:rFonts w:ascii="Times New Roman" w:hAnsi="Times New Roman"/>
      <w:sz w:val="24"/>
      <w:szCs w:val="20"/>
    </w:rPr>
  </w:style>
  <w:style w:type="table" w:styleId="13">
    <w:name w:val="Table Grid"/>
    <w:basedOn w:val="12"/>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customStyle="1" w:styleId="17">
    <w:name w:val="公文文种"/>
    <w:basedOn w:val="14"/>
    <w:qFormat/>
    <w:uiPriority w:val="0"/>
    <w:rPr>
      <w:rFonts w:eastAsia="宋体"/>
      <w:sz w:val="32"/>
    </w:rPr>
  </w:style>
  <w:style w:type="character" w:customStyle="1" w:styleId="18">
    <w:name w:val="公文文号"/>
    <w:basedOn w:val="14"/>
    <w:qFormat/>
    <w:uiPriority w:val="0"/>
    <w:rPr>
      <w:rFonts w:eastAsia="仿宋_GB2312"/>
      <w:sz w:val="32"/>
    </w:rPr>
  </w:style>
  <w:style w:type="character" w:customStyle="1" w:styleId="19">
    <w:name w:val="标题 Char"/>
    <w:basedOn w:val="14"/>
    <w:link w:val="10"/>
    <w:qFormat/>
    <w:uiPriority w:val="0"/>
    <w:rPr>
      <w:rFonts w:ascii="Arial" w:hAnsi="Arial"/>
      <w:b/>
      <w:kern w:val="28"/>
      <w:sz w:val="32"/>
    </w:rPr>
  </w:style>
  <w:style w:type="character" w:customStyle="1" w:styleId="20">
    <w:name w:val="日期 Char"/>
    <w:basedOn w:val="14"/>
    <w:link w:val="6"/>
    <w:qFormat/>
    <w:uiPriority w:val="0"/>
    <w:rPr>
      <w:rFonts w:ascii="Calibri" w:hAnsi="Calibri"/>
      <w:kern w:val="2"/>
      <w:sz w:val="21"/>
      <w:szCs w:val="22"/>
    </w:rPr>
  </w:style>
  <w:style w:type="character" w:customStyle="1" w:styleId="21">
    <w:name w:val="页脚 Char"/>
    <w:basedOn w:val="14"/>
    <w:link w:val="7"/>
    <w:qFormat/>
    <w:uiPriority w:val="99"/>
    <w:rPr>
      <w:rFonts w:ascii="Calibri" w:hAnsi="Calibri"/>
      <w:kern w:val="2"/>
      <w:sz w:val="18"/>
      <w:szCs w:val="18"/>
    </w:rPr>
  </w:style>
  <w:style w:type="paragraph" w:customStyle="1" w:styleId="22">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3">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4">
    <w:name w:val="apple-style-span"/>
    <w:qFormat/>
    <w:uiPriority w:val="99"/>
  </w:style>
  <w:style w:type="paragraph" w:customStyle="1" w:styleId="25">
    <w:name w:val="列出段落1"/>
    <w:basedOn w:val="1"/>
    <w:qFormat/>
    <w:uiPriority w:val="34"/>
    <w:pPr>
      <w:ind w:firstLine="420" w:firstLineChars="200"/>
    </w:pPr>
    <w:rPr>
      <w:rFonts w:asciiTheme="minorHAnsi" w:hAnsiTheme="minorHAnsi" w:eastAsiaTheme="minorEastAsia" w:cstheme="minorBidi"/>
    </w:rPr>
  </w:style>
  <w:style w:type="character" w:customStyle="1" w:styleId="26">
    <w:name w:val="公文正文"/>
    <w:qFormat/>
    <w:uiPriority w:val="0"/>
    <w:rPr>
      <w:rFonts w:hint="eastAsia" w:ascii="仿宋_GB2312" w:eastAsia="仿宋_GB2312"/>
      <w:sz w:val="32"/>
    </w:rPr>
  </w:style>
  <w:style w:type="paragraph" w:styleId="27">
    <w:name w:val="List Paragraph"/>
    <w:basedOn w:val="1"/>
    <w:qFormat/>
    <w:uiPriority w:val="34"/>
    <w:pPr>
      <w:ind w:firstLine="420" w:firstLineChars="200"/>
    </w:pPr>
    <w:rPr>
      <w:rFonts w:asciiTheme="minorHAnsi" w:hAnsiTheme="minorHAnsi" w:eastAsiaTheme="minorEastAsia" w:cstheme="minorBidi"/>
    </w:rPr>
  </w:style>
  <w:style w:type="paragraph" w:customStyle="1" w:styleId="28">
    <w:name w:val="Body text|1"/>
    <w:basedOn w:val="1"/>
    <w:autoRedefine/>
    <w:qFormat/>
    <w:uiPriority w:val="0"/>
    <w:pPr>
      <w:spacing w:line="44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1112</Words>
  <Characters>1624</Characters>
  <Lines>1</Lines>
  <Paragraphs>1</Paragraphs>
  <TotalTime>6</TotalTime>
  <ScaleCrop>false</ScaleCrop>
  <LinksUpToDate>false</LinksUpToDate>
  <CharactersWithSpaces>1740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2019-03-24T22:27:00Z</dcterms:created>
  <dc:creator>user</dc:creator>
  <cp:lastModifiedBy>Administrator</cp:lastModifiedBy>
  <cp:lastPrinted>2025-05-22T21:46:00Z</cp:lastPrinted>
  <dcterms:modified xsi:type="dcterms:W3CDTF">2025-08-27T07:51:29Z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89F8799BA8CD43B2A33731BCFF7438D3_13</vt:lpwstr>
  </property>
  <property fmtid="{D5CDD505-2E9C-101B-9397-08002B2CF9AE}" pid="4" name="KSOTemplateDocerSaveRecord">
    <vt:lpwstr>eyJoZGlkIjoiYjhhNTE5NDY0YWY0OWQwMDQyMGRjNTE0MzBjNTA2M2YiLCJ1c2VySWQiOiIyNDkyNDM5OTMifQ==</vt:lpwstr>
  </property>
</Properties>
</file>