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3B9F6">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4E0DCC57">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五华区卫生健康局2024年度预算支出</w:t>
      </w:r>
    </w:p>
    <w:p w14:paraId="29BBFE1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绩效自评工作情况报告</w:t>
      </w:r>
    </w:p>
    <w:p w14:paraId="6DD6A584">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hint="eastAsia" w:ascii="黑体" w:hAnsi="宋体" w:eastAsia="黑体" w:cs="宋体"/>
          <w:color w:val="000000"/>
          <w:kern w:val="0"/>
        </w:rPr>
      </w:pPr>
    </w:p>
    <w:p w14:paraId="551A9596">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为认真贯彻落实党中央国务院、省市区党委政府关于全面实施预算绩效</w:t>
      </w:r>
      <w:r>
        <w:rPr>
          <w:rFonts w:hint="eastAsia" w:ascii="仿宋_GB2312" w:hAnsi="仿宋_GB2312" w:eastAsia="仿宋_GB2312" w:cs="仿宋_GB2312"/>
          <w:color w:val="auto"/>
          <w:sz w:val="32"/>
          <w:szCs w:val="32"/>
          <w:lang w:val="en-US" w:eastAsia="zh-CN"/>
        </w:rPr>
        <w:t>管理的决策部署，健全绩效管理常态化机制，切实增强支出绩效意识，提高</w:t>
      </w:r>
      <w:r>
        <w:rPr>
          <w:rFonts w:hint="eastAsia" w:ascii="仿宋_GB2312" w:hAnsi="仿宋_GB2312" w:cs="仿宋_GB2312"/>
          <w:color w:val="auto"/>
          <w:sz w:val="32"/>
          <w:szCs w:val="32"/>
          <w:lang w:val="en-US" w:eastAsia="zh-CN"/>
        </w:rPr>
        <w:t>财政资金使用</w:t>
      </w:r>
      <w:r>
        <w:rPr>
          <w:rFonts w:hint="eastAsia" w:ascii="仿宋_GB2312" w:hAnsi="仿宋_GB2312" w:eastAsia="仿宋_GB2312" w:cs="仿宋_GB2312"/>
          <w:color w:val="auto"/>
          <w:sz w:val="32"/>
          <w:szCs w:val="32"/>
          <w:lang w:val="en-US" w:eastAsia="zh-CN"/>
        </w:rPr>
        <w:t>效益，根据</w:t>
      </w:r>
      <w:r>
        <w:rPr>
          <w:rFonts w:hint="eastAsia" w:ascii="仿宋_GB2312" w:hAnsi="仿宋_GB2312" w:eastAsia="仿宋_GB2312" w:cs="仿宋_GB2312"/>
          <w:color w:val="auto"/>
          <w:sz w:val="32"/>
          <w:szCs w:val="32"/>
          <w:lang w:eastAsia="zh-CN"/>
        </w:rPr>
        <w:t>《云南省财政厅关于印发</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云南省项目支出绩效评价管理办法</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云</w:t>
      </w:r>
      <w:r>
        <w:rPr>
          <w:rFonts w:hint="eastAsia" w:ascii="仿宋_GB2312" w:hAnsi="仿宋_GB2312" w:eastAsia="仿宋_GB2312" w:cs="仿宋_GB2312"/>
          <w:color w:val="auto"/>
          <w:sz w:val="32"/>
          <w:szCs w:val="32"/>
          <w:lang w:eastAsia="zh-CN"/>
        </w:rPr>
        <w:t>财绩</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〕11号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rPr>
        <w:t>五华区预算绩效自评管理暂行办法</w:t>
      </w:r>
      <w:r>
        <w:rPr>
          <w:rFonts w:hint="eastAsia" w:ascii="仿宋_GB2312" w:hAnsi="仿宋_GB2312" w:eastAsia="仿宋_GB2312" w:cs="仿宋_GB2312"/>
          <w:color w:val="auto"/>
          <w:sz w:val="32"/>
          <w:szCs w:val="32"/>
        </w:rPr>
        <w:t>》（五财〔2019〕</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lang w:eastAsia="zh-CN"/>
        </w:rPr>
        <w:t>号）等文件精神</w:t>
      </w:r>
      <w:r>
        <w:rPr>
          <w:rFonts w:hint="eastAsia" w:ascii="仿宋_GB2312" w:hAnsi="仿宋_GB2312" w:cs="仿宋_GB2312"/>
          <w:color w:val="auto"/>
          <w:sz w:val="32"/>
          <w:szCs w:val="32"/>
          <w:lang w:eastAsia="zh-CN"/>
        </w:rPr>
        <w:t>以及</w:t>
      </w:r>
      <w:r>
        <w:rPr>
          <w:rFonts w:hint="eastAsia" w:ascii="仿宋_GB2312" w:hAnsi="仿宋_GB2312" w:eastAsia="仿宋_GB2312" w:cs="仿宋_GB2312"/>
          <w:color w:val="auto"/>
          <w:sz w:val="32"/>
          <w:szCs w:val="32"/>
          <w:lang w:eastAsia="zh-CN"/>
        </w:rPr>
        <w:t>《五华区财政局关于开展202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w:t>
      </w:r>
      <w:r>
        <w:rPr>
          <w:rFonts w:hint="eastAsia" w:ascii="仿宋_GB2312" w:hAnsi="仿宋_GB2312" w:cs="仿宋_GB2312"/>
          <w:color w:val="auto"/>
          <w:sz w:val="32"/>
          <w:szCs w:val="32"/>
          <w:lang w:val="en-US" w:eastAsia="zh-CN"/>
        </w:rPr>
        <w:t>预算</w:t>
      </w:r>
      <w:r>
        <w:rPr>
          <w:rFonts w:hint="eastAsia" w:ascii="仿宋_GB2312" w:hAnsi="仿宋_GB2312" w:eastAsia="仿宋_GB2312" w:cs="仿宋_GB2312"/>
          <w:color w:val="auto"/>
          <w:sz w:val="32"/>
          <w:szCs w:val="32"/>
          <w:lang w:eastAsia="zh-CN"/>
        </w:rPr>
        <w:t>支出绩效自评工作的通知》</w:t>
      </w:r>
      <w:r>
        <w:rPr>
          <w:rFonts w:hint="eastAsia" w:ascii="仿宋_GB2312" w:hAnsi="仿宋_GB2312" w:eastAsia="仿宋_GB2312" w:cs="仿宋_GB2312"/>
          <w:color w:val="auto"/>
          <w:sz w:val="32"/>
          <w:szCs w:val="32"/>
        </w:rPr>
        <w:t>（五财〔20</w:t>
      </w:r>
      <w:r>
        <w:rPr>
          <w:rFonts w:hint="eastAsia" w:ascii="仿宋_GB2312" w:hAnsi="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号）</w:t>
      </w:r>
      <w:r>
        <w:rPr>
          <w:rFonts w:hint="eastAsia" w:ascii="仿宋_GB2312" w:hAnsi="仿宋_GB2312" w:cs="仿宋_GB2312"/>
          <w:color w:val="auto"/>
          <w:sz w:val="32"/>
          <w:szCs w:val="32"/>
          <w:lang w:eastAsia="zh-CN"/>
        </w:rPr>
        <w:t>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我单位高度重视，精心部署，积极组织，认真对202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度</w:t>
      </w:r>
      <w:r>
        <w:rPr>
          <w:rFonts w:hint="eastAsia" w:ascii="仿宋_GB2312" w:hAnsi="仿宋_GB2312" w:eastAsia="仿宋_GB2312" w:cs="仿宋_GB2312"/>
          <w:color w:val="auto"/>
          <w:sz w:val="32"/>
          <w:szCs w:val="32"/>
          <w:lang w:val="en-US" w:eastAsia="zh-CN"/>
        </w:rPr>
        <w:t>部门整体支出和所有项目支出</w:t>
      </w:r>
      <w:r>
        <w:rPr>
          <w:rFonts w:hint="eastAsia" w:ascii="仿宋_GB2312" w:hAnsi="仿宋_GB2312" w:cs="仿宋_GB2312"/>
          <w:color w:val="auto"/>
          <w:sz w:val="32"/>
          <w:szCs w:val="32"/>
          <w:lang w:val="en-US" w:eastAsia="zh-CN"/>
        </w:rPr>
        <w:t>开展</w:t>
      </w:r>
      <w:r>
        <w:rPr>
          <w:rFonts w:hint="eastAsia" w:ascii="仿宋_GB2312" w:hAnsi="仿宋_GB2312" w:eastAsia="仿宋_GB2312" w:cs="仿宋_GB2312"/>
          <w:color w:val="auto"/>
          <w:sz w:val="32"/>
          <w:szCs w:val="32"/>
          <w:lang w:val="en-US" w:eastAsia="zh-CN"/>
        </w:rPr>
        <w:t>了绩效</w:t>
      </w:r>
      <w:r>
        <w:rPr>
          <w:rFonts w:hint="eastAsia" w:ascii="仿宋_GB2312" w:hAnsi="仿宋_GB2312" w:cs="仿宋_GB2312"/>
          <w:color w:val="auto"/>
          <w:sz w:val="32"/>
          <w:szCs w:val="32"/>
          <w:lang w:val="en-US" w:eastAsia="zh-CN"/>
        </w:rPr>
        <w:t>自评工作</w:t>
      </w:r>
      <w:r>
        <w:rPr>
          <w:rFonts w:hint="eastAsia" w:ascii="仿宋_GB2312" w:hAnsi="仿宋_GB2312" w:eastAsia="仿宋_GB2312" w:cs="仿宋_GB2312"/>
          <w:color w:val="auto"/>
          <w:sz w:val="32"/>
          <w:szCs w:val="32"/>
          <w:lang w:val="en-US" w:eastAsia="zh-CN"/>
        </w:rPr>
        <w:t>，现将有关情况报告如下：</w:t>
      </w:r>
    </w:p>
    <w:p w14:paraId="7624F6EA">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000000"/>
          <w:kern w:val="0"/>
        </w:rPr>
      </w:pPr>
      <w:r>
        <w:rPr>
          <w:rFonts w:hint="eastAsia" w:ascii="黑体" w:hAnsi="宋体" w:eastAsia="黑体" w:cs="宋体"/>
          <w:color w:val="000000"/>
          <w:kern w:val="0"/>
        </w:rPr>
        <w:t>一、工作情况</w:t>
      </w:r>
    </w:p>
    <w:p w14:paraId="7BE1ED86">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ascii="楷体_GB2312" w:hAnsi="宋体" w:eastAsia="楷体_GB2312" w:cs="宋体"/>
          <w:color w:val="000000"/>
          <w:kern w:val="0"/>
        </w:rPr>
      </w:pPr>
      <w:r>
        <w:rPr>
          <w:rFonts w:hint="eastAsia" w:ascii="楷体_GB2312" w:hAnsi="宋体" w:eastAsia="楷体_GB2312" w:cs="宋体"/>
          <w:color w:val="000000"/>
          <w:kern w:val="0"/>
        </w:rPr>
        <w:t>（一）绩效</w:t>
      </w:r>
      <w:r>
        <w:rPr>
          <w:rFonts w:hint="eastAsia" w:ascii="楷体_GB2312" w:hAnsi="宋体" w:eastAsia="楷体_GB2312" w:cs="宋体"/>
          <w:color w:val="000000"/>
          <w:kern w:val="0"/>
          <w:lang w:eastAsia="zh-CN"/>
        </w:rPr>
        <w:t>自评</w:t>
      </w:r>
      <w:r>
        <w:rPr>
          <w:rFonts w:hint="eastAsia" w:ascii="楷体_GB2312" w:hAnsi="宋体" w:eastAsia="楷体_GB2312" w:cs="宋体"/>
          <w:color w:val="000000"/>
          <w:kern w:val="0"/>
        </w:rPr>
        <w:t>工作开展情况</w:t>
      </w:r>
    </w:p>
    <w:p w14:paraId="482D785A">
      <w:pPr>
        <w:pStyle w:val="2"/>
        <w:numPr>
          <w:ilvl w:val="0"/>
          <w:numId w:val="0"/>
        </w:numPr>
        <w:ind w:left="630" w:left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成立绩效自评工作组</w:t>
      </w:r>
    </w:p>
    <w:p w14:paraId="202EA94C">
      <w:pPr>
        <w:pStyle w:val="2"/>
        <w:numPr>
          <w:ilvl w:val="0"/>
          <w:numId w:val="0"/>
        </w:numPr>
        <w:ind w:firstLine="632"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召开绩效评价工作动员会。由绩效管理领导小组牵头，召集相关业务科室召开绩效评价工作动员会议，学习传达绩效评价工作相关要求，听取各科室的意见、建议。成立绩效评价工作小组。结合评价工作实施总体方案和工作计划，根据评价工作任务要求，成立单位负责人任组长的绩效评价工作小组，为评价工作的具体实施机构。</w:t>
      </w:r>
    </w:p>
    <w:p w14:paraId="182BB05B">
      <w:pPr>
        <w:pStyle w:val="2"/>
        <w:numPr>
          <w:ilvl w:val="0"/>
          <w:numId w:val="0"/>
        </w:numPr>
        <w:ind w:left="842" w:left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下发工作通知</w:t>
      </w:r>
    </w:p>
    <w:p w14:paraId="73C07536">
      <w:pPr>
        <w:keepNext w:val="0"/>
        <w:keepLines w:val="0"/>
        <w:widowControl/>
        <w:numPr>
          <w:ilvl w:val="0"/>
          <w:numId w:val="0"/>
        </w:numPr>
        <w:suppressLineNumbers w:val="0"/>
        <w:spacing w:before="0" w:beforeAutospacing="0" w:after="0" w:afterAutospacing="0"/>
        <w:ind w:left="0" w:leftChars="0"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明确工作计划的重点和目标，通知的时间提前，以便相关人员有足够的时间准备。为了确保通知的及时性和准确性，将通知内容以书面形式记录，并请相关人员确认。通知的内容具体详细，包括各个部门或个人的职责、目标、期望达成的成果等。工作计划有明确的反馈和调整机制，以便在实施过程中根据需要进行调整。</w:t>
      </w:r>
    </w:p>
    <w:p w14:paraId="0AF3CAD2">
      <w:pPr>
        <w:pStyle w:val="2"/>
        <w:numPr>
          <w:ilvl w:val="0"/>
          <w:numId w:val="0"/>
        </w:numPr>
        <w:ind w:left="842" w:left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开展培训</w:t>
      </w:r>
    </w:p>
    <w:p w14:paraId="5A8DEDC2">
      <w:pPr>
        <w:keepNext w:val="0"/>
        <w:keepLines w:val="0"/>
        <w:widowControl/>
        <w:numPr>
          <w:ilvl w:val="0"/>
          <w:numId w:val="0"/>
        </w:numPr>
        <w:suppressLineNumbers w:val="0"/>
        <w:spacing w:before="0" w:beforeAutospacing="0" w:after="0" w:afterAutospacing="0"/>
        <w:ind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问卷调查的方式，做好绩效培训需求的调研，制定培训计划，考虑到培训需求、课程资源、讲师资源、内部资源和外部资源的整合，通过视频或图片开场、故事讲述、问题提问、游戏互动或数据调查等方式来吸引参与者的注意力，根据不同的培训对象和目的来选择合适的培训方法和内容，培训结束后，对培训效果进行评估，包括是否达到了预定的培训目标和参训人员在技能上的提升。</w:t>
      </w:r>
    </w:p>
    <w:p w14:paraId="68A7F33C">
      <w:pPr>
        <w:pStyle w:val="2"/>
        <w:numPr>
          <w:ilvl w:val="0"/>
          <w:numId w:val="0"/>
        </w:numPr>
        <w:ind w:left="842" w:left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组织自评</w:t>
      </w:r>
    </w:p>
    <w:p w14:paraId="09A565B8">
      <w:pPr>
        <w:topLinePunct/>
        <w:spacing w:line="580" w:lineRule="exact"/>
        <w:ind w:firstLine="790" w:firstLineChars="25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评价思路：</w:t>
      </w:r>
      <w:r>
        <w:rPr>
          <w:rFonts w:hint="eastAsia" w:ascii="仿宋_GB2312" w:hAnsi="仿宋_GB2312" w:cs="仿宋_GB2312"/>
          <w:color w:val="auto"/>
          <w:kern w:val="2"/>
          <w:sz w:val="32"/>
          <w:szCs w:val="32"/>
          <w:lang w:val="en-US" w:eastAsia="zh-CN" w:bidi="ar-SA"/>
        </w:rPr>
        <w:t>昆明市五华区卫生健康局</w:t>
      </w:r>
      <w:r>
        <w:rPr>
          <w:rFonts w:hint="eastAsia" w:ascii="仿宋_GB2312" w:hAnsi="仿宋_GB2312" w:eastAsia="仿宋_GB2312" w:cs="仿宋_GB2312"/>
          <w:color w:val="auto"/>
          <w:kern w:val="2"/>
          <w:sz w:val="32"/>
          <w:szCs w:val="32"/>
          <w:lang w:val="en-US" w:eastAsia="zh-CN" w:bidi="ar-SA"/>
        </w:rPr>
        <w:t>确认202</w:t>
      </w: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年度部门整体支出的绩效目标，及时梳理部门内部管理制度及存量资源，分析确定</w:t>
      </w:r>
      <w:r>
        <w:rPr>
          <w:rFonts w:hint="eastAsia" w:ascii="仿宋_GB2312" w:hAnsi="仿宋_GB2312" w:cs="仿宋_GB2312"/>
          <w:color w:val="auto"/>
          <w:kern w:val="2"/>
          <w:sz w:val="32"/>
          <w:szCs w:val="32"/>
          <w:lang w:val="en-US" w:eastAsia="zh-CN" w:bidi="ar-SA"/>
        </w:rPr>
        <w:t>2024</w:t>
      </w:r>
      <w:r>
        <w:rPr>
          <w:rFonts w:hint="eastAsia" w:ascii="仿宋_GB2312" w:hAnsi="仿宋_GB2312" w:eastAsia="仿宋_GB2312" w:cs="仿宋_GB2312"/>
          <w:color w:val="auto"/>
          <w:kern w:val="2"/>
          <w:sz w:val="32"/>
          <w:szCs w:val="32"/>
          <w:lang w:val="en-US" w:eastAsia="zh-CN" w:bidi="ar-SA"/>
        </w:rPr>
        <w:t>年度部门整体支出的评价重点，最终构建了绩效评价指标体系。</w:t>
      </w:r>
    </w:p>
    <w:p w14:paraId="16366693">
      <w:pPr>
        <w:adjustRightInd w:val="0"/>
        <w:spacing w:line="580" w:lineRule="exact"/>
        <w:ind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评价目的：</w:t>
      </w:r>
      <w:r>
        <w:rPr>
          <w:rFonts w:hint="eastAsia" w:ascii="仿宋_GB2312" w:hAnsi="仿宋_GB2312" w:cs="仿宋_GB2312"/>
          <w:color w:val="auto"/>
          <w:kern w:val="2"/>
          <w:sz w:val="32"/>
          <w:szCs w:val="32"/>
          <w:lang w:val="en-US" w:eastAsia="zh-CN" w:bidi="ar-SA"/>
        </w:rPr>
        <w:t>昆明市五华区卫生健康局</w:t>
      </w:r>
      <w:r>
        <w:rPr>
          <w:rFonts w:hint="eastAsia" w:ascii="仿宋_GB2312" w:hAnsi="仿宋_GB2312" w:eastAsia="仿宋_GB2312" w:cs="仿宋_GB2312"/>
          <w:color w:val="auto"/>
          <w:kern w:val="2"/>
          <w:sz w:val="32"/>
          <w:szCs w:val="32"/>
          <w:lang w:val="en-US" w:eastAsia="zh-CN" w:bidi="ar-SA"/>
        </w:rPr>
        <w:t>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w:t>
      </w:r>
    </w:p>
    <w:p w14:paraId="047F3F50">
      <w:pPr>
        <w:pStyle w:val="6"/>
        <w:spacing w:before="93" w:beforeAutospacing="0" w:after="0" w:afterAutospacing="0" w:line="555" w:lineRule="atLeast"/>
        <w:ind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评价依据：根据《中华人民共和国预算法》、《云南省预算审查监督条例》及</w:t>
      </w:r>
      <w:r>
        <w:rPr>
          <w:rFonts w:hint="eastAsia" w:ascii="仿宋_GB2312" w:hAnsi="仿宋_GB2312" w:cs="仿宋_GB2312"/>
          <w:color w:val="auto"/>
          <w:kern w:val="2"/>
          <w:sz w:val="32"/>
          <w:szCs w:val="32"/>
          <w:lang w:val="en-US" w:eastAsia="zh-CN" w:bidi="ar-SA"/>
        </w:rPr>
        <w:t>昆明市五华区卫生健康局</w:t>
      </w:r>
      <w:r>
        <w:rPr>
          <w:rFonts w:hint="eastAsia" w:ascii="仿宋_GB2312" w:hAnsi="仿宋_GB2312" w:eastAsia="仿宋_GB2312" w:cs="仿宋_GB2312"/>
          <w:color w:val="auto"/>
          <w:kern w:val="2"/>
          <w:sz w:val="32"/>
          <w:szCs w:val="32"/>
          <w:lang w:val="en-US" w:eastAsia="zh-CN" w:bidi="ar-SA"/>
        </w:rPr>
        <w:t>通过每个季度的绩效跟踪来追踪项目完成的进度及情况，进行预算绩效管理。</w:t>
      </w:r>
    </w:p>
    <w:p w14:paraId="6E4AE4FD">
      <w:pPr>
        <w:topLinePunct/>
        <w:spacing w:line="580" w:lineRule="exact"/>
        <w:ind w:firstLine="632" w:firstLineChars="200"/>
        <w:rPr>
          <w:rFonts w:ascii="仿宋_GB2312" w:hAnsi="宋体" w:cs="宋体"/>
          <w:color w:val="000000"/>
          <w:kern w:val="0"/>
        </w:rPr>
      </w:pP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评价对象及评价时段：</w:t>
      </w:r>
      <w:r>
        <w:rPr>
          <w:rFonts w:hint="eastAsia" w:ascii="仿宋_GB2312" w:hAnsi="仿宋_GB2312" w:cs="仿宋_GB2312"/>
          <w:color w:val="auto"/>
          <w:kern w:val="2"/>
          <w:sz w:val="32"/>
          <w:szCs w:val="32"/>
          <w:lang w:val="en-US" w:eastAsia="zh-CN" w:bidi="ar-SA"/>
        </w:rPr>
        <w:t>昆明市五华区卫生健康局</w:t>
      </w:r>
      <w:r>
        <w:rPr>
          <w:rFonts w:hint="eastAsia" w:ascii="仿宋_GB2312" w:hAnsi="仿宋_GB2312" w:eastAsia="仿宋_GB2312" w:cs="仿宋_GB2312"/>
          <w:color w:val="auto"/>
          <w:kern w:val="2"/>
          <w:sz w:val="32"/>
          <w:szCs w:val="32"/>
          <w:lang w:val="en-US" w:eastAsia="zh-CN" w:bidi="ar-SA"/>
        </w:rPr>
        <w:t>的评价对象及评价时段为</w:t>
      </w:r>
      <w:r>
        <w:rPr>
          <w:rFonts w:hint="eastAsia" w:ascii="仿宋_GB2312" w:hAnsi="仿宋_GB2312" w:cs="仿宋_GB2312"/>
          <w:color w:val="auto"/>
          <w:kern w:val="2"/>
          <w:sz w:val="32"/>
          <w:szCs w:val="32"/>
          <w:lang w:val="en-US" w:eastAsia="zh-CN" w:bidi="ar-SA"/>
        </w:rPr>
        <w:t>2024</w:t>
      </w:r>
      <w:r>
        <w:rPr>
          <w:rFonts w:hint="eastAsia" w:ascii="仿宋_GB2312" w:hAnsi="仿宋_GB2312" w:eastAsia="仿宋_GB2312" w:cs="仿宋_GB2312"/>
          <w:color w:val="auto"/>
          <w:kern w:val="2"/>
          <w:sz w:val="32"/>
          <w:szCs w:val="32"/>
          <w:lang w:val="en-US" w:eastAsia="zh-CN" w:bidi="ar-SA"/>
        </w:rPr>
        <w:t>年的整体绩效评价。</w:t>
      </w:r>
    </w:p>
    <w:p w14:paraId="56B73AA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宋体" w:eastAsia="楷体_GB2312" w:cs="宋体"/>
          <w:color w:val="000000"/>
          <w:kern w:val="0"/>
        </w:rPr>
      </w:pPr>
      <w:r>
        <w:rPr>
          <w:rFonts w:hint="eastAsia" w:ascii="楷体_GB2312" w:hAnsi="宋体" w:eastAsia="楷体_GB2312" w:cs="宋体"/>
          <w:color w:val="000000"/>
          <w:kern w:val="0"/>
        </w:rPr>
        <w:t>（二）绩效</w:t>
      </w:r>
      <w:r>
        <w:rPr>
          <w:rFonts w:hint="eastAsia" w:ascii="楷体_GB2312" w:hAnsi="宋体" w:eastAsia="楷体_GB2312" w:cs="宋体"/>
          <w:color w:val="000000"/>
          <w:kern w:val="0"/>
          <w:lang w:eastAsia="zh-CN"/>
        </w:rPr>
        <w:t>自评</w:t>
      </w:r>
      <w:r>
        <w:rPr>
          <w:rFonts w:hint="eastAsia" w:ascii="楷体_GB2312" w:hAnsi="宋体" w:eastAsia="楷体_GB2312" w:cs="宋体"/>
          <w:color w:val="000000"/>
          <w:kern w:val="0"/>
        </w:rPr>
        <w:t>总体概况</w:t>
      </w:r>
    </w:p>
    <w:p w14:paraId="0B5F845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宋体" w:cs="宋体"/>
          <w:color w:val="000000"/>
          <w:kern w:val="0"/>
          <w:highlight w:val="none"/>
          <w:lang w:eastAsia="zh-CN"/>
        </w:rPr>
      </w:pPr>
      <w:r>
        <w:rPr>
          <w:rFonts w:hint="eastAsia" w:ascii="仿宋_GB2312" w:hAnsi="宋体" w:cs="宋体"/>
          <w:color w:val="000000"/>
          <w:kern w:val="0"/>
          <w:lang w:val="en-US" w:eastAsia="zh-CN"/>
        </w:rPr>
        <w:t>1.部门整体支出自评概况：</w:t>
      </w:r>
      <w:r>
        <w:rPr>
          <w:rFonts w:hint="eastAsia" w:ascii="仿宋_GB2312" w:hAnsi="仿宋_GB2312" w:cs="仿宋_GB2312"/>
          <w:sz w:val="32"/>
          <w:szCs w:val="32"/>
          <w:highlight w:val="none"/>
          <w:lang w:eastAsia="zh-CN"/>
        </w:rPr>
        <w:t>2024</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eastAsia="zh-CN"/>
        </w:rPr>
        <w:t>昆明市五华区卫生健康局</w:t>
      </w:r>
      <w:r>
        <w:rPr>
          <w:rFonts w:hint="eastAsia" w:ascii="仿宋_GB2312" w:hAnsi="仿宋_GB2312" w:eastAsia="仿宋_GB2312" w:cs="仿宋_GB2312"/>
          <w:sz w:val="32"/>
          <w:szCs w:val="32"/>
          <w:highlight w:val="none"/>
        </w:rPr>
        <w:t>预算金额为</w:t>
      </w:r>
      <w:r>
        <w:rPr>
          <w:rFonts w:hint="eastAsia" w:ascii="仿宋_GB2312" w:hAnsi="仿宋_GB2312" w:cs="仿宋_GB2312"/>
          <w:sz w:val="32"/>
          <w:szCs w:val="32"/>
          <w:highlight w:val="none"/>
          <w:lang w:val="en-US" w:eastAsia="zh-CN"/>
        </w:rPr>
        <w:t>3810.81万</w:t>
      </w:r>
      <w:r>
        <w:rPr>
          <w:rFonts w:hint="eastAsia" w:ascii="仿宋_GB2312" w:hAnsi="仿宋_GB2312" w:eastAsia="仿宋_GB2312" w:cs="仿宋_GB2312"/>
          <w:sz w:val="32"/>
          <w:szCs w:val="32"/>
          <w:highlight w:val="none"/>
        </w:rPr>
        <w:t>元。其中：基本支出</w:t>
      </w:r>
      <w:r>
        <w:rPr>
          <w:rFonts w:hint="eastAsia" w:ascii="仿宋_GB2312" w:hAnsi="仿宋_GB2312" w:cs="仿宋_GB2312"/>
          <w:sz w:val="32"/>
          <w:szCs w:val="32"/>
          <w:highlight w:val="none"/>
          <w:lang w:val="en-US" w:eastAsia="zh-CN"/>
        </w:rPr>
        <w:t>834.22万</w:t>
      </w:r>
      <w:r>
        <w:rPr>
          <w:rFonts w:hint="eastAsia" w:ascii="仿宋_GB2312" w:hAnsi="仿宋_GB2312" w:eastAsia="仿宋_GB2312" w:cs="仿宋_GB2312"/>
          <w:sz w:val="32"/>
          <w:szCs w:val="32"/>
          <w:highlight w:val="none"/>
        </w:rPr>
        <w:t>元，项目支出</w:t>
      </w:r>
      <w:r>
        <w:rPr>
          <w:rFonts w:hint="eastAsia" w:ascii="仿宋_GB2312" w:hAnsi="仿宋_GB2312" w:cs="仿宋_GB2312"/>
          <w:sz w:val="32"/>
          <w:szCs w:val="32"/>
          <w:highlight w:val="none"/>
          <w:lang w:val="en-US" w:eastAsia="zh-CN"/>
        </w:rPr>
        <w:t>2976.59万</w:t>
      </w:r>
      <w:r>
        <w:rPr>
          <w:rFonts w:hint="eastAsia" w:ascii="仿宋_GB2312" w:hAnsi="仿宋_GB2312" w:eastAsia="仿宋_GB2312" w:cs="仿宋_GB2312"/>
          <w:sz w:val="32"/>
          <w:szCs w:val="32"/>
          <w:highlight w:val="none"/>
        </w:rPr>
        <w:t>元。</w:t>
      </w:r>
      <w:r>
        <w:rPr>
          <w:rFonts w:hint="eastAsia" w:ascii="仿宋_GB2312" w:hAnsi="仿宋_GB2312" w:cs="仿宋_GB2312"/>
          <w:sz w:val="32"/>
          <w:szCs w:val="32"/>
          <w:highlight w:val="none"/>
          <w:lang w:eastAsia="zh-CN"/>
        </w:rPr>
        <w:t>2024</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eastAsia="zh-CN"/>
        </w:rPr>
        <w:t>昆明市五华区卫生健康局</w:t>
      </w:r>
      <w:r>
        <w:rPr>
          <w:rFonts w:hint="eastAsia" w:ascii="仿宋_GB2312" w:hAnsi="仿宋_GB2312" w:eastAsia="仿宋_GB2312" w:cs="仿宋_GB2312"/>
          <w:sz w:val="32"/>
          <w:szCs w:val="32"/>
          <w:highlight w:val="none"/>
        </w:rPr>
        <w:t>支出</w:t>
      </w:r>
      <w:r>
        <w:rPr>
          <w:rFonts w:hint="eastAsia" w:ascii="仿宋_GB2312" w:hAnsi="仿宋_GB2312" w:cs="仿宋_GB2312"/>
          <w:sz w:val="32"/>
          <w:szCs w:val="32"/>
          <w:highlight w:val="none"/>
          <w:lang w:val="en-US" w:eastAsia="zh-CN"/>
        </w:rPr>
        <w:t>37403.49万</w:t>
      </w:r>
      <w:r>
        <w:rPr>
          <w:rFonts w:hint="eastAsia" w:ascii="仿宋_GB2312" w:hAnsi="仿宋_GB2312" w:eastAsia="仿宋_GB2312" w:cs="仿宋_GB2312"/>
          <w:sz w:val="32"/>
          <w:szCs w:val="32"/>
          <w:highlight w:val="none"/>
        </w:rPr>
        <w:t>元。其中：基本支出</w:t>
      </w:r>
      <w:r>
        <w:rPr>
          <w:rFonts w:hint="eastAsia" w:ascii="仿宋_GB2312" w:hAnsi="仿宋_GB2312" w:cs="仿宋_GB2312"/>
          <w:sz w:val="32"/>
          <w:szCs w:val="32"/>
          <w:highlight w:val="none"/>
          <w:lang w:val="en-US" w:eastAsia="zh-CN"/>
        </w:rPr>
        <w:t>835.50万</w:t>
      </w:r>
      <w:r>
        <w:rPr>
          <w:rFonts w:hint="eastAsia" w:ascii="仿宋_GB2312" w:hAnsi="仿宋_GB2312" w:eastAsia="仿宋_GB2312" w:cs="仿宋_GB2312"/>
          <w:sz w:val="32"/>
          <w:szCs w:val="32"/>
          <w:highlight w:val="none"/>
        </w:rPr>
        <w:t>元；项目支出</w:t>
      </w:r>
      <w:r>
        <w:rPr>
          <w:rFonts w:hint="eastAsia" w:ascii="仿宋_GB2312" w:hAnsi="仿宋_GB2312" w:cs="仿宋_GB2312"/>
          <w:sz w:val="32"/>
          <w:szCs w:val="32"/>
          <w:highlight w:val="none"/>
          <w:lang w:val="en-US" w:eastAsia="zh-CN"/>
        </w:rPr>
        <w:t>36567.99万</w:t>
      </w:r>
      <w:r>
        <w:rPr>
          <w:rFonts w:hint="eastAsia" w:ascii="仿宋_GB2312" w:hAnsi="仿宋_GB2312" w:eastAsia="仿宋_GB2312" w:cs="仿宋_GB2312"/>
          <w:sz w:val="32"/>
          <w:szCs w:val="32"/>
          <w:highlight w:val="none"/>
        </w:rPr>
        <w:t>元。</w:t>
      </w:r>
      <w:r>
        <w:rPr>
          <w:rFonts w:hint="eastAsia" w:ascii="仿宋_GB2312" w:hAnsi="仿宋_GB2312" w:cs="仿宋_GB2312"/>
          <w:sz w:val="32"/>
          <w:szCs w:val="32"/>
          <w:highlight w:val="none"/>
          <w:lang w:eastAsia="zh-CN"/>
        </w:rPr>
        <w:t>2024</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eastAsia="zh-CN"/>
        </w:rPr>
        <w:t>昆明市五华区卫生健康局</w:t>
      </w:r>
      <w:r>
        <w:rPr>
          <w:rFonts w:hint="eastAsia" w:ascii="仿宋_GB2312" w:hAnsi="仿宋_GB2312" w:eastAsia="仿宋_GB2312" w:cs="仿宋_GB2312"/>
          <w:sz w:val="32"/>
          <w:szCs w:val="32"/>
          <w:highlight w:val="none"/>
        </w:rPr>
        <w:t>截至</w:t>
      </w:r>
      <w:r>
        <w:rPr>
          <w:rFonts w:hint="eastAsia" w:ascii="仿宋_GB2312" w:hAnsi="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12月31日预算执行率</w:t>
      </w:r>
      <w:r>
        <w:rPr>
          <w:rFonts w:hint="eastAsia" w:ascii="仿宋_GB2312" w:hAnsi="仿宋_GB2312" w:cs="仿宋_GB2312"/>
          <w:sz w:val="32"/>
          <w:szCs w:val="32"/>
          <w:highlight w:val="none"/>
          <w:lang w:val="en-US" w:eastAsia="zh-CN"/>
        </w:rPr>
        <w:t>97.62</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eastAsia="仿宋_GB2312"/>
          <w:sz w:val="32"/>
          <w:szCs w:val="32"/>
          <w:highlight w:val="none"/>
        </w:rPr>
        <w:t>整体支出已经基本按计划完成，但项目支出绩效目标部分未完成，未完成的主要原因为</w:t>
      </w:r>
      <w:r>
        <w:rPr>
          <w:rFonts w:hint="eastAsia" w:ascii="仿宋_GB2312"/>
          <w:sz w:val="32"/>
          <w:szCs w:val="32"/>
          <w:highlight w:val="none"/>
          <w:lang w:val="en-US" w:eastAsia="zh-CN"/>
        </w:rPr>
        <w:t>单位厉行节约</w:t>
      </w:r>
      <w:r>
        <w:rPr>
          <w:rFonts w:hint="eastAsia" w:ascii="仿宋_GB2312" w:eastAsia="仿宋_GB2312"/>
          <w:sz w:val="32"/>
          <w:szCs w:val="32"/>
          <w:highlight w:val="none"/>
        </w:rPr>
        <w:t>和财政</w:t>
      </w:r>
      <w:r>
        <w:rPr>
          <w:rFonts w:hint="eastAsia" w:ascii="仿宋_GB2312"/>
          <w:sz w:val="32"/>
          <w:szCs w:val="32"/>
          <w:highlight w:val="none"/>
          <w:lang w:val="en-US" w:eastAsia="zh-CN"/>
        </w:rPr>
        <w:t>资金短缺</w:t>
      </w:r>
      <w:r>
        <w:rPr>
          <w:rFonts w:hint="eastAsia" w:ascii="仿宋_GB2312" w:eastAsia="仿宋_GB2312"/>
          <w:sz w:val="32"/>
          <w:szCs w:val="32"/>
          <w:highlight w:val="none"/>
        </w:rPr>
        <w:t>。</w:t>
      </w:r>
      <w:r>
        <w:rPr>
          <w:rFonts w:hint="eastAsia" w:ascii="仿宋" w:hAnsi="仿宋" w:eastAsia="仿宋" w:cs="Arial"/>
          <w:sz w:val="32"/>
          <w:szCs w:val="32"/>
          <w:highlight w:val="none"/>
          <w:lang w:val="en-US" w:eastAsia="zh-CN"/>
        </w:rPr>
        <w:t>2024年度绩效评价结果优：A单位决策35分,得分35分;B单位管理20分,得分20分;C单位绩效45分,得分43分;总共得分98分，能准确反映出整体绩效支出的情况。</w:t>
      </w:r>
    </w:p>
    <w:p w14:paraId="3C7F84D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宋体" w:cs="宋体"/>
          <w:color w:val="000000"/>
          <w:kern w:val="0"/>
          <w:highlight w:val="yellow"/>
          <w:lang w:val="en-US" w:eastAsia="zh-CN"/>
        </w:rPr>
      </w:pPr>
      <w:r>
        <w:rPr>
          <w:rFonts w:hint="eastAsia" w:ascii="仿宋_GB2312" w:hAnsi="宋体" w:cs="宋体"/>
          <w:color w:val="000000"/>
          <w:kern w:val="0"/>
          <w:lang w:val="en-US" w:eastAsia="zh-CN"/>
        </w:rPr>
        <w:t>2.项目支出自评概况：</w:t>
      </w:r>
      <w:r>
        <w:rPr>
          <w:rFonts w:hint="eastAsia" w:ascii="仿宋_GB2312" w:hAnsi="宋体" w:cs="宋体"/>
          <w:color w:val="000000"/>
          <w:kern w:val="0"/>
          <w:highlight w:val="none"/>
          <w:lang w:val="en-US" w:eastAsia="zh-CN"/>
        </w:rPr>
        <w:t>自评51个项目（其中：区级项目30个、上级转移支付项目13个、其他资金项目8个）</w:t>
      </w:r>
      <w:r>
        <w:rPr>
          <w:rFonts w:hint="eastAsia" w:ascii="仿宋_GB2312" w:hAnsi="宋体" w:cs="宋体"/>
          <w:color w:val="000000"/>
          <w:kern w:val="0"/>
          <w:highlight w:val="none"/>
        </w:rPr>
        <w:t>、</w:t>
      </w:r>
      <w:r>
        <w:rPr>
          <w:rFonts w:hint="eastAsia" w:ascii="仿宋_GB2312" w:hAnsi="宋体" w:cs="宋体"/>
          <w:color w:val="000000"/>
          <w:kern w:val="0"/>
          <w:highlight w:val="none"/>
          <w:lang w:eastAsia="zh-CN"/>
        </w:rPr>
        <w:t>自评金额</w:t>
      </w:r>
      <w:r>
        <w:rPr>
          <w:rFonts w:hint="eastAsia" w:ascii="仿宋_GB2312" w:hAnsi="宋体" w:cs="宋体"/>
          <w:color w:val="000000"/>
          <w:kern w:val="0"/>
          <w:highlight w:val="none"/>
          <w:lang w:val="en-US" w:eastAsia="zh-CN"/>
        </w:rPr>
        <w:t>36567.99万元 （其中：区级资金34045.55万元、上级转移支付资金2465.57万元、其他资金56.87万元），自评分</w:t>
      </w:r>
      <w:r>
        <w:rPr>
          <w:rFonts w:hint="default" w:ascii="仿宋_GB2312" w:hAnsi="宋体" w:cs="宋体"/>
          <w:color w:val="000000"/>
          <w:kern w:val="0"/>
          <w:highlight w:val="none"/>
          <w:lang w:val="en-US" w:eastAsia="zh-CN"/>
        </w:rPr>
        <w:t>≥</w:t>
      </w:r>
      <w:r>
        <w:rPr>
          <w:rFonts w:hint="eastAsia" w:ascii="仿宋_GB2312" w:hAnsi="宋体" w:cs="宋体"/>
          <w:color w:val="000000"/>
          <w:kern w:val="0"/>
          <w:highlight w:val="none"/>
          <w:lang w:val="en-US" w:eastAsia="zh-CN"/>
        </w:rPr>
        <w:t>90分的项目51个、90</w:t>
      </w:r>
      <w:r>
        <w:rPr>
          <w:rFonts w:hint="default" w:ascii="仿宋_GB2312" w:hAnsi="宋体" w:cs="宋体"/>
          <w:color w:val="000000"/>
          <w:kern w:val="0"/>
          <w:highlight w:val="none"/>
          <w:lang w:val="en-US" w:eastAsia="zh-CN"/>
        </w:rPr>
        <w:t>&gt;</w:t>
      </w:r>
      <w:r>
        <w:rPr>
          <w:rFonts w:hint="eastAsia" w:ascii="仿宋_GB2312" w:hAnsi="宋体" w:cs="宋体"/>
          <w:color w:val="000000"/>
          <w:kern w:val="0"/>
          <w:highlight w:val="none"/>
          <w:lang w:val="en-US" w:eastAsia="zh-CN"/>
        </w:rPr>
        <w:t>自评分</w:t>
      </w:r>
      <w:r>
        <w:rPr>
          <w:rFonts w:hint="default" w:ascii="仿宋_GB2312" w:hAnsi="宋体" w:cs="宋体"/>
          <w:color w:val="000000"/>
          <w:kern w:val="0"/>
          <w:highlight w:val="none"/>
          <w:lang w:val="en-US" w:eastAsia="zh-CN"/>
        </w:rPr>
        <w:t>≥</w:t>
      </w:r>
      <w:r>
        <w:rPr>
          <w:rFonts w:hint="eastAsia" w:ascii="仿宋_GB2312" w:hAnsi="宋体" w:cs="宋体"/>
          <w:color w:val="000000"/>
          <w:kern w:val="0"/>
          <w:highlight w:val="none"/>
          <w:lang w:val="en-US" w:eastAsia="zh-CN"/>
        </w:rPr>
        <w:t>80分的项目0个、80</w:t>
      </w:r>
      <w:r>
        <w:rPr>
          <w:rFonts w:hint="default" w:ascii="仿宋_GB2312" w:hAnsi="宋体" w:cs="宋体"/>
          <w:color w:val="000000"/>
          <w:kern w:val="0"/>
          <w:highlight w:val="none"/>
          <w:lang w:val="en-US" w:eastAsia="zh-CN"/>
        </w:rPr>
        <w:t>&gt;</w:t>
      </w:r>
      <w:r>
        <w:rPr>
          <w:rFonts w:hint="eastAsia" w:ascii="仿宋_GB2312" w:hAnsi="宋体" w:cs="宋体"/>
          <w:color w:val="000000"/>
          <w:kern w:val="0"/>
          <w:highlight w:val="none"/>
          <w:lang w:val="en-US" w:eastAsia="zh-CN"/>
        </w:rPr>
        <w:t>自评分</w:t>
      </w:r>
      <w:r>
        <w:rPr>
          <w:rFonts w:hint="default" w:ascii="仿宋_GB2312" w:hAnsi="宋体" w:cs="宋体"/>
          <w:color w:val="000000"/>
          <w:kern w:val="0"/>
          <w:highlight w:val="none"/>
          <w:lang w:val="en-US" w:eastAsia="zh-CN"/>
        </w:rPr>
        <w:t>≥</w:t>
      </w:r>
      <w:r>
        <w:rPr>
          <w:rFonts w:hint="eastAsia" w:ascii="仿宋_GB2312" w:hAnsi="宋体" w:cs="宋体"/>
          <w:color w:val="000000"/>
          <w:kern w:val="0"/>
          <w:highlight w:val="none"/>
          <w:lang w:val="en-US" w:eastAsia="zh-CN"/>
        </w:rPr>
        <w:t>60分的项目0个，自评分&lt;60分的项目0个。</w:t>
      </w:r>
    </w:p>
    <w:p w14:paraId="0995DC0D">
      <w:pPr>
        <w:pStyle w:val="2"/>
        <w:keepNext w:val="0"/>
        <w:keepLines w:val="0"/>
        <w:pageBreakBefore w:val="0"/>
        <w:kinsoku/>
        <w:overflowPunct/>
        <w:topLinePunct w:val="0"/>
        <w:autoSpaceDE/>
        <w:autoSpaceDN/>
        <w:bidi w:val="0"/>
        <w:adjustRightInd/>
        <w:snapToGrid/>
        <w:spacing w:line="560" w:lineRule="exact"/>
        <w:ind w:firstLine="632" w:firstLineChars="200"/>
        <w:jc w:val="both"/>
        <w:textAlignment w:val="auto"/>
        <w:rPr>
          <w:rFonts w:hint="default"/>
          <w:b/>
          <w:bCs/>
          <w:highlight w:val="none"/>
          <w:lang w:val="en-US" w:eastAsia="zh-CN"/>
        </w:rPr>
      </w:pPr>
      <w:r>
        <w:rPr>
          <w:rFonts w:hint="eastAsia" w:ascii="仿宋_GB2312" w:hAnsi="宋体" w:cs="宋体"/>
          <w:color w:val="000000"/>
          <w:kern w:val="0"/>
          <w:highlight w:val="none"/>
          <w:lang w:val="en-US" w:eastAsia="zh-CN"/>
        </w:rPr>
        <w:t>3.绩效自评全覆盖情况：本次开展绩效自评项目39个，自评金额为35927.13元，未实现绩效自评全覆盖。</w:t>
      </w:r>
    </w:p>
    <w:p w14:paraId="497358A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黑体" w:hAnsi="宋体" w:eastAsia="黑体"/>
        </w:rPr>
      </w:pPr>
      <w:r>
        <w:rPr>
          <w:rFonts w:hint="eastAsia" w:ascii="黑体" w:hAnsi="宋体" w:eastAsia="黑体"/>
        </w:rPr>
        <w:t>二、评价结果</w:t>
      </w:r>
    </w:p>
    <w:p w14:paraId="18B7630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宋体" w:eastAsia="楷体_GB2312"/>
        </w:rPr>
      </w:pPr>
      <w:r>
        <w:rPr>
          <w:rFonts w:hint="eastAsia" w:ascii="楷体_GB2312" w:hAnsi="宋体" w:eastAsia="楷体_GB2312"/>
        </w:rPr>
        <w:t>（一）部门整体支出</w:t>
      </w:r>
    </w:p>
    <w:p w14:paraId="5DE8957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highlight w:val="none"/>
        </w:rPr>
      </w:pPr>
      <w:r>
        <w:rPr>
          <w:rFonts w:hint="eastAsia" w:ascii="仿宋_GB2312" w:hAnsi="宋体" w:cs="宋体"/>
          <w:color w:val="000000"/>
          <w:kern w:val="0"/>
          <w:highlight w:val="none"/>
          <w:lang w:eastAsia="zh-CN"/>
        </w:rPr>
        <w:t>2024年昆明市五华区卫生健康局截至</w:t>
      </w:r>
      <w:r>
        <w:rPr>
          <w:rFonts w:hint="eastAsia" w:ascii="仿宋_GB2312" w:hAnsi="宋体" w:cs="宋体"/>
          <w:color w:val="000000"/>
          <w:kern w:val="0"/>
          <w:highlight w:val="none"/>
          <w:lang w:val="en-US" w:eastAsia="zh-CN"/>
        </w:rPr>
        <w:t>2024年</w:t>
      </w:r>
      <w:r>
        <w:rPr>
          <w:rFonts w:hint="eastAsia" w:ascii="仿宋_GB2312" w:hAnsi="宋体" w:cs="宋体"/>
          <w:color w:val="000000"/>
          <w:kern w:val="0"/>
          <w:highlight w:val="none"/>
          <w:lang w:eastAsia="zh-CN"/>
        </w:rPr>
        <w:t>12月31日预算执行率</w:t>
      </w:r>
      <w:r>
        <w:rPr>
          <w:rFonts w:hint="eastAsia" w:ascii="仿宋_GB2312" w:hAnsi="宋体" w:cs="宋体"/>
          <w:color w:val="000000"/>
          <w:kern w:val="0"/>
          <w:highlight w:val="none"/>
          <w:lang w:val="en-US" w:eastAsia="zh-CN"/>
        </w:rPr>
        <w:t>97.62</w:t>
      </w:r>
      <w:r>
        <w:rPr>
          <w:rFonts w:hint="eastAsia" w:ascii="仿宋_GB2312" w:hAnsi="宋体" w:cs="宋体"/>
          <w:color w:val="000000"/>
          <w:kern w:val="0"/>
          <w:highlight w:val="none"/>
          <w:lang w:eastAsia="zh-CN"/>
        </w:rPr>
        <w:t>%，整体支出已经基本按计划完成。</w:t>
      </w:r>
      <w:r>
        <w:rPr>
          <w:rFonts w:hint="eastAsia" w:ascii="仿宋_GB2312" w:hAnsi="宋体" w:cs="宋体"/>
          <w:color w:val="000000"/>
          <w:kern w:val="0"/>
          <w:highlight w:val="none"/>
          <w:lang w:val="en-US" w:eastAsia="zh-CN"/>
        </w:rPr>
        <w:t>2024年度绩效评价结果优：A单位决策35分,得分35分;B单位管理20分,得分20分;C单位绩效45分,得分43分;总共得分98分，能准确反映出整体绩效支出的情况。</w:t>
      </w:r>
    </w:p>
    <w:p w14:paraId="262F24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宋体" w:eastAsia="楷体_GB2312"/>
        </w:rPr>
      </w:pPr>
      <w:r>
        <w:rPr>
          <w:rFonts w:hint="eastAsia" w:ascii="楷体_GB2312" w:hAnsi="宋体" w:eastAsia="楷体_GB2312"/>
        </w:rPr>
        <w:t>项目支出</w:t>
      </w:r>
    </w:p>
    <w:p w14:paraId="700981E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highlight w:val="none"/>
        </w:rPr>
      </w:pPr>
      <w:r>
        <w:rPr>
          <w:rFonts w:hint="eastAsia" w:ascii="仿宋_GB2312" w:hAnsi="宋体" w:cs="宋体"/>
          <w:color w:val="000000"/>
          <w:kern w:val="0"/>
          <w:highlight w:val="none"/>
          <w:lang w:val="en-US" w:eastAsia="zh-CN"/>
        </w:rPr>
        <w:t>项目支出绩效目标部分未完成，未完成的原因为单位厉行节约和财政资金短缺，未完成绩效目标或超过指标值较多的项目具体为：2024年在未完成绩效目标的项目有上年结转区级项目经费、非同级财政拨款资金。2024年度绩效评价结果优：A产出指标50分,得分48分;B效益指标30分,得分29分;C满意度指标10分,得分10分;D执行率指标10分，得分8分，总共得分95分，能准确反映出项目绩效支出的情况。</w:t>
      </w:r>
    </w:p>
    <w:p w14:paraId="03839F8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黑体" w:hAnsi="宋体" w:eastAsia="黑体" w:cs="宋体"/>
          <w:color w:val="000000"/>
          <w:kern w:val="0"/>
        </w:rPr>
      </w:pPr>
      <w:r>
        <w:rPr>
          <w:rFonts w:hint="eastAsia" w:ascii="黑体" w:hAnsi="宋体" w:eastAsia="黑体" w:cs="宋体"/>
          <w:color w:val="000000"/>
          <w:kern w:val="0"/>
        </w:rPr>
        <w:t>三、存在</w:t>
      </w:r>
      <w:r>
        <w:rPr>
          <w:rFonts w:hint="eastAsia" w:ascii="黑体" w:hAnsi="宋体" w:eastAsia="黑体" w:cs="宋体"/>
          <w:color w:val="000000"/>
          <w:kern w:val="0"/>
          <w:lang w:eastAsia="zh-CN"/>
        </w:rPr>
        <w:t>的</w:t>
      </w:r>
      <w:r>
        <w:rPr>
          <w:rFonts w:hint="eastAsia" w:ascii="黑体" w:hAnsi="宋体" w:eastAsia="黑体" w:cs="宋体"/>
          <w:color w:val="000000"/>
          <w:kern w:val="0"/>
        </w:rPr>
        <w:t>主要问题</w:t>
      </w:r>
    </w:p>
    <w:p w14:paraId="5299319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eastAsia="楷体_GB2312"/>
        </w:rPr>
      </w:pPr>
      <w:r>
        <w:rPr>
          <w:rFonts w:hint="eastAsia" w:ascii="楷体_GB2312" w:eastAsia="楷体_GB2312"/>
        </w:rPr>
        <w:t>（一）部门整体支出</w:t>
      </w:r>
    </w:p>
    <w:p w14:paraId="41D185FD">
      <w:pPr>
        <w:pStyle w:val="2"/>
        <w:rPr>
          <w:rFonts w:hint="eastAsia" w:eastAsia="楷体_GB2312"/>
          <w:lang w:val="en-US" w:eastAsia="zh-CN"/>
        </w:rPr>
      </w:pPr>
      <w:r>
        <w:rPr>
          <w:rFonts w:hint="eastAsia" w:ascii="楷体_GB2312" w:eastAsia="楷体_GB2312"/>
          <w:lang w:val="en-US" w:eastAsia="zh-CN"/>
        </w:rPr>
        <w:t>无</w:t>
      </w:r>
    </w:p>
    <w:p w14:paraId="170B77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eastAsia="楷体_GB2312"/>
        </w:rPr>
      </w:pPr>
      <w:r>
        <w:rPr>
          <w:rFonts w:hint="eastAsia" w:ascii="楷体_GB2312" w:eastAsia="楷体_GB2312"/>
        </w:rPr>
        <w:t>项目支出</w:t>
      </w:r>
    </w:p>
    <w:p w14:paraId="5C1FD652">
      <w:pPr>
        <w:pStyle w:val="2"/>
        <w:numPr>
          <w:ilvl w:val="0"/>
          <w:numId w:val="0"/>
        </w:numPr>
        <w:ind w:firstLine="632" w:firstLineChars="200"/>
        <w:rPr>
          <w:highlight w:val="none"/>
        </w:rPr>
      </w:pPr>
      <w:r>
        <w:rPr>
          <w:rFonts w:hint="eastAsia" w:ascii="仿宋_GB2312" w:hAnsi="宋体" w:cs="宋体"/>
          <w:color w:val="000000"/>
          <w:kern w:val="0"/>
          <w:highlight w:val="none"/>
          <w:lang w:val="en-US" w:eastAsia="zh-CN"/>
        </w:rPr>
        <w:t>2024年项目存在问题为财政资金紧张，重点在三保项目，导至我单位上年结转项目执行率较低。</w:t>
      </w:r>
    </w:p>
    <w:p w14:paraId="05D6F2C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jc w:val="both"/>
        <w:textAlignment w:val="auto"/>
        <w:rPr>
          <w:rFonts w:hint="eastAsia"/>
          <w:lang w:eastAsia="zh-CN"/>
        </w:rPr>
      </w:pPr>
      <w:r>
        <w:rPr>
          <w:rFonts w:hint="eastAsia" w:ascii="黑体" w:eastAsia="黑体"/>
        </w:rPr>
        <w:t>整改</w:t>
      </w:r>
      <w:r>
        <w:rPr>
          <w:rFonts w:hint="eastAsia" w:ascii="黑体" w:eastAsia="黑体"/>
          <w:lang w:eastAsia="zh-CN"/>
        </w:rPr>
        <w:t>措施</w:t>
      </w:r>
    </w:p>
    <w:p w14:paraId="353564F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cs="宋体"/>
          <w:color w:val="000000"/>
          <w:kern w:val="0"/>
          <w:highlight w:val="none"/>
          <w:lang w:val="en-US" w:eastAsia="zh-CN"/>
        </w:rPr>
      </w:pPr>
      <w:r>
        <w:rPr>
          <w:rFonts w:hint="eastAsia" w:ascii="仿宋_GB2312" w:hAnsi="宋体" w:cs="宋体"/>
          <w:color w:val="000000"/>
          <w:kern w:val="0"/>
          <w:highlight w:val="none"/>
          <w:lang w:val="en-US" w:eastAsia="zh-CN"/>
        </w:rPr>
        <w:t>昆明市五华区卫生健康局需加强对预算绩效管理的组织领导，切实转变思想观念，牢固树立绩效意识，积极履行预算绩效管理主体责任，按照预算和绩效管理一体化要求，结合自身业务特点，深入分析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14:paraId="1F3D6DF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cs="宋体"/>
          <w:color w:val="000000"/>
          <w:kern w:val="0"/>
          <w:highlight w:val="none"/>
          <w:lang w:val="en-US" w:eastAsia="zh-CN"/>
        </w:rPr>
      </w:pPr>
      <w:r>
        <w:rPr>
          <w:rFonts w:hint="eastAsia" w:ascii="仿宋_GB2312" w:hAnsi="宋体" w:cs="宋体"/>
          <w:color w:val="000000"/>
          <w:kern w:val="0"/>
          <w:highlight w:val="none"/>
          <w:lang w:val="en-US" w:eastAsia="zh-CN"/>
        </w:rPr>
        <w:t>提高绩效管理认识，通过设立目标有利于项目决策的制定，有助于项目的实施管理。项目实施前应结合本单位自身情况，设定明确、合理的绩效目标，并将目标量化、细化分解，与预算资金相匹配起来。认真对待绩效自评，针对自身情况对实施项目提出合理的问题及建议，逐步提高绩效管理认识。</w:t>
      </w:r>
    </w:p>
    <w:p w14:paraId="310CC0C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宋体" w:cs="宋体"/>
          <w:color w:val="000000"/>
          <w:kern w:val="0"/>
          <w:highlight w:val="none"/>
          <w:lang w:val="en-US" w:eastAsia="zh-CN"/>
        </w:rPr>
      </w:pPr>
      <w:r>
        <w:rPr>
          <w:rFonts w:hint="eastAsia" w:ascii="仿宋_GB2312" w:hAnsi="宋体" w:cs="宋体"/>
          <w:color w:val="000000"/>
          <w:kern w:val="0"/>
          <w:highlight w:val="none"/>
          <w:lang w:val="en-US" w:eastAsia="zh-CN"/>
        </w:rPr>
        <w:t>昆明市五华区卫生健康局积极参加预算绩效管理培训并结合实际情况，汇总、对比以往年度项目预算，从而科学、有依据的做出下一年的项目资金预算，编制更为合理的预算，优化项目资金预算。</w:t>
      </w:r>
    </w:p>
    <w:p w14:paraId="24BB4E3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highlight w:val="none"/>
          <w:lang w:eastAsia="zh-CN"/>
        </w:rPr>
      </w:pPr>
      <w:r>
        <w:rPr>
          <w:rFonts w:hint="eastAsia" w:ascii="仿宋_GB2312" w:hAnsi="宋体" w:cs="宋体"/>
          <w:color w:val="000000"/>
          <w:kern w:val="0"/>
          <w:highlight w:val="none"/>
          <w:lang w:val="en-US" w:eastAsia="zh-CN"/>
        </w:rPr>
        <w:t>根据项目实施进度及时拨付资金，尽可能减少资金拨付环节和资金拨付时间，避免资金闲置、截留，提高资金使用效率，避</w:t>
      </w:r>
      <w:bookmarkStart w:id="0" w:name="_GoBack"/>
      <w:bookmarkEnd w:id="0"/>
      <w:r>
        <w:rPr>
          <w:rFonts w:hint="eastAsia" w:ascii="仿宋_GB2312" w:hAnsi="宋体" w:cs="宋体"/>
          <w:color w:val="000000"/>
          <w:kern w:val="0"/>
          <w:highlight w:val="none"/>
          <w:lang w:val="en-US" w:eastAsia="zh-CN"/>
        </w:rPr>
        <w:t>免造成财政资源浪费。</w:t>
      </w:r>
    </w:p>
    <w:p w14:paraId="01E6AF5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五、其他需要说明的问题</w:t>
      </w:r>
    </w:p>
    <w:p w14:paraId="69166BA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yellow"/>
        </w:rPr>
      </w:pPr>
    </w:p>
    <w:tbl>
      <w:tblPr>
        <w:tblStyle w:val="7"/>
        <w:tblW w:w="8594"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5208"/>
        <w:gridCol w:w="1068"/>
        <w:gridCol w:w="1344"/>
      </w:tblGrid>
      <w:tr w14:paraId="1863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594" w:type="dxa"/>
            <w:gridSpan w:val="4"/>
            <w:tcBorders>
              <w:top w:val="nil"/>
              <w:left w:val="nil"/>
              <w:bottom w:val="nil"/>
              <w:right w:val="nil"/>
            </w:tcBorders>
            <w:shd w:val="clear" w:color="auto" w:fill="auto"/>
            <w:vAlign w:val="center"/>
          </w:tcPr>
          <w:p w14:paraId="2B4844B7">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0"/>
                <w:szCs w:val="30"/>
                <w:u w:val="none"/>
              </w:rPr>
            </w:pPr>
            <w:r>
              <w:rPr>
                <w:rFonts w:hint="default" w:ascii="方正小标宋_GBK" w:hAnsi="方正小标宋_GBK" w:eastAsia="方正小标宋_GBK" w:cs="方正小标宋_GBK"/>
                <w:b/>
                <w:bCs/>
                <w:i w:val="0"/>
                <w:iCs w:val="0"/>
                <w:color w:val="000000"/>
                <w:kern w:val="0"/>
                <w:sz w:val="30"/>
                <w:szCs w:val="30"/>
                <w:u w:val="none"/>
                <w:lang w:val="en-US" w:eastAsia="zh-CN" w:bidi="ar"/>
              </w:rPr>
              <w:t>五华区卫生健康局2024年度上年结转项目支出明细表</w:t>
            </w:r>
          </w:p>
        </w:tc>
      </w:tr>
      <w:tr w14:paraId="683B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A62C4C">
            <w:pPr>
              <w:jc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序号</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41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A9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DD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1C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9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基本公共卫生项目</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5F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478.09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7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区级项目</w:t>
            </w:r>
          </w:p>
        </w:tc>
      </w:tr>
      <w:tr w14:paraId="2358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5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1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社区基药补助金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D3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105.90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3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区级项目</w:t>
            </w:r>
          </w:p>
        </w:tc>
      </w:tr>
      <w:tr w14:paraId="2523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4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B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退休死亡增资经费</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D4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0.08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其他资金项目</w:t>
            </w:r>
          </w:p>
        </w:tc>
      </w:tr>
      <w:tr w14:paraId="5FBA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5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D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五华区委组织部拨两新组织“15311”经费</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BB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0.46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5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其他资金项目</w:t>
            </w:r>
          </w:p>
        </w:tc>
      </w:tr>
      <w:tr w14:paraId="22E9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3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市卫健委拨基本公卫市组结算资金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08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18.41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7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其他资金项目</w:t>
            </w:r>
          </w:p>
        </w:tc>
      </w:tr>
      <w:tr w14:paraId="32DB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0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B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区教体局拨核酸检测费</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43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5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其他资金项目</w:t>
            </w:r>
          </w:p>
        </w:tc>
      </w:tr>
      <w:tr w14:paraId="107A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8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省人口和卫生健康宣传教育中心拨中医素养监测工作经费</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13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其他资金项目</w:t>
            </w:r>
          </w:p>
        </w:tc>
      </w:tr>
      <w:tr w14:paraId="57B4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D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国家卫健委统计中心拨居民健康与卫生服务监测现场调查费</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67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F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其他资金项目</w:t>
            </w:r>
          </w:p>
        </w:tc>
      </w:tr>
      <w:tr w14:paraId="3B6F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8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6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发改委项目建设经费</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94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6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其他资金项目</w:t>
            </w:r>
          </w:p>
        </w:tc>
      </w:tr>
      <w:tr w14:paraId="46A5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1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D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亲子小屋项目经费</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F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0.63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4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其他资金项目</w:t>
            </w:r>
          </w:p>
        </w:tc>
      </w:tr>
      <w:tr w14:paraId="40B7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B5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    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342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640.86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2B4F">
            <w:pPr>
              <w:rPr>
                <w:rFonts w:hint="eastAsia" w:ascii="宋体" w:hAnsi="宋体" w:eastAsia="宋体" w:cs="宋体"/>
                <w:b/>
                <w:bCs/>
                <w:i w:val="0"/>
                <w:iCs w:val="0"/>
                <w:color w:val="000000"/>
                <w:sz w:val="18"/>
                <w:szCs w:val="18"/>
                <w:u w:val="none"/>
              </w:rPr>
            </w:pPr>
          </w:p>
        </w:tc>
      </w:tr>
    </w:tbl>
    <w:p w14:paraId="27C51D9D">
      <w:pPr>
        <w:pStyle w:val="2"/>
        <w:rPr>
          <w:rFonts w:hint="eastAsia"/>
        </w:rPr>
      </w:pPr>
    </w:p>
    <w:p w14:paraId="79391E82">
      <w:pPr>
        <w:pStyle w:val="2"/>
        <w:keepNext w:val="0"/>
        <w:keepLines w:val="0"/>
        <w:pageBreakBefore w:val="0"/>
        <w:kinsoku/>
        <w:overflowPunct/>
        <w:topLinePunct w:val="0"/>
        <w:autoSpaceDE/>
        <w:autoSpaceDN/>
        <w:bidi w:val="0"/>
        <w:adjustRightInd/>
        <w:snapToGrid/>
        <w:spacing w:line="560" w:lineRule="exact"/>
        <w:ind w:firstLine="632" w:firstLineChars="200"/>
        <w:jc w:val="both"/>
        <w:textAlignment w:val="auto"/>
        <w:rPr>
          <w:rFonts w:hint="eastAsia"/>
        </w:rPr>
      </w:pPr>
    </w:p>
    <w:p w14:paraId="5E957494">
      <w:pPr>
        <w:pStyle w:val="2"/>
        <w:keepNext w:val="0"/>
        <w:keepLines w:val="0"/>
        <w:pageBreakBefore w:val="0"/>
        <w:kinsoku/>
        <w:overflowPunct/>
        <w:topLinePunct w:val="0"/>
        <w:autoSpaceDE/>
        <w:autoSpaceDN/>
        <w:bidi w:val="0"/>
        <w:adjustRightInd/>
        <w:snapToGrid/>
        <w:spacing w:line="560" w:lineRule="exact"/>
        <w:ind w:firstLine="632" w:firstLineChars="200"/>
        <w:jc w:val="both"/>
        <w:textAlignment w:val="auto"/>
        <w:rPr>
          <w:rFonts w:hint="eastAsia"/>
        </w:rPr>
      </w:pPr>
    </w:p>
    <w:p w14:paraId="249DF41C">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昆明市五华区卫生健康局</w:t>
      </w:r>
    </w:p>
    <w:p w14:paraId="7231EE19">
      <w:pPr>
        <w:pStyle w:val="2"/>
        <w:keepNext w:val="0"/>
        <w:keepLines w:val="0"/>
        <w:pageBreakBefore w:val="0"/>
        <w:kinsoku/>
        <w:wordWrap/>
        <w:overflowPunct/>
        <w:topLinePunct w:val="0"/>
        <w:autoSpaceDE/>
        <w:autoSpaceDN/>
        <w:bidi w:val="0"/>
        <w:adjustRightInd/>
        <w:snapToGrid/>
        <w:spacing w:line="560" w:lineRule="exact"/>
        <w:ind w:firstLine="6004" w:firstLineChars="19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25</w:t>
      </w:r>
      <w:r>
        <w:rPr>
          <w:rFonts w:hint="eastAsia" w:ascii="仿宋_GB2312" w:hAnsi="仿宋_GB2312" w:eastAsia="仿宋_GB2312" w:cs="仿宋_GB2312"/>
          <w:color w:val="auto"/>
          <w:sz w:val="32"/>
          <w:szCs w:val="32"/>
          <w:lang w:val="en-US" w:eastAsia="zh-CN"/>
        </w:rPr>
        <w:t>日</w:t>
      </w:r>
    </w:p>
    <w:sectPr>
      <w:footerReference r:id="rId3" w:type="default"/>
      <w:footerReference r:id="rId4" w:type="even"/>
      <w:pgSz w:w="11906" w:h="16838"/>
      <w:pgMar w:top="1213" w:right="1474" w:bottom="1213" w:left="1587" w:header="136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226C581-144A-4CA8-A517-7C45A833A59C}"/>
  </w:font>
  <w:font w:name="黑体">
    <w:panose1 w:val="02010609060101010101"/>
    <w:charset w:val="86"/>
    <w:family w:val="auto"/>
    <w:pitch w:val="default"/>
    <w:sig w:usb0="800002BF" w:usb1="38CF7CFA" w:usb2="00000016" w:usb3="00000000" w:csb0="00040001" w:csb1="00000000"/>
    <w:embedRegular r:id="rId2" w:fontKey="{8CFD4B0F-5849-4C6C-A8F1-00F9163071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8C28480-01E9-40D6-B589-3B0C575E15F0}"/>
  </w:font>
  <w:font w:name="方正小标宋简体">
    <w:panose1 w:val="03000509000000000000"/>
    <w:charset w:val="86"/>
    <w:family w:val="auto"/>
    <w:pitch w:val="default"/>
    <w:sig w:usb0="00000001" w:usb1="080E0000" w:usb2="00000000" w:usb3="00000000" w:csb0="00040000" w:csb1="00000000"/>
    <w:embedRegular r:id="rId4" w:fontKey="{0AD4E343-8543-4B61-9DA9-C95AE4AEA587}"/>
  </w:font>
  <w:font w:name="楷体_GB2312">
    <w:panose1 w:val="02010609030101010101"/>
    <w:charset w:val="86"/>
    <w:family w:val="modern"/>
    <w:pitch w:val="default"/>
    <w:sig w:usb0="00000001" w:usb1="080E0000" w:usb2="00000000" w:usb3="00000000" w:csb0="00040000" w:csb1="00000000"/>
    <w:embedRegular r:id="rId5" w:fontKey="{ACF0F105-5131-4D9D-B326-9EC6592419FE}"/>
  </w:font>
  <w:font w:name="仿宋">
    <w:panose1 w:val="02010609060101010101"/>
    <w:charset w:val="86"/>
    <w:family w:val="modern"/>
    <w:pitch w:val="default"/>
    <w:sig w:usb0="800002BF" w:usb1="38CF7CFA" w:usb2="00000016" w:usb3="00000000" w:csb0="00040001" w:csb1="00000000"/>
    <w:embedRegular r:id="rId6" w:fontKey="{063CC6E0-297B-47D3-950D-37301D6390E3}"/>
  </w:font>
  <w:font w:name="方正小标宋_GBK">
    <w:panose1 w:val="02000000000000000000"/>
    <w:charset w:val="86"/>
    <w:family w:val="auto"/>
    <w:pitch w:val="default"/>
    <w:sig w:usb0="A00002BF" w:usb1="38CF7CFA" w:usb2="00082016" w:usb3="00000000" w:csb0="00040001" w:csb1="00000000"/>
    <w:embedRegular r:id="rId7" w:fontKey="{7E11C6E2-4523-47BB-ABE2-ACEAF95B53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6FB3">
    <w:pPr>
      <w:pStyle w:val="4"/>
      <w:ind w:firstLine="7560" w:firstLineChars="27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80F0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480F0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A669">
    <w:pPr>
      <w:pStyle w:val="4"/>
      <w:ind w:firstLine="280" w:firstLineChars="100"/>
      <w:rPr>
        <w:rFonts w:ascii="宋体" w:hAnsi="宋体" w:eastAsia="宋体"/>
        <w:sz w:val="28"/>
        <w:szCs w:val="28"/>
      </w:rPr>
    </w:pPr>
    <w:r>
      <w:rPr>
        <w:rStyle w:val="9"/>
        <w:rFonts w:ascii="宋体" w:hAnsi="宋体" w:eastAsia="宋体"/>
        <w:sz w:val="28"/>
        <w:szCs w:val="28"/>
      </w:rPr>
      <w:t>—</w:t>
    </w:r>
    <w:r>
      <w:rPr>
        <w:rStyle w:val="9"/>
        <w:rFonts w:ascii="宋体" w:hAnsi="宋体" w:eastAsia="宋体"/>
        <w:sz w:val="28"/>
        <w:szCs w:val="28"/>
      </w:rPr>
      <w:fldChar w:fldCharType="begin"/>
    </w:r>
    <w:r>
      <w:rPr>
        <w:rStyle w:val="9"/>
        <w:rFonts w:ascii="宋体" w:hAnsi="宋体" w:eastAsia="宋体"/>
        <w:sz w:val="28"/>
        <w:szCs w:val="28"/>
      </w:rPr>
      <w:instrText xml:space="preserve"> PAGE </w:instrText>
    </w:r>
    <w:r>
      <w:rPr>
        <w:rStyle w:val="9"/>
        <w:rFonts w:ascii="宋体" w:hAnsi="宋体" w:eastAsia="宋体"/>
        <w:sz w:val="28"/>
        <w:szCs w:val="28"/>
      </w:rPr>
      <w:fldChar w:fldCharType="separate"/>
    </w:r>
    <w:r>
      <w:rPr>
        <w:rStyle w:val="9"/>
        <w:rFonts w:ascii="宋体" w:hAnsi="宋体" w:eastAsia="宋体"/>
        <w:sz w:val="28"/>
        <w:szCs w:val="28"/>
      </w:rPr>
      <w:t>16</w:t>
    </w:r>
    <w:r>
      <w:rPr>
        <w:rStyle w:val="9"/>
        <w:rFonts w:ascii="宋体" w:hAnsi="宋体" w:eastAsia="宋体"/>
        <w:sz w:val="28"/>
        <w:szCs w:val="28"/>
      </w:rPr>
      <w:fldChar w:fldCharType="end"/>
    </w:r>
    <w:r>
      <w:rPr>
        <w:rStyle w:val="9"/>
        <w:rFonts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0617B"/>
    <w:multiLevelType w:val="singleLevel"/>
    <w:tmpl w:val="8BC0617B"/>
    <w:lvl w:ilvl="0" w:tentative="0">
      <w:start w:val="2"/>
      <w:numFmt w:val="chineseCounting"/>
      <w:suff w:val="nothing"/>
      <w:lvlText w:val="（%1）"/>
      <w:lvlJc w:val="left"/>
      <w:rPr>
        <w:rFonts w:hint="eastAsia"/>
      </w:rPr>
    </w:lvl>
  </w:abstractNum>
  <w:abstractNum w:abstractNumId="1">
    <w:nsid w:val="045E81A2"/>
    <w:multiLevelType w:val="singleLevel"/>
    <w:tmpl w:val="045E81A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TBjMTJlMDljNjY4OWU3N2VjZjNmZmFhZTgxOGEifQ=="/>
  </w:docVars>
  <w:rsids>
    <w:rsidRoot w:val="0D080DA5"/>
    <w:rsid w:val="03C020B7"/>
    <w:rsid w:val="04A647CA"/>
    <w:rsid w:val="04CE5ACF"/>
    <w:rsid w:val="0A47094B"/>
    <w:rsid w:val="0B5547C7"/>
    <w:rsid w:val="0C62191E"/>
    <w:rsid w:val="0D080DA5"/>
    <w:rsid w:val="0D2C5A88"/>
    <w:rsid w:val="0F7A0D2D"/>
    <w:rsid w:val="0F841BAC"/>
    <w:rsid w:val="11D503B1"/>
    <w:rsid w:val="144522E7"/>
    <w:rsid w:val="1D7B64C0"/>
    <w:rsid w:val="27403FFF"/>
    <w:rsid w:val="280671AA"/>
    <w:rsid w:val="2EC92D7A"/>
    <w:rsid w:val="2EFE6E2D"/>
    <w:rsid w:val="309B06AC"/>
    <w:rsid w:val="344A39EF"/>
    <w:rsid w:val="37C335E4"/>
    <w:rsid w:val="5778376F"/>
    <w:rsid w:val="59975605"/>
    <w:rsid w:val="5A134327"/>
    <w:rsid w:val="5A802C08"/>
    <w:rsid w:val="693B58A7"/>
    <w:rsid w:val="6B0E12FA"/>
    <w:rsid w:val="6C3C05E0"/>
    <w:rsid w:val="77B479AF"/>
    <w:rsid w:val="7DE844FD"/>
    <w:rsid w:val="7E1150D6"/>
    <w:rsid w:val="7F6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line="576" w:lineRule="auto"/>
      <w:outlineLvl w:val="0"/>
    </w:pPr>
    <w:rPr>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6</Pages>
  <Words>2787</Words>
  <Characters>3035</Characters>
  <Lines>0</Lines>
  <Paragraphs>0</Paragraphs>
  <TotalTime>62</TotalTime>
  <ScaleCrop>false</ScaleCrop>
  <LinksUpToDate>false</LinksUpToDate>
  <CharactersWithSpaces>3053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2024-01-15T06:00:00Z</dcterms:created>
  <dc:creator>尤粉华</dc:creator>
  <cp:lastModifiedBy>陶霁</cp:lastModifiedBy>
  <cp:lastPrinted>2025-08-18T03:12:10Z</cp:lastPrinted>
  <dcterms:modified xsi:type="dcterms:W3CDTF">2025-08-18T03:12:14Z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C76FC2350B57463DAE07CD080F366565_13</vt:lpwstr>
  </property>
  <property fmtid="{D5CDD505-2E9C-101B-9397-08002B2CF9AE}" pid="4" name="KSOTemplateDocerSaveRecord">
    <vt:lpwstr>eyJoZGlkIjoiZTBjOGM4ODhhZjQ1ZWU0MGRjNTViYmI2ZjZmMjFiYjQiLCJ1c2VySWQiOiIxNTIxMzc1OTA3In0=</vt:lpwstr>
  </property>
</Properties>
</file>