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5917" w:type="pct"/>
        <w:tblInd w:w="-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38"/>
        <w:gridCol w:w="1314"/>
        <w:gridCol w:w="6027"/>
      </w:tblGrid>
      <w:tr w:rsidR="001D1972" w:rsidTr="00961603">
        <w:trPr>
          <w:trHeight w:val="680"/>
        </w:trPr>
        <w:tc>
          <w:tcPr>
            <w:tcW w:w="620" w:type="pct"/>
            <w:vAlign w:val="center"/>
          </w:tcPr>
          <w:p w:rsidR="001D1972" w:rsidRDefault="001D1972" w:rsidP="00961603">
            <w:pPr>
              <w:ind w:firstLine="482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序号</w:t>
            </w:r>
          </w:p>
        </w:tc>
        <w:tc>
          <w:tcPr>
            <w:tcW w:w="632" w:type="pct"/>
            <w:vAlign w:val="center"/>
          </w:tcPr>
          <w:p w:rsidR="001D1972" w:rsidRDefault="001D1972" w:rsidP="001D1972">
            <w:pPr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评审项目</w:t>
            </w:r>
          </w:p>
        </w:tc>
        <w:tc>
          <w:tcPr>
            <w:tcW w:w="671" w:type="pct"/>
            <w:vAlign w:val="center"/>
          </w:tcPr>
          <w:p w:rsidR="001D1972" w:rsidRDefault="001D1972" w:rsidP="001D1972">
            <w:pPr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满分分值</w:t>
            </w:r>
          </w:p>
        </w:tc>
        <w:tc>
          <w:tcPr>
            <w:tcW w:w="3078" w:type="pct"/>
            <w:vAlign w:val="center"/>
          </w:tcPr>
          <w:p w:rsidR="001D1972" w:rsidRDefault="001D1972" w:rsidP="00961603">
            <w:pPr>
              <w:ind w:firstLine="482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评分标准</w:t>
            </w:r>
          </w:p>
        </w:tc>
      </w:tr>
      <w:tr w:rsidR="001D1972" w:rsidTr="00961603">
        <w:trPr>
          <w:trHeight w:val="680"/>
        </w:trPr>
        <w:tc>
          <w:tcPr>
            <w:tcW w:w="620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632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安全管理方案（含应急处置预案）</w:t>
            </w:r>
          </w:p>
        </w:tc>
        <w:tc>
          <w:tcPr>
            <w:tcW w:w="671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</w:rPr>
              <w:t>分</w:t>
            </w:r>
          </w:p>
        </w:tc>
        <w:tc>
          <w:tcPr>
            <w:tcW w:w="3078" w:type="pct"/>
            <w:vAlign w:val="center"/>
          </w:tcPr>
          <w:p w:rsidR="001D1972" w:rsidRDefault="001D1972" w:rsidP="00961603">
            <w:pPr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第一档（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15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-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11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分）</w:t>
            </w:r>
            <w:r>
              <w:rPr>
                <w:rFonts w:asciiTheme="minorEastAsia" w:hAnsiTheme="minorEastAsia" w:cstheme="minorEastAsia" w:hint="eastAsia"/>
                <w:sz w:val="24"/>
              </w:rPr>
              <w:t>：投标人现场安全管理方案编制完整、科学、合理，对项目针对性、可行性强的。</w:t>
            </w:r>
          </w:p>
          <w:p w:rsidR="001D1972" w:rsidRDefault="001D1972" w:rsidP="00961603">
            <w:pPr>
              <w:spacing w:line="360" w:lineRule="auto"/>
              <w:ind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第二档（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-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6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分）</w:t>
            </w:r>
            <w:r>
              <w:rPr>
                <w:rFonts w:asciiTheme="minorEastAsia" w:hAnsiTheme="minorEastAsia" w:cstheme="minorEastAsia" w:hint="eastAsia"/>
                <w:sz w:val="24"/>
              </w:rPr>
              <w:t>：投标人现场安全管理方案编制完整、科学、合理，对项目有一定针对性和可行性。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第三档（</w:t>
            </w:r>
            <w:r>
              <w:rPr>
                <w:rFonts w:asciiTheme="minorEastAsia" w:hAnsiTheme="minorEastAsia" w:cstheme="minorEastAsia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</w:rPr>
              <w:t>-1分）:投标人现场安全管理方案编制基本完整。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无安全管理方案的，不得分。</w:t>
            </w:r>
          </w:p>
        </w:tc>
      </w:tr>
      <w:tr w:rsidR="001D1972" w:rsidTr="00961603">
        <w:trPr>
          <w:trHeight w:val="289"/>
        </w:trPr>
        <w:tc>
          <w:tcPr>
            <w:tcW w:w="620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632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服务方案</w:t>
            </w:r>
          </w:p>
        </w:tc>
        <w:tc>
          <w:tcPr>
            <w:tcW w:w="671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35分</w:t>
            </w:r>
          </w:p>
        </w:tc>
        <w:tc>
          <w:tcPr>
            <w:tcW w:w="3078" w:type="pct"/>
            <w:vAlign w:val="center"/>
          </w:tcPr>
          <w:p w:rsidR="001D1972" w:rsidRDefault="001D1972" w:rsidP="00961603">
            <w:pPr>
              <w:adjustRightInd w:val="0"/>
              <w:spacing w:line="300" w:lineRule="auto"/>
              <w:ind w:firstLine="482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1.内容完整性评审（满分10分）</w:t>
            </w:r>
          </w:p>
          <w:p w:rsidR="001D1972" w:rsidRDefault="001D1972" w:rsidP="00961603">
            <w:pPr>
              <w:adjustRightInd w:val="0"/>
              <w:spacing w:line="300" w:lineRule="auto"/>
              <w:ind w:firstLine="480"/>
              <w:rPr>
                <w:rFonts w:asciiTheme="minorEastAsia" w:hAnsiTheme="minorEastAsia" w:cstheme="minorEastAsia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服务方案响应内容包括但不限于（1）活动方案设计（展现创意与专业性）；（2）活动执行与保障（展现可靠性与细节把控）；（3）定制化服务（价值优势与效果承诺）；（4）应急预案等，满足以上4项内容，得6分，</w:t>
            </w:r>
            <w:r>
              <w:rPr>
                <w:rFonts w:asciiTheme="minorEastAsia" w:hAnsiTheme="minorEastAsia" w:cstheme="minorEastAsia" w:hint="eastAsia"/>
                <w:sz w:val="24"/>
                <w:lang w:bidi="ar"/>
              </w:rPr>
              <w:t>上述4项内容均有的，每增加一项其他内容的加1分，加满为止。</w:t>
            </w:r>
          </w:p>
          <w:p w:rsidR="001D1972" w:rsidRDefault="001D1972" w:rsidP="00961603">
            <w:pPr>
              <w:adjustRightInd w:val="0"/>
              <w:spacing w:line="300" w:lineRule="auto"/>
              <w:ind w:firstLine="482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2.内容评审（满分25分）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第一档（25-17分）：服务方案完整、合理、可行，服务内容清晰准确，流程规范、严谨，工作措施具体且有针对性，工作部署全面，能够实现招标文件要求的各项要求；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第二档（16-8分）：服务方案完整、合理、可行，服务内容基本准确，流程规范、较严谨，工作措施有一定针对性，工作部署基本合理，基本实现招标文件要求的各项要求；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第三档（7-1分）：服务方案完整、基本合理，内容基本准确。</w:t>
            </w:r>
          </w:p>
        </w:tc>
      </w:tr>
      <w:tr w:rsidR="001D1972" w:rsidTr="00961603">
        <w:trPr>
          <w:trHeight w:val="1544"/>
        </w:trPr>
        <w:tc>
          <w:tcPr>
            <w:tcW w:w="620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632" w:type="pct"/>
            <w:vAlign w:val="center"/>
          </w:tcPr>
          <w:p w:rsidR="001D1972" w:rsidRDefault="001D1972" w:rsidP="00961603">
            <w:pPr>
              <w:spacing w:line="400" w:lineRule="exact"/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项目管理人员配置</w:t>
            </w:r>
          </w:p>
        </w:tc>
        <w:tc>
          <w:tcPr>
            <w:tcW w:w="671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10分</w:t>
            </w:r>
          </w:p>
        </w:tc>
        <w:tc>
          <w:tcPr>
            <w:tcW w:w="3078" w:type="pct"/>
            <w:vAlign w:val="center"/>
          </w:tcPr>
          <w:p w:rsidR="001D1972" w:rsidRDefault="001D1972" w:rsidP="00961603">
            <w:pPr>
              <w:adjustRightInd w:val="0"/>
              <w:spacing w:line="300" w:lineRule="auto"/>
              <w:ind w:firstLine="482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1.项目管理团队信息（满分5分）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提供《项目管理团队配置表》和《项目负责人简历表》，并且项目管理人员至少包含：项目总监1名，营销宣传活动策划师1名，项目执行负责人1名，活动现场工作人员4人，得5分；未提供或提供项目管理人员不满足要求的，不得分，且不再进行第2项和第3项评审，项目管理人员配置评审按0分计入。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2.项目管理团队综合实力（满分5分）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第一档（5分）：项目负责人和项目实施团队人员专业</w:t>
            </w: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配置合理，项目负责人具有项目实施经验，项目人员整体实力较强；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第二档（4-3分）：项目负责人和项目实施团队人员专业配置基本合理，项目负责人具有项目实施经验，项目人员有一定整体实力；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第三档（2-1分）：项目负责人和项目实施团队人员专业配置基本合理，人员整体实力较弱。</w:t>
            </w:r>
          </w:p>
        </w:tc>
      </w:tr>
      <w:tr w:rsidR="001D1972" w:rsidTr="00961603">
        <w:trPr>
          <w:trHeight w:val="1544"/>
        </w:trPr>
        <w:tc>
          <w:tcPr>
            <w:tcW w:w="620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4</w:t>
            </w:r>
          </w:p>
        </w:tc>
        <w:tc>
          <w:tcPr>
            <w:tcW w:w="632" w:type="pct"/>
            <w:vAlign w:val="center"/>
          </w:tcPr>
          <w:p w:rsidR="001D1972" w:rsidRDefault="001D1972" w:rsidP="00961603">
            <w:pPr>
              <w:spacing w:line="400" w:lineRule="exact"/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进度计划、服务质量承诺及保障措施</w:t>
            </w:r>
          </w:p>
        </w:tc>
        <w:tc>
          <w:tcPr>
            <w:tcW w:w="671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20分</w:t>
            </w:r>
          </w:p>
        </w:tc>
        <w:tc>
          <w:tcPr>
            <w:tcW w:w="3078" w:type="pct"/>
            <w:vAlign w:val="center"/>
          </w:tcPr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评标委员会根据投标人的进度计划、服务质量承诺和保障措施进行比较评审并打分。</w:t>
            </w:r>
          </w:p>
          <w:p w:rsidR="001D1972" w:rsidRDefault="001D1972" w:rsidP="00961603">
            <w:pPr>
              <w:adjustRightInd w:val="0"/>
              <w:spacing w:line="360" w:lineRule="auto"/>
              <w:ind w:firstLine="482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1.内容完整性评审（满分5分）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内容包含进度计划、服务质量承诺和保障措施的，得5分，每缺少一项内容，扣2分，分数扣完为止。若投标人响应内容未包含上述3项全部内容的，则不再进行第2项内容评审，第2项内容评审按0分计入。</w:t>
            </w:r>
          </w:p>
          <w:p w:rsidR="001D1972" w:rsidRDefault="001D1972" w:rsidP="00961603">
            <w:pPr>
              <w:adjustRightInd w:val="0"/>
              <w:spacing w:line="360" w:lineRule="auto"/>
              <w:ind w:firstLine="482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2.内容评审（满分15分）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第一档（15-11分）：进度计划详细合理，服务质量承诺及保障措施内容全面、措施合理、针对性强，完全满足项目需求；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第二档（10-6分）：进度计划合理，服务质量承诺及保障措施内容基本完整、措施基本合理、有一定针对性，可以满足项目需求；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第三档（5-1分）：进度计划、服务质量承诺及保障措施内容基本完整，基本满足项目需求；</w:t>
            </w:r>
          </w:p>
        </w:tc>
        <w:bookmarkStart w:id="0" w:name="_GoBack"/>
        <w:bookmarkEnd w:id="0"/>
      </w:tr>
      <w:tr w:rsidR="001D1972" w:rsidTr="00961603">
        <w:trPr>
          <w:trHeight w:val="1114"/>
        </w:trPr>
        <w:tc>
          <w:tcPr>
            <w:tcW w:w="620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632" w:type="pct"/>
            <w:vAlign w:val="center"/>
          </w:tcPr>
          <w:p w:rsidR="001D1972" w:rsidRDefault="001D1972" w:rsidP="00961603">
            <w:pPr>
              <w:spacing w:line="400" w:lineRule="exact"/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现场述标</w:t>
            </w:r>
          </w:p>
        </w:tc>
        <w:tc>
          <w:tcPr>
            <w:tcW w:w="671" w:type="pct"/>
            <w:vAlign w:val="center"/>
          </w:tcPr>
          <w:p w:rsidR="001D1972" w:rsidRDefault="001D1972" w:rsidP="00961603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20分</w:t>
            </w:r>
          </w:p>
        </w:tc>
        <w:tc>
          <w:tcPr>
            <w:tcW w:w="3078" w:type="pct"/>
            <w:vAlign w:val="center"/>
          </w:tcPr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第一档（20-14分）：针对本次活动政策及情况充分了解，现场述标逻辑清晰，描述清楚；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第二档（13-7分）:针对本次活动政策及情况一定了解，现场述标有基本逻辑，描述较为清楚；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第三档（6-1分）:针对本次活动政策及情况=不了解，现场述标有无逻辑，描述不清楚。</w:t>
            </w:r>
          </w:p>
          <w:p w:rsidR="001D1972" w:rsidRDefault="001D1972" w:rsidP="00961603">
            <w:pPr>
              <w:spacing w:line="300" w:lineRule="auto"/>
              <w:ind w:firstLine="480"/>
              <w:contextualSpacing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未进行现场述标的，不得分。</w:t>
            </w:r>
          </w:p>
        </w:tc>
      </w:tr>
    </w:tbl>
    <w:p w:rsidR="00402394" w:rsidRDefault="00402394" w:rsidP="00DB5C02">
      <w:pPr>
        <w:ind w:firstLine="640"/>
      </w:pPr>
    </w:p>
    <w:sectPr w:rsidR="0040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72"/>
    <w:rsid w:val="00065521"/>
    <w:rsid w:val="001D1972"/>
    <w:rsid w:val="00402394"/>
    <w:rsid w:val="00637E70"/>
    <w:rsid w:val="00D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3DE7"/>
  <w15:chartTrackingRefBased/>
  <w15:docId w15:val="{3B21F8BF-6F96-4476-ADA0-26FF780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72"/>
    <w:pPr>
      <w:widowControl w:val="0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创业促进科</dc:creator>
  <cp:keywords/>
  <dc:description/>
  <cp:lastModifiedBy>创业促进科</cp:lastModifiedBy>
  <cp:revision>1</cp:revision>
  <dcterms:created xsi:type="dcterms:W3CDTF">2025-08-14T09:55:00Z</dcterms:created>
  <dcterms:modified xsi:type="dcterms:W3CDTF">2025-08-14T09:59:00Z</dcterms:modified>
</cp:coreProperties>
</file>