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pPr>
              <w:keepNext w:val="0"/>
              <w:keepLines w:val="0"/>
              <w:pageBreakBefore w:val="0"/>
              <w:widowControl w:val="0"/>
              <w:tabs>
                <w:tab w:val="left" w:pos="611"/>
              </w:tabs>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lang w:eastAsia="zh-CN"/>
              </w:rPr>
            </w:pPr>
            <w:r>
              <w:rPr>
                <w:rFonts w:hint="eastAsia" w:ascii="宋体" w:hAnsi="宋体"/>
                <w:sz w:val="18"/>
                <w:szCs w:val="18"/>
                <w:lang w:eastAsia="zh-CN"/>
              </w:rPr>
              <w:tab/>
            </w:r>
            <w:r>
              <w:rPr>
                <w:rFonts w:hint="eastAsia" w:ascii="宋体" w:hAnsi="宋体"/>
                <w:sz w:val="18"/>
                <w:szCs w:val="18"/>
                <w:lang w:eastAsia="zh-CN"/>
              </w:rPr>
              <w:t>昆财社基〔2024〕5号2024年市属改制单位退休人员养老金补差资金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昆明市五华区社会保险中心</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昆明市五华区社会保险中心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戴敏茸</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63585879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 xml:space="preserve">经常性项目（ </w:t>
            </w:r>
            <w:r>
              <w:rPr>
                <w:rFonts w:hint="default" w:ascii="Arial" w:hAnsi="Arial" w:eastAsia="宋体" w:cs="Arial"/>
                <w:sz w:val="18"/>
                <w:szCs w:val="18"/>
                <w:highlight w:val="none"/>
              </w:rPr>
              <w:t>√</w:t>
            </w:r>
            <w:r>
              <w:rPr>
                <w:rFonts w:hint="eastAsia" w:ascii="宋体" w:hAnsi="宋体" w:eastAsia="宋体"/>
                <w:sz w:val="18"/>
                <w:szCs w:val="18"/>
                <w:highlight w:val="none"/>
              </w:rPr>
              <w:t xml:space="preserve">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昆财社基〔2024〕5号2024年市属改制单位退休人员养老金补差资金</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850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850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809.03</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850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850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809.03</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850</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850</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809.03</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pPr>
              <w:spacing w:line="300" w:lineRule="exact"/>
              <w:ind w:left="0" w:leftChars="0" w:right="0" w:rightChars="0" w:firstLine="0" w:firstLineChars="0"/>
              <w:jc w:val="center"/>
              <w:rPr>
                <w:rFonts w:hint="eastAsia"/>
              </w:rPr>
            </w:pPr>
          </w:p>
          <w:p>
            <w:pPr>
              <w:pStyle w:val="6"/>
              <w:rPr>
                <w:rFonts w:hint="eastAsia" w:ascii="宋体" w:hAnsi="宋体" w:eastAsia="宋体"/>
                <w:sz w:val="18"/>
                <w:szCs w:val="18"/>
              </w:rPr>
            </w:pPr>
            <w:r>
              <w:rPr>
                <w:rFonts w:hint="eastAsia" w:ascii="宋体" w:hAnsi="宋体" w:eastAsia="宋体"/>
                <w:sz w:val="18"/>
                <w:szCs w:val="18"/>
              </w:rPr>
              <w:t>保障2024年市属改制单位退休人员养老金差额补助资金。</w:t>
            </w:r>
          </w:p>
          <w:p>
            <w:pPr>
              <w:pStyle w:val="6"/>
              <w:ind w:left="0" w:leftChars="0" w:firstLine="0" w:firstLineChars="0"/>
              <w:rPr>
                <w:rFonts w:hint="eastAsia" w:ascii="宋体" w:hAnsi="宋体" w:eastAsia="宋体"/>
                <w:sz w:val="18"/>
                <w:szCs w:val="18"/>
              </w:rPr>
            </w:pP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保障了2024年市属改制单位退休人员养老金差额补助资金。该项预算金额8500000.00元，实际支付8090298.89元，各项指标已经完成，执行率小于100%的原因是使用2023年结转资金。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rPr>
            </w:pPr>
            <w:r>
              <w:rPr>
                <w:rFonts w:hint="eastAsia" w:ascii="宋体" w:hAnsi="宋体"/>
                <w:color w:val="000000"/>
                <w:sz w:val="18"/>
                <w:szCs w:val="18"/>
                <w:lang w:val="en-US" w:eastAsia="zh-CN"/>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rPr>
            </w:pPr>
            <w:r>
              <w:rPr>
                <w:rFonts w:hint="eastAsia" w:ascii="宋体" w:hAnsi="宋体"/>
                <w:sz w:val="18"/>
                <w:szCs w:val="18"/>
                <w:lang w:val="en-US" w:eastAsia="zh-CN"/>
              </w:rPr>
              <w:t>15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享受待遇人数</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sz w:val="18"/>
                <w:szCs w:val="18"/>
                <w:lang w:val="en-US" w:eastAsia="zh-CN"/>
              </w:rPr>
              <w:t>15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default" w:ascii="宋体" w:hAnsi="宋体" w:eastAsia="宋体"/>
                <w:sz w:val="18"/>
                <w:szCs w:val="18"/>
                <w:lang w:val="en-US"/>
              </w:rPr>
            </w:pPr>
            <w:r>
              <w:rPr>
                <w:rFonts w:hint="eastAsia" w:ascii="宋体" w:hAnsi="宋体"/>
                <w:sz w:val="18"/>
                <w:szCs w:val="18"/>
                <w:lang w:val="en-US" w:eastAsia="zh-CN"/>
              </w:rPr>
              <w:t>15</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符合条件人员待遇按时发放率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r>
              <w:rPr>
                <w:rFonts w:hint="eastAsia" w:ascii="宋体" w:hAnsi="宋体"/>
                <w:sz w:val="18"/>
                <w:szCs w:val="18"/>
                <w:lang w:val="en-US" w:eastAsia="zh-CN"/>
              </w:rPr>
              <w:t>15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r>
              <w:rPr>
                <w:rFonts w:hint="eastAsia" w:ascii="宋体" w:hAnsi="宋体"/>
                <w:sz w:val="18"/>
                <w:szCs w:val="18"/>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rPr>
            </w:pPr>
            <w:r>
              <w:rPr>
                <w:rFonts w:hint="eastAsia" w:ascii="宋体" w:hAnsi="宋体"/>
                <w:sz w:val="18"/>
                <w:szCs w:val="18"/>
                <w:lang w:val="en-US" w:eastAsia="zh-CN"/>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s="Times New Roman"/>
                <w:color w:val="000000"/>
                <w:kern w:val="2"/>
                <w:sz w:val="18"/>
                <w:szCs w:val="18"/>
                <w:lang w:val="en-US" w:eastAsia="zh-CN" w:bidi="ar-SA"/>
              </w:rPr>
              <w:t>应发尽发率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6"/>
              <w:ind w:left="0" w:leftChars="0" w:firstLine="0" w:firstLineChars="0"/>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戴敏茸</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主任</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孙斌</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副主任</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蒋立阳</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书记</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杨璐西</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科长</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p/>
    <w:p>
      <w:pPr>
        <w:pStyle w:val="2"/>
      </w:pPr>
    </w:p>
    <w:p/>
    <w:p>
      <w:pPr>
        <w:pStyle w:val="2"/>
      </w:pPr>
    </w:p>
    <w:p/>
    <w:p>
      <w:pPr>
        <w:pStyle w:val="2"/>
      </w:pPr>
    </w:p>
    <w:p/>
    <w:p>
      <w:pPr>
        <w:pStyle w:val="2"/>
      </w:pPr>
    </w:p>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一、基本情况</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Times New Roman" w:eastAsia="仿宋_GB2312" w:cs="Times New Roman"/>
          <w:b w:val="0"/>
          <w:color w:val="auto"/>
          <w:kern w:val="0"/>
          <w:sz w:val="32"/>
          <w:szCs w:val="20"/>
          <w:highlight w:val="none"/>
          <w:lang w:val="en-US" w:eastAsia="zh-CN" w:bidi="ar-SA"/>
        </w:rPr>
      </w:pPr>
      <w:r>
        <w:rPr>
          <w:rFonts w:hint="eastAsia" w:ascii="仿宋_GB2312" w:hAnsi="仿宋_GB2312" w:eastAsia="仿宋_GB2312" w:cs="仿宋_GB2312"/>
          <w:color w:val="auto"/>
          <w:sz w:val="32"/>
          <w:szCs w:val="32"/>
          <w:highlight w:val="none"/>
        </w:rPr>
        <w:t>（一）项目概况</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Times New Roman" w:eastAsia="仿宋_GB2312" w:cs="Times New Roman"/>
          <w:b w:val="0"/>
          <w:color w:val="auto"/>
          <w:kern w:val="0"/>
          <w:sz w:val="32"/>
          <w:szCs w:val="20"/>
          <w:highlight w:val="none"/>
          <w:lang w:val="en-US" w:eastAsia="zh-CN" w:bidi="ar-SA"/>
        </w:rPr>
        <w:t>项目立项依据</w:t>
      </w:r>
    </w:p>
    <w:p>
      <w:pPr>
        <w:keepNext w:val="0"/>
        <w:keepLines w:val="0"/>
        <w:pageBreakBefore w:val="0"/>
        <w:widowControl/>
        <w:kinsoku/>
        <w:wordWrap/>
        <w:overflowPunct/>
        <w:topLinePunct w:val="0"/>
        <w:autoSpaceDE/>
        <w:autoSpaceDN/>
        <w:bidi w:val="0"/>
        <w:adjustRightInd/>
        <w:snapToGrid/>
        <w:spacing w:beforeAutospacing="0" w:after="0" w:line="360" w:lineRule="auto"/>
        <w:ind w:left="0" w:right="0" w:firstLine="640" w:firstLineChars="200"/>
        <w:textAlignment w:val="auto"/>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sz w:val="32"/>
          <w:szCs w:val="32"/>
          <w:highlight w:val="none"/>
          <w:lang w:eastAsia="zh-CN"/>
        </w:rPr>
        <w:t>依据</w:t>
      </w:r>
      <w:r>
        <w:rPr>
          <w:rFonts w:hint="eastAsia" w:ascii="仿宋_GB2312" w:hAnsi="仿宋_GB2312" w:eastAsia="仿宋_GB2312" w:cs="仿宋_GB2312"/>
          <w:sz w:val="32"/>
          <w:szCs w:val="32"/>
          <w:highlight w:val="none"/>
        </w:rPr>
        <w:t>昆财社基〔2024〕5号</w:t>
      </w:r>
      <w:r>
        <w:rPr>
          <w:rFonts w:hint="eastAsia" w:ascii="仿宋_GB2312" w:hAnsi="仿宋_GB2312" w:eastAsia="仿宋_GB2312" w:cs="仿宋_GB2312"/>
          <w:sz w:val="32"/>
          <w:szCs w:val="32"/>
          <w:highlight w:val="none"/>
          <w:lang w:eastAsia="zh-CN"/>
        </w:rPr>
        <w:t>昆明市财政局</w:t>
      </w:r>
      <w:r>
        <w:rPr>
          <w:rFonts w:hint="eastAsia" w:ascii="仿宋_GB2312" w:hAnsi="仿宋_GB2312" w:eastAsia="仿宋_GB2312" w:cs="仿宋_GB2312"/>
          <w:sz w:val="32"/>
          <w:szCs w:val="32"/>
          <w:highlight w:val="none"/>
          <w:lang w:val="en-US" w:eastAsia="zh-CN"/>
        </w:rPr>
        <w:t xml:space="preserve"> 昆明市人力资源和社会保障局《</w:t>
      </w:r>
      <w:r>
        <w:rPr>
          <w:rFonts w:hint="eastAsia" w:ascii="仿宋_GB2312" w:hAnsi="仿宋_GB2312" w:eastAsia="仿宋_GB2312" w:cs="仿宋_GB2312"/>
          <w:sz w:val="32"/>
          <w:szCs w:val="32"/>
          <w:highlight w:val="none"/>
          <w:lang w:eastAsia="zh-CN"/>
        </w:rPr>
        <w:t>关于下达</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年市属改制单位等四类退休人员养老待遇或生活补助资金的通知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color w:val="auto"/>
          <w:kern w:val="0"/>
          <w:sz w:val="32"/>
          <w:szCs w:val="32"/>
          <w:highlight w:val="none"/>
          <w:lang w:val="en-US" w:eastAsia="zh-CN" w:bidi="ar-SA"/>
        </w:rPr>
        <w:t>五华区社保中心2024年工作总结及2024年工作计划、五</w:t>
      </w:r>
      <w:r>
        <w:rPr>
          <w:rFonts w:hint="eastAsia" w:ascii="仿宋_GB2312" w:hAnsi="仿宋_GB2312" w:eastAsia="仿宋_GB2312" w:cs="仿宋_GB2312"/>
          <w:b w:val="0"/>
          <w:kern w:val="0"/>
          <w:sz w:val="32"/>
          <w:szCs w:val="32"/>
          <w:highlight w:val="none"/>
          <w:lang w:val="en-US" w:eastAsia="zh-CN" w:bidi="ar-SA"/>
        </w:rPr>
        <w:t>华区人力资源和社会保障事业发展“十四五”规划课题报告、</w:t>
      </w:r>
      <w:r>
        <w:rPr>
          <w:rFonts w:hint="eastAsia" w:ascii="仿宋_GB2312" w:hAnsi="仿宋_GB2312" w:eastAsia="仿宋_GB2312" w:cs="仿宋_GB2312"/>
          <w:b w:val="0"/>
          <w:color w:val="auto"/>
          <w:kern w:val="0"/>
          <w:sz w:val="32"/>
          <w:szCs w:val="32"/>
          <w:highlight w:val="none"/>
          <w:lang w:val="en-US" w:eastAsia="zh-CN" w:bidi="ar-SA"/>
        </w:rPr>
        <w:t>五华区社保中心</w:t>
      </w:r>
      <w:r>
        <w:rPr>
          <w:rFonts w:hint="eastAsia" w:ascii="仿宋_GB2312" w:hAnsi="仿宋_GB2312" w:eastAsia="仿宋_GB2312" w:cs="仿宋_GB2312"/>
          <w:b w:val="0"/>
          <w:kern w:val="0"/>
          <w:sz w:val="32"/>
          <w:szCs w:val="32"/>
          <w:highlight w:val="none"/>
          <w:lang w:val="en-US" w:eastAsia="zh-CN" w:bidi="ar-SA"/>
        </w:rPr>
        <w:t>财务管理制度、五华区社保中心三定方案等文件。</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项目绩效目标</w:t>
      </w:r>
    </w:p>
    <w:p>
      <w:pPr>
        <w:pStyle w:val="9"/>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color w:val="0000FF"/>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保障2024年市属改制单位退休人员养老金差额补助资金，符合待遇领取资格条件人员待遇</w:t>
      </w:r>
      <w:r>
        <w:rPr>
          <w:rFonts w:hint="eastAsia" w:ascii="仿宋_GB2312" w:hAnsi="仿宋_GB2312" w:eastAsia="仿宋_GB2312" w:cs="仿宋_GB2312"/>
          <w:color w:val="auto"/>
          <w:kern w:val="2"/>
          <w:sz w:val="32"/>
          <w:szCs w:val="32"/>
          <w:highlight w:val="none"/>
          <w:lang w:val="en-US" w:eastAsia="zh-CN" w:bidi="ar-SA"/>
        </w:rPr>
        <w:t>按月足额、及时地发放至退休人员，保障人员的合法权益，积极维护社会稳定。</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项目组织管理情况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1.项目组织保障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为加强项目管理，特成立项目领导小组如下：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组  长：戴敏茸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成  员：蒋立阳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项目领导小组负责组织协调、督促检查，实施对考核工作的统筹安排，主要职责如下：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（1）负责预算编审。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（2）负责任务目标分解，确保预算绩效考核目标任务的完成，做好对项目日常督促检查、跟踪及绩效考核工作。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（3）负责绩效管理台账资料整编汇总，相关资料（包括项目绩效目标申报表、项目绩效目标跟踪表、项目绩效自评报告、绩效发现问题的整改报告等）的报送工作。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（4）负责项目工作的监督检查，并针对绩效跟踪及评价中发现的问题，及时整改落实措施。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2.项目单位内控机制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项目有规范的内控机制，项目实施单位严格按照《五华区社保局内部控制制度》，《五华区社保局“三重一大”决策制度》，《五华区社保局财务制度》的规定要求实施项目，项目有实施工作方案，有项目实施细化明细，具有可量化，可说明，充分体现项目效果的项目实施绩效指标，以及有描述清晰并可追溯的绩效指标获得途径（来源）。整个项目的实施期间有严格的审批控制同时建立了完善的内部审计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tabs>
          <w:tab w:val="left" w:pos="512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（一）绩效评价目的、对象和范围</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1.绩效评价目的：通过项目支出资金收支情况、绩效目标设置情况、资金使用情况、资金管理情况、取得成效情况进行自评，了解资金是否达到了预期目标、资金管理是否规范、资金使用是否有效，检验资金支出效率和效果，分析存在的问题及原因，及时总结经验，改进管理措施，不断增强和落实管理责任，完善工作机制，有效提高资金管理水平和使用效益，实现政府财政资金的合理配置，规范预算分配，优化财政支出结构，降低政府运行成本。</w:t>
      </w:r>
    </w:p>
    <w:p>
      <w:pPr>
        <w:tabs>
          <w:tab w:val="left" w:pos="5128"/>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2.绩效评价对象：昆明市五华区社会保险中心昆财社基〔2024〕5号2024年市属改制单位退休人员养老金补差资金</w:t>
      </w:r>
      <w:r>
        <w:rPr>
          <w:rFonts w:hint="eastAsia" w:ascii="仿宋" w:hAnsi="仿宋" w:eastAsia="仿宋"/>
          <w:sz w:val="32"/>
          <w:szCs w:val="32"/>
          <w:lang w:val="en-US" w:eastAsia="zh-CN"/>
        </w:rPr>
        <w:t>项目</w:t>
      </w:r>
      <w:r>
        <w:rPr>
          <w:rFonts w:hint="eastAsia" w:ascii="仿宋_GB2312" w:hAnsi="仿宋_GB2312" w:eastAsia="仿宋_GB2312" w:cs="仿宋_GB2312"/>
          <w:sz w:val="32"/>
          <w:szCs w:val="32"/>
        </w:rPr>
        <w:t>支出绩效评价。</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3.绩效评价范围：对昆明市五华区社会保险中心昆财社基〔2024〕5号2024年市属改制单位退休人员养老金补差资金</w:t>
      </w:r>
      <w:r>
        <w:rPr>
          <w:rFonts w:hint="eastAsia" w:ascii="仿宋" w:hAnsi="仿宋" w:eastAsia="仿宋"/>
          <w:sz w:val="32"/>
          <w:szCs w:val="32"/>
          <w:lang w:val="en-US" w:eastAsia="zh-CN"/>
        </w:rPr>
        <w:t>项目</w:t>
      </w:r>
      <w:r>
        <w:rPr>
          <w:rFonts w:hint="eastAsia" w:ascii="仿宋_GB2312" w:hAnsi="仿宋_GB2312" w:eastAsia="仿宋_GB2312" w:cs="仿宋_GB2312"/>
          <w:sz w:val="32"/>
          <w:szCs w:val="32"/>
        </w:rPr>
        <w:t>实施的情况，产生的效益进行评价。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（二）绩效评价原则、依据、评价方法、评价标准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1.评价原则：通过绩效评价，及时掌握经费项目开展情况、资金使用、组织情况、制度建设、执行情况、监督考核以及取得的成效，同时总结经验、提出改进的意见和建议，不断提高财政资金使用效益。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价依据：根据《中华人民共和国预算法》、《五华区预算绩效管理暂行办法》（五政办通〔2017〕10号）、《五华区财政局关于开展2024年度预算支出部门绩效评价工作的通知》（五财〔2025〕14号）要求、《五华区财政局关于公开预算绩效管理信息的通知》（五财〔2019〕48号）、五华区财政局关于印发《五华区预算绩效自评管理暂行办法》的通知（五财〔2019〕51号）</w:t>
      </w:r>
      <w:r>
        <w:rPr>
          <w:rFonts w:hint="eastAsia" w:ascii="Times New Roman" w:hAnsi="Times New Roman" w:eastAsia="仿宋_GB2312" w:cs="Times New Roman"/>
          <w:b w:val="0"/>
          <w:bCs w:val="0"/>
          <w:kern w:val="2"/>
          <w:sz w:val="32"/>
          <w:szCs w:val="32"/>
          <w:lang w:val="en-US" w:eastAsia="zh-CN" w:bidi="ar-SA"/>
        </w:rPr>
        <w:t>、</w:t>
      </w:r>
      <w:r>
        <w:rPr>
          <w:rFonts w:hint="eastAsia" w:ascii="仿宋_GB2312" w:hAnsi="仿宋_GB2312" w:eastAsia="仿宋_GB2312" w:cs="仿宋_GB2312"/>
          <w:sz w:val="32"/>
          <w:szCs w:val="32"/>
        </w:rPr>
        <w:t>预算批复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年度预算执行情况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年度决算报告等相关资料，对昆明市五华区社会保险中心昆财社基〔2024〕5号2024年市属改制单位退休人员养老金补差资金</w:t>
      </w:r>
      <w:r>
        <w:rPr>
          <w:rFonts w:hint="eastAsia" w:ascii="仿宋" w:hAnsi="仿宋" w:eastAsia="仿宋"/>
          <w:sz w:val="32"/>
          <w:szCs w:val="32"/>
          <w:lang w:val="en-US" w:eastAsia="zh-CN"/>
        </w:rPr>
        <w:t>项目</w:t>
      </w:r>
      <w:r>
        <w:rPr>
          <w:rFonts w:hint="eastAsia" w:ascii="仿宋_GB2312" w:hAnsi="仿宋_GB2312" w:eastAsia="仿宋_GB2312" w:cs="仿宋_GB2312"/>
          <w:sz w:val="32"/>
          <w:szCs w:val="32"/>
        </w:rPr>
        <w:t>支出绩效进行评价。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3.评价方法：本单位按照成本效益分析法，将投入与产出、效益进行关联性的分析。</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4.评价标准：按照预先定制的项目实施目标、计划、预算等作为评价标准。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确认当年度昆明市五华区社会保险中心项目支出的绩效目标→梳理昆明市五华区社会保险中心内部管理制度及存量资源→分析确定当年度昆明市五华区社会保险中心项目支出的评价重点→构建绩效评价指标体系。</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（一）绩效评价综合结论。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昆明市五华区社会保险中心项目支出绩效目标明确，符合法律法规及经济社会发展规划的要求，经对绩效目标设定、资金管理、资产管理、财务管理、各项目产出、社会效益等方面进行了绩效评价。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评价综合得</w:t>
      </w:r>
      <w:r>
        <w:rPr>
          <w:rFonts w:hint="eastAsia" w:ascii="仿宋_GB2312" w:hAnsi="仿宋_GB2312" w:eastAsia="仿宋_GB2312" w:cs="仿宋_GB2312"/>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分为</w:t>
      </w:r>
      <w:r>
        <w:rPr>
          <w:rFonts w:hint="eastAsia" w:ascii="仿宋_GB2312" w:hAnsi="仿宋_GB2312" w:eastAsia="仿宋_GB2312" w:cs="仿宋_GB2312"/>
          <w:color w:val="0000FF"/>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99.86</w:t>
      </w:r>
      <w:r>
        <w:rPr>
          <w:rFonts w:hint="eastAsia" w:ascii="仿宋_GB2312" w:hAnsi="仿宋_GB2312" w:eastAsia="仿宋_GB2312" w:cs="仿宋_GB2312"/>
          <w:color w:val="0000FF"/>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r>
        <w:rPr>
          <w:rFonts w:hint="eastAsia" w:ascii="仿宋_GB2312" w:hAnsi="仿宋_GB2312" w:eastAsia="仿宋_GB2312" w:cs="仿宋_GB2312"/>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w:t>
      </w:r>
      <w:r>
        <w:rPr>
          <w:rFonts w:hint="eastAsia" w:ascii="仿宋_GB2312" w:hAnsi="仿宋_GB2312" w:eastAsia="仿宋_GB2312" w:cs="仿宋_GB2312"/>
          <w:sz w:val="32"/>
          <w:szCs w:val="32"/>
        </w:rPr>
        <w:t>分等级为优，能准确反映出项目绩效支出。</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绩效评价结果采取量化评分，量化分值为百分制，评价结果分为四个等级。评分等级优（得分≧90），良（90﹥得分≧80），中（80﹥得分≧60），差（得分﹤60）。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（二）绩效目标实现情况</w:t>
      </w:r>
      <w:r>
        <w:rPr>
          <w:rFonts w:hint="eastAsia" w:ascii="仿宋_GB2312" w:hAnsi="仿宋_GB2312" w:eastAsia="仿宋_GB2312" w:cs="仿宋_GB2312"/>
          <w:color w:val="0000FF"/>
          <w:sz w:val="32"/>
          <w:szCs w:val="32"/>
        </w:rPr>
        <w:br w:type="textWrapping"/>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保障符合待遇领取资格条件人员待遇</w:t>
      </w:r>
      <w:r>
        <w:rPr>
          <w:rFonts w:hint="eastAsia" w:ascii="仿宋_GB2312" w:hAnsi="仿宋_GB2312" w:eastAsia="仿宋_GB2312" w:cs="仿宋_GB2312"/>
          <w:color w:val="auto"/>
          <w:kern w:val="2"/>
          <w:sz w:val="32"/>
          <w:szCs w:val="32"/>
          <w:lang w:val="en-US" w:eastAsia="zh-CN" w:bidi="ar-SA"/>
        </w:rPr>
        <w:t>按月足额、及时地发放至退休人员，应发尽发率100%。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1．项目的立项依据充分:符合国家法律法规、国民经济发展规划，与部门职责范围相符，属于部门职责所需，属于公共财政支持的范围</w:t>
      </w:r>
      <w:r>
        <w:rPr>
          <w:rFonts w:hint="eastAsia" w:ascii="仿宋_GB2312" w:hAnsi="仿宋_GB2312" w:eastAsia="仿宋_GB2312" w:cs="仿宋_GB2312"/>
          <w:sz w:val="32"/>
          <w:szCs w:val="32"/>
          <w:lang w:eastAsia="zh-CN"/>
        </w:rPr>
        <w:t>。</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2.项目的立项程序规范:按照规定的程序申请设立，审批文件、材料符合相关要求</w:t>
      </w:r>
      <w:r>
        <w:rPr>
          <w:rFonts w:hint="eastAsia" w:ascii="仿宋_GB2312" w:hAnsi="仿宋_GB2312" w:eastAsia="仿宋_GB2312" w:cs="仿宋_GB2312"/>
          <w:sz w:val="32"/>
          <w:szCs w:val="32"/>
          <w:lang w:eastAsia="zh-CN"/>
        </w:rPr>
        <w:t>。</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3.项目绩效目标合理：设定的绩效目标依据合理、充分，与实际工作内容具有相关性，预期产出的效益和效果符合正常的水平</w:t>
      </w:r>
      <w:r>
        <w:rPr>
          <w:rFonts w:hint="eastAsia" w:ascii="仿宋_GB2312" w:hAnsi="仿宋_GB2312" w:eastAsia="仿宋_GB2312" w:cs="仿宋_GB2312"/>
          <w:sz w:val="32"/>
          <w:szCs w:val="32"/>
          <w:lang w:eastAsia="zh-CN"/>
        </w:rPr>
        <w:t>。</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4.项目绩效指标明确：项目设定的绩效指标明确，是清晰、细化的</w:t>
      </w:r>
      <w:r>
        <w:rPr>
          <w:rFonts w:hint="eastAsia" w:ascii="仿宋_GB2312" w:hAnsi="仿宋_GB2312" w:eastAsia="仿宋_GB2312" w:cs="仿宋_GB2312"/>
          <w:sz w:val="32"/>
          <w:szCs w:val="32"/>
          <w:lang w:eastAsia="zh-CN"/>
        </w:rPr>
        <w:t>。</w:t>
      </w:r>
    </w:p>
    <w:p>
      <w:pPr>
        <w:widowControl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5.预算编制科学：预算编制有明确的标准，资金额度与年度目标相适应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6.资金分配合理：项目预算资金分配有测算依据，分配合理与项目单位相适应。</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（二）项目过程情况分析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资金到位率：资金到位率=（实际到位资金/预算资金）*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850</w:t>
      </w:r>
      <w:r>
        <w:rPr>
          <w:rFonts w:hint="eastAsia" w:ascii="仿宋_GB2312" w:hAnsi="仿宋_GB2312" w:eastAsia="仿宋_GB2312" w:cs="仿宋_GB2312"/>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_GB2312" w:hAnsi="仿宋_GB2312" w:eastAsia="仿宋_GB2312" w:cs="仿宋_GB2312"/>
          <w:color w:val="0000FF"/>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850</w:t>
      </w:r>
      <w:r>
        <w:rPr>
          <w:rFonts w:ascii="仿宋_GB2312" w:hAnsi="仿宋_GB2312" w:eastAsia="仿宋_GB2312" w:cs="仿宋_GB2312"/>
          <w:color w:val="0000FF"/>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_GB2312" w:hAnsi="仿宋_GB2312" w:eastAsia="仿宋_GB2312" w:cs="仿宋_GB2312"/>
          <w:color w:val="0000FF"/>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100</w:t>
      </w:r>
      <w:r>
        <w:rPr>
          <w:rFonts w:hint="eastAsia" w:ascii="仿宋_GB2312" w:hAnsi="仿宋_GB2312" w:eastAsia="仿宋_GB2312" w:cs="仿宋_GB2312"/>
          <w:color w:val="0000FF"/>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_GB2312" w:hAnsi="仿宋_GB2312" w:eastAsia="仿宋_GB2312" w:cs="仿宋_GB2312"/>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预算执行率：预算执行率=（实际支出资金/实际到位资金）*</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%=809.03/</w:t>
      </w:r>
      <w:r>
        <w:rPr>
          <w:rFonts w:hint="eastAsia" w:ascii="仿宋_GB2312" w:hAnsi="仿宋_GB2312" w:eastAsia="仿宋_GB2312" w:cs="仿宋_GB2312"/>
          <w:sz w:val="32"/>
          <w:szCs w:val="32"/>
          <w:lang w:val="en-US" w:eastAsia="zh-CN"/>
        </w:rPr>
        <w:t>850</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95.18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资金使用合规性：资金使用合规，符合国家财经法规，按照本单位财务管理制度进行开支，支付的资金有完整的审批程序和手续，符合项目预算批复或合同规定的用途，不存在截留、挤占、挪用、虚列支出等情况</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管理制度健全性：管理制度健全、合法、合规、完整，能保障项目顺利实施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制度执行有效性：遵守相关法律法规和相关管理规定，项目支出手续完整，项目支出的项目附件资料齐全并及时归档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（三）项目产出情况分析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．产出数量：实际完成率=（实际产出数/计划产出数），享受待遇人数</w:t>
      </w:r>
      <w:r>
        <w:rPr>
          <w:rFonts w:hint="eastAsia" w:ascii="仿宋_GB2312" w:hAnsi="仿宋_GB2312" w:eastAsia="仿宋_GB2312" w:cs="仿宋_GB2312"/>
          <w:sz w:val="32"/>
          <w:szCs w:val="32"/>
          <w:lang w:val="en-US" w:eastAsia="zh-CN"/>
        </w:rPr>
        <w:t>=177/177=100%。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．产出时效：</w:t>
      </w:r>
      <w:r>
        <w:rPr>
          <w:rFonts w:hint="eastAsia" w:ascii="仿宋_GB2312" w:hAnsi="仿宋_GB2312" w:eastAsia="仿宋_GB2312" w:cs="仿宋_GB2312"/>
          <w:sz w:val="32"/>
          <w:szCs w:val="32"/>
          <w:lang w:val="en-US" w:eastAsia="zh-CN"/>
        </w:rPr>
        <w:t>符合条件人员待遇按时发放率100%。</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．产出成本：</w:t>
      </w:r>
      <w:r>
        <w:rPr>
          <w:rFonts w:ascii="仿宋_GB2312" w:hAnsi="仿宋_GB2312" w:eastAsia="仿宋_GB2312" w:cs="仿宋_GB2312"/>
          <w:sz w:val="32"/>
          <w:szCs w:val="32"/>
        </w:rPr>
        <w:t>成本节约率=[（计划成本-实际成本）/计划成本]×100%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809.03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850</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widowControl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（四）项目效益情况分析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1．实施效益：</w:t>
      </w:r>
      <w:r>
        <w:rPr>
          <w:rFonts w:hint="eastAsia" w:ascii="仿宋_GB2312" w:hAnsi="仿宋_GB2312" w:eastAsia="仿宋_GB2312" w:cs="仿宋_GB2312"/>
          <w:sz w:val="32"/>
          <w:szCs w:val="32"/>
          <w:lang w:eastAsia="zh-CN"/>
        </w:rPr>
        <w:t>应发尽发率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．满意度：服务对象对部门工作满意度达到90%。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sz w:val="32"/>
          <w:szCs w:val="32"/>
        </w:rPr>
        <w:t>通过加强预算绩效管理工作，牢固树立“讲绩效、重绩效、用绩效”的观念，进一步完善绩效评价结果运用机制，将评价结果作为申报以后年度预算的重要依据，发挥绩效评价工作的应有作用。下一步，将继续按照上级部门及财政局相关要求，认真做好项目经费预算、管理和使用等工作，切实提高项目经费使用效率，最大限度的满足各项工作要求，为本单位工作提供更好支撑和支持。</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六、存在的问题及原因分析</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sz w:val="32"/>
          <w:szCs w:val="32"/>
          <w:lang w:val="en-US" w:eastAsia="zh-CN"/>
        </w:rPr>
        <w:t>无</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auto"/>
          <w:sz w:val="32"/>
          <w:szCs w:val="32"/>
        </w:rPr>
        <w:t>七、有关建议</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sz w:val="32"/>
          <w:szCs w:val="32"/>
        </w:rPr>
        <w:t>通过对202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年财政绩效支出工作的梳理总结，针对存在的问题将做好以下改进措施：</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1.进一步完善预算资金使用的制度建设，确保以制度做好监督，使财政预算绩效工作能够合法合理，科学有效开展</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2.加强过程监督，提高资金使用效益，完善绩效指标体系，尽可能合理的细化、量化指标体系，使各项指标能充分反映在预算管理工作中。</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3.根据《预算法》及实施条例，结合自身预算执行的实际情况，努力做好收支平衡，严谨、科学的编制年度预算，制定合理的绩效目标，做好预算执行中的监督，不断完善预算管理工作。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无</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CD3DF"/>
    <w:multiLevelType w:val="singleLevel"/>
    <w:tmpl w:val="3E2CD3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jExNzZlY2MyMDljMGY4ZWZmMzU4MzA4ZmE3YWIifQ=="/>
  </w:docVars>
  <w:rsids>
    <w:rsidRoot w:val="6B9974B0"/>
    <w:rsid w:val="587E00A2"/>
    <w:rsid w:val="693C73EA"/>
    <w:rsid w:val="6B9974B0"/>
    <w:rsid w:val="74610A16"/>
    <w:rsid w:val="749F0411"/>
    <w:rsid w:val="75C1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line="560" w:lineRule="exact"/>
      <w:ind w:firstLine="640"/>
      <w:outlineLvl w:val="1"/>
    </w:pPr>
    <w:rPr>
      <w:rFonts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Calibri" w:hAnsi="Calibri" w:eastAsia="宋体" w:cs="Times New Roman"/>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Plain Text"/>
    <w:basedOn w:val="1"/>
    <w:unhideWhenUsed/>
    <w:qFormat/>
    <w:uiPriority w:val="99"/>
    <w:rPr>
      <w:rFonts w:ascii="宋体" w:hAnsi="Courier New"/>
      <w:szCs w:val="21"/>
    </w:rPr>
  </w:style>
  <w:style w:type="paragraph" w:styleId="6">
    <w:name w:val="Body Text First Indent"/>
    <w:basedOn w:val="3"/>
    <w:autoRedefine/>
    <w:qFormat/>
    <w:uiPriority w:val="0"/>
    <w:pPr>
      <w:snapToGrid/>
      <w:spacing w:line="520" w:lineRule="exact"/>
      <w:ind w:firstLine="0" w:firstLineChars="0"/>
      <w:jc w:val="center"/>
    </w:pPr>
    <w:rPr>
      <w:rFonts w:ascii="Times New Roman" w:hAnsi="Times New Roman"/>
      <w:sz w:val="24"/>
      <w:szCs w:val="20"/>
    </w:rPr>
  </w:style>
  <w:style w:type="paragraph" w:customStyle="1" w:styleId="9">
    <w:name w:val="Body Text First Indent 21"/>
    <w:basedOn w:val="10"/>
    <w:autoRedefine/>
    <w:qFormat/>
    <w:uiPriority w:val="99"/>
    <w:pPr>
      <w:spacing w:beforeAutospacing="1"/>
      <w:ind w:firstLine="420" w:firstLineChars="200"/>
    </w:pPr>
    <w:rPr>
      <w:rFonts w:ascii="Times New Roman" w:hAnsi="Times New Roman"/>
    </w:rPr>
  </w:style>
  <w:style w:type="paragraph" w:customStyle="1" w:styleId="10">
    <w:name w:val="Body Text Indent1"/>
    <w:basedOn w:val="1"/>
    <w:autoRedefine/>
    <w:qFormat/>
    <w:uiPriority w:val="99"/>
    <w:pPr>
      <w:ind w:left="420" w:left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2025-05-08T05:43:00Z</dcterms:created>
  <dc:creator>恬*俊淇</dc:creator>
  <cp:lastModifiedBy>Administrator</cp:lastModifiedBy>
  <dcterms:modified xsi:type="dcterms:W3CDTF">2025-08-13T06:22:41Z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952EA46E65C74EFDB5B75C0C7A24D7ED_13</vt:lpwstr>
  </property>
  <property fmtid="{D5CDD505-2E9C-101B-9397-08002B2CF9AE}" pid="4" name="KSOTemplateDocerSaveRecord">
    <vt:lpwstr>eyJoZGlkIjoiYWRlNWMyMGIxZjIxOTc3ODNhYWVkZTEwMzBjZmI0YTIiLCJ1c2VySWQiOiI1ODMwMTQ2MTgifQ==</vt:lpwstr>
  </property>
</Properties>
</file>