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FF924">
      <w:pPr>
        <w:spacing w:line="640" w:lineRule="exact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 w14:paraId="5B60B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  <w:lang w:eastAsia="zh-CN"/>
        </w:rPr>
        <w:t>五华区预算支出部门评价表</w:t>
      </w:r>
    </w:p>
    <w:p w14:paraId="6F1F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Times New Roman"/>
          <w:color w:val="000000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黑体" w:eastAsia="方正小标宋简体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小标宋简体" w:hAnsi="黑体" w:eastAsia="方正小标宋简体" w:cs="Times New Roman"/>
          <w:color w:val="000000"/>
          <w:sz w:val="32"/>
          <w:szCs w:val="32"/>
          <w:lang w:eastAsia="zh-CN"/>
        </w:rPr>
        <w:t>）年度</w:t>
      </w:r>
    </w:p>
    <w:tbl>
      <w:tblPr>
        <w:tblStyle w:val="12"/>
        <w:tblpPr w:leftFromText="180" w:rightFromText="180" w:vertAnchor="text" w:horzAnchor="page" w:tblpXSpec="center" w:tblpY="258"/>
        <w:tblOverlap w:val="never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413"/>
        <w:gridCol w:w="186"/>
        <w:gridCol w:w="188"/>
        <w:gridCol w:w="374"/>
        <w:gridCol w:w="1597"/>
        <w:gridCol w:w="621"/>
        <w:gridCol w:w="447"/>
        <w:gridCol w:w="546"/>
        <w:gridCol w:w="1218"/>
        <w:gridCol w:w="305"/>
        <w:gridCol w:w="1334"/>
        <w:gridCol w:w="790"/>
      </w:tblGrid>
      <w:tr w14:paraId="75917BFB">
        <w:trPr>
          <w:trHeight w:val="395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26AF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项目名称</w:t>
            </w:r>
          </w:p>
        </w:tc>
        <w:tc>
          <w:tcPr>
            <w:tcW w:w="7232" w:type="dxa"/>
            <w:gridSpan w:val="9"/>
            <w:noWrap w:val="0"/>
            <w:vAlign w:val="center"/>
          </w:tcPr>
          <w:p w14:paraId="2D93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临商税奖励专项资金</w:t>
            </w:r>
          </w:p>
        </w:tc>
      </w:tr>
      <w:tr w14:paraId="3457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08AC755F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主管部门</w:t>
            </w:r>
          </w:p>
        </w:tc>
        <w:tc>
          <w:tcPr>
            <w:tcW w:w="3039" w:type="dxa"/>
            <w:gridSpan w:val="4"/>
            <w:noWrap w:val="0"/>
            <w:vAlign w:val="center"/>
          </w:tcPr>
          <w:p w14:paraId="748F8064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经济发展办公室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 w14:paraId="2F2A8B36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项目实施单位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6269681D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大观街道办事处</w:t>
            </w:r>
          </w:p>
        </w:tc>
      </w:tr>
      <w:tr w14:paraId="2634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10DB8FB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项目负责人</w:t>
            </w:r>
          </w:p>
        </w:tc>
        <w:tc>
          <w:tcPr>
            <w:tcW w:w="3039" w:type="dxa"/>
            <w:gridSpan w:val="4"/>
            <w:noWrap w:val="0"/>
            <w:vAlign w:val="center"/>
          </w:tcPr>
          <w:p w14:paraId="312CEE88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齐文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 w14:paraId="2D76AC8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联系电话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260B662E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0FD9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25C80C9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项目类型</w:t>
            </w:r>
          </w:p>
        </w:tc>
        <w:tc>
          <w:tcPr>
            <w:tcW w:w="7232" w:type="dxa"/>
            <w:gridSpan w:val="9"/>
            <w:noWrap w:val="0"/>
            <w:vAlign w:val="center"/>
          </w:tcPr>
          <w:p w14:paraId="2A96BE56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经常性项目（</w:t>
            </w:r>
            <w:r>
              <w:rPr>
                <w:rFonts w:hint="default" w:ascii="Arial" w:hAnsi="Arial" w:eastAsia="宋体" w:cs="Arial"/>
                <w:sz w:val="18"/>
                <w:szCs w:val="18"/>
              </w:rPr>
              <w:t>√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       一次性项目（  ）</w:t>
            </w:r>
          </w:p>
        </w:tc>
      </w:tr>
      <w:tr w14:paraId="7F8A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vMerge w:val="restart"/>
            <w:noWrap w:val="0"/>
            <w:vAlign w:val="center"/>
          </w:tcPr>
          <w:p w14:paraId="6EFB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项目资金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（万元）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3BDCE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项目支出明细内容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3B5B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年初预算数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7788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实际到位数</w:t>
            </w:r>
          </w:p>
        </w:tc>
        <w:tc>
          <w:tcPr>
            <w:tcW w:w="1334" w:type="dxa"/>
            <w:noWrap w:val="0"/>
            <w:vAlign w:val="center"/>
          </w:tcPr>
          <w:p w14:paraId="781F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实际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支出数</w:t>
            </w:r>
          </w:p>
        </w:tc>
        <w:tc>
          <w:tcPr>
            <w:tcW w:w="790" w:type="dxa"/>
            <w:noWrap w:val="0"/>
            <w:vAlign w:val="center"/>
          </w:tcPr>
          <w:p w14:paraId="3473C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执行率</w:t>
            </w:r>
          </w:p>
        </w:tc>
      </w:tr>
      <w:tr w14:paraId="0962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0BA6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 w14:paraId="6D76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临商税手续费兑现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7B86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303C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124.66</w:t>
            </w:r>
          </w:p>
        </w:tc>
        <w:tc>
          <w:tcPr>
            <w:tcW w:w="1334" w:type="dxa"/>
            <w:noWrap w:val="0"/>
            <w:vAlign w:val="center"/>
          </w:tcPr>
          <w:p w14:paraId="19BF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97.6</w:t>
            </w:r>
          </w:p>
        </w:tc>
        <w:tc>
          <w:tcPr>
            <w:tcW w:w="790" w:type="dxa"/>
            <w:noWrap w:val="0"/>
            <w:vAlign w:val="center"/>
          </w:tcPr>
          <w:p w14:paraId="1B25E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78.30%</w:t>
            </w:r>
          </w:p>
        </w:tc>
      </w:tr>
      <w:tr w14:paraId="2012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629B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 w14:paraId="67EE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734F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6E0F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E99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6B8C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1E18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39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7138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 w14:paraId="299DE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5F1D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012A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8D3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101C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6E0A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361C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 w14:paraId="1CB73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182B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543F7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7A6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5476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64B9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4DC2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 w14:paraId="020CF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017B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4180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56AA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08A4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1B41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6197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计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3A42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4432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8B85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38B1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7AC7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71ED28D6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其中：中央财政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5D1CAA5C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42887E1D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C6EF538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39AFBBF2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4FC5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62F87B6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级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财政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5ADFBB0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622B005A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07D292C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65876492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4662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1CDCF2EC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市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级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财政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4F6A9AA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7A5F62F7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2A767A3C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6F0BF6E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479D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3F419AD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区级财政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2DCB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32A5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124.66</w:t>
            </w:r>
          </w:p>
        </w:tc>
        <w:tc>
          <w:tcPr>
            <w:tcW w:w="1334" w:type="dxa"/>
            <w:noWrap w:val="0"/>
            <w:vAlign w:val="center"/>
          </w:tcPr>
          <w:p w14:paraId="541A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97.6</w:t>
            </w:r>
          </w:p>
        </w:tc>
        <w:tc>
          <w:tcPr>
            <w:tcW w:w="790" w:type="dxa"/>
            <w:noWrap w:val="0"/>
            <w:vAlign w:val="center"/>
          </w:tcPr>
          <w:p w14:paraId="30D7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78.30%</w:t>
            </w:r>
          </w:p>
        </w:tc>
      </w:tr>
      <w:tr w14:paraId="3F90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99" w:hRule="atLeast"/>
          <w:jc w:val="center"/>
        </w:trPr>
        <w:tc>
          <w:tcPr>
            <w:tcW w:w="3758" w:type="dxa"/>
            <w:gridSpan w:val="5"/>
            <w:noWrap w:val="0"/>
            <w:vAlign w:val="center"/>
          </w:tcPr>
          <w:p w14:paraId="064E8AC5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其他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3C55CC67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6CA0C2F7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54F57E8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679E4E8A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39F1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99" w:hRule="atLeast"/>
          <w:jc w:val="center"/>
        </w:trPr>
        <w:tc>
          <w:tcPr>
            <w:tcW w:w="1787" w:type="dxa"/>
            <w:gridSpan w:val="3"/>
            <w:vMerge w:val="restart"/>
            <w:noWrap w:val="0"/>
            <w:vAlign w:val="center"/>
          </w:tcPr>
          <w:p w14:paraId="1565EF0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年度总体目标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68E5ECA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预期目标</w:t>
            </w:r>
          </w:p>
        </w:tc>
        <w:tc>
          <w:tcPr>
            <w:tcW w:w="3647" w:type="dxa"/>
            <w:gridSpan w:val="4"/>
            <w:noWrap w:val="0"/>
            <w:vAlign w:val="center"/>
          </w:tcPr>
          <w:p w14:paraId="06FB38DE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实际完成情况</w:t>
            </w:r>
          </w:p>
        </w:tc>
      </w:tr>
      <w:tr w14:paraId="4011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9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46C2FAB5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585" w:type="dxa"/>
            <w:gridSpan w:val="5"/>
            <w:noWrap w:val="0"/>
            <w:vAlign w:val="center"/>
          </w:tcPr>
          <w:p w14:paraId="45E8CAAA">
            <w:pPr>
              <w:pStyle w:val="2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履行组织、参与辖区经济发展计划，吸引各类企业到大观创业发展，引入增量税源，促进财政收入快速增长。完成企业稳增长和各项经济指标任务数。</w:t>
            </w:r>
          </w:p>
          <w:p w14:paraId="1E230E89">
            <w:pPr>
              <w:pStyle w:val="2"/>
              <w:ind w:left="0" w:leftChars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3647" w:type="dxa"/>
            <w:gridSpan w:val="4"/>
            <w:noWrap w:val="0"/>
            <w:vAlign w:val="center"/>
          </w:tcPr>
          <w:p w14:paraId="61D6358E">
            <w:pPr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一）强化责任落实，严格督办进度。一是强化摸底走访，动态掌握辖区市场主体资源，尤其是新设立的市场经营主体情况，做到心中有数。二是细化分解任务，将街道班子成员、科室及社区按照三级网格制度分为8个工作组，结合“五经普”、升规入统工作将市场主体倍增目标任务分解到人，形成责任清单。三是建立周通报制度，专人对接大观市场监管所，对市场主体增减情况密切关注，每周召集各科室、社区召开专题会议，对各组任务完成情况进行及时通报。</w:t>
            </w:r>
          </w:p>
          <w:p w14:paraId="372EC131">
            <w:pPr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二）多渠道促进市场主体倍增工作。一是摸排辖区内未办理执照的临时流动商户，尤其是篆新农贸市场及大观商业城等商户聚集区内，督促临时商户办理营业执照。二是结合夜间经济和“洋芋集市”“庆丰收·促和美”“椿上花街”等特色集市工作，动员流动个体进行工商登记，现场办证、快捷服务，年内通过集市举办招引114户。三是动员辖区单车保管站、便民服务点集中注册个体工商户20户。四是加强与大观企业服务中心的联动，积极合作招引优质企业入驻辖区。五是积极挖掘辖区其他第三方资源力量，在11月23日前已招引入驻辖区1300户企业。</w:t>
            </w:r>
          </w:p>
          <w:p w14:paraId="125DAA69">
            <w:pPr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三）做好政策宣传，加大服务力度。一是切实践行一线工作法，主动上门服务，指导市场主体登记注册、审批备案、项目申报等多方面业务操作方法流程。二是加强宣传个体工商户与企业的区别，提高辖区市场主体对“个转企”工作的关注度和认可度，有效增强个体工商户转型意愿和主动性。三是收集整理省市区各级的惠企政策，根据企业楼宇经济、总部经济、升规入统、高企申报等不同方面的需求整理成册，加强政策宣传，积极跟进相关奖补兑付。</w:t>
            </w:r>
          </w:p>
        </w:tc>
      </w:tr>
      <w:tr w14:paraId="496F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9019" w:type="dxa"/>
            <w:gridSpan w:val="12"/>
            <w:noWrap w:val="0"/>
            <w:vAlign w:val="center"/>
          </w:tcPr>
          <w:p w14:paraId="74A49A48">
            <w:pPr>
              <w:spacing w:line="300" w:lineRule="exact"/>
              <w:ind w:left="0" w:leftChars="0" w:right="0" w:rightChars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二、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绩效评价指标评分</w:t>
            </w:r>
            <w:r>
              <w:rPr>
                <w:rFonts w:hint="eastAsia" w:ascii="宋体" w:hAnsi="宋体" w:eastAsia="宋体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val="en-US" w:eastAsia="zh-CN"/>
              </w:rPr>
              <w:t>仅供</w:t>
            </w:r>
            <w:r>
              <w:rPr>
                <w:rFonts w:hint="eastAsia" w:ascii="宋体" w:hAnsi="宋体" w:eastAsia="宋体"/>
                <w:b/>
                <w:color w:val="FF0000"/>
                <w:sz w:val="18"/>
                <w:szCs w:val="18"/>
              </w:rPr>
              <w:t>参考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val="en-US" w:eastAsia="zh-CN"/>
              </w:rPr>
              <w:t>各部门要根据项目实际情况细化、量化二级指标和三级指标</w:t>
            </w:r>
            <w:r>
              <w:rPr>
                <w:rFonts w:hint="eastAsia" w:ascii="宋体" w:hAnsi="宋体" w:eastAsia="宋体"/>
                <w:b/>
                <w:color w:val="FF0000"/>
                <w:sz w:val="18"/>
                <w:szCs w:val="18"/>
              </w:rPr>
              <w:t>）</w:t>
            </w:r>
          </w:p>
        </w:tc>
      </w:tr>
      <w:tr w14:paraId="5037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F34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A6E2D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6DEE3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355BF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7C05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CC8A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1B0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得分</w:t>
            </w:r>
          </w:p>
        </w:tc>
      </w:tr>
      <w:tr w14:paraId="46E1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6DD010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决策</w:t>
            </w:r>
          </w:p>
          <w:p w14:paraId="5E62014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9440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D2A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项目立项</w:t>
            </w:r>
          </w:p>
        </w:tc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5B80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D54F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立项依据充分性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A365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418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6199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D4226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2EC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E3D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FB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E793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立项程序规范性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96C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5EE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2FF8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4FB37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DBE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E94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E10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EF30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绩效目标合理性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D58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B185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36D5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661A75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4EAB0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8089A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80EF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0FD2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绩效指标明确性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A46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358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4AA6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04BEA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201EB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7381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资金投入</w:t>
            </w:r>
          </w:p>
        </w:tc>
        <w:tc>
          <w:tcPr>
            <w:tcW w:w="6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C99E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A2B0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预算编制科学性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219A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428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3D52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391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135B4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1316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609D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AAC1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资金分配合理性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919A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0B2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79C0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55D7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过程</w:t>
            </w:r>
          </w:p>
        </w:tc>
        <w:tc>
          <w:tcPr>
            <w:tcW w:w="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D671E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DB0312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资金管理</w:t>
            </w:r>
          </w:p>
        </w:tc>
        <w:tc>
          <w:tcPr>
            <w:tcW w:w="6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7CF85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EE4B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资金到位率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116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EE1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 w14:paraId="5C61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68748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685EA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C8C88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49175B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A67C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012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67D0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 w14:paraId="151D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DB16E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287CDB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544D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资金管理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AA27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84A4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资金使用合规性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47F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FC9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 w14:paraId="5064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22EF5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14F9D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A44C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组织实施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E25F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896A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管理制度健全性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E90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AA6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78C9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CED056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B56E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518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88A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DA46FC"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制度执行有效性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F206B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1C2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3708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AD6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产出</w:t>
            </w:r>
          </w:p>
        </w:tc>
        <w:tc>
          <w:tcPr>
            <w:tcW w:w="7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ED9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DB5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产出数量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E9F6A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081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根据项目实际情况有选择地设置和细化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68CA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EF2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3C86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87F8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349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B1E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产出质量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E79F4E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324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75B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BD0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15CD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767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6EBE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943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产出时效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1B93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820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B73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6BA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7FFF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217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3AE2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6B7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产出成本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5EA8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EEA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54D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1B6F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0153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5075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效益</w:t>
            </w: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A6E7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8DB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经济效益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FF312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AF4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204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1D41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 w14:paraId="4E56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7D6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550C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3D4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E8104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AF5912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DDF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FC0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4.5</w:t>
            </w:r>
          </w:p>
        </w:tc>
      </w:tr>
      <w:tr w14:paraId="72E5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1646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0956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268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环境效益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3DB0CF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6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DB3A8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01CD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883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672F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560A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A71D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A5A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可持续影响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74BC6E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16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C707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7125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2F7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 w14:paraId="17D1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CD2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C852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5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满意度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E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社会公众或服务对象满意度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8F0E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4D99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 w14:paraId="37D9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90B3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A05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DFBC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9014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570B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5906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8985">
            <w:pPr>
              <w:autoSpaceDN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val="en-US" w:eastAsia="zh-CN"/>
              </w:rPr>
              <w:t>94.5</w:t>
            </w:r>
          </w:p>
        </w:tc>
      </w:tr>
      <w:tr w14:paraId="40F8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 w14:paraId="5DF728E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评价等次</w:t>
            </w:r>
          </w:p>
        </w:tc>
        <w:tc>
          <w:tcPr>
            <w:tcW w:w="7606" w:type="dxa"/>
            <w:gridSpan w:val="11"/>
            <w:noWrap w:val="0"/>
            <w:vAlign w:val="center"/>
          </w:tcPr>
          <w:p w14:paraId="64F064D7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良□       中 □       差□</w:t>
            </w:r>
          </w:p>
        </w:tc>
      </w:tr>
      <w:tr w14:paraId="48F8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618B4DEB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606" w:type="dxa"/>
            <w:gridSpan w:val="11"/>
            <w:noWrap w:val="0"/>
            <w:vAlign w:val="center"/>
          </w:tcPr>
          <w:p w14:paraId="46D9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-90（含）分为优、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-80（含）分为良、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-60（含）分为中、60分以下为差</w:t>
            </w:r>
          </w:p>
        </w:tc>
      </w:tr>
      <w:tr w14:paraId="73AD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413" w:type="dxa"/>
            <w:noWrap w:val="0"/>
            <w:vAlign w:val="center"/>
          </w:tcPr>
          <w:p w14:paraId="6C813303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问题和建议</w:t>
            </w:r>
          </w:p>
        </w:tc>
        <w:tc>
          <w:tcPr>
            <w:tcW w:w="7606" w:type="dxa"/>
            <w:gridSpan w:val="11"/>
            <w:noWrap w:val="0"/>
            <w:vAlign w:val="top"/>
          </w:tcPr>
          <w:p w14:paraId="6CAFD082">
            <w:pPr>
              <w:pStyle w:val="3"/>
              <w:ind w:firstLine="360" w:firstLineChars="200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问题：1.绩效指标设定存在偏差的情况；2.受经济影响，压缩经费预算，及受职能部门陆续拨款影响，导致执行率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未完成100%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 w14:paraId="090C7633">
            <w:pPr>
              <w:pStyle w:val="3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建议：1.落实好部门对项目管理的责任，加强项目管理，不断提高预算项目绩效目标设置的科学性，并加大绩效运行监控的力度，及时调整绩效目标设定的偏差；2.及时调减预算，并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减少职能部门拨款的随意性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，提高预算资金的使用效率。</w:t>
            </w:r>
          </w:p>
        </w:tc>
      </w:tr>
      <w:tr w14:paraId="419A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019" w:type="dxa"/>
            <w:gridSpan w:val="12"/>
            <w:noWrap w:val="0"/>
            <w:vAlign w:val="center"/>
          </w:tcPr>
          <w:p w14:paraId="62A2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评价人员</w:t>
            </w:r>
          </w:p>
        </w:tc>
      </w:tr>
      <w:tr w14:paraId="5A23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18F00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2159" w:type="dxa"/>
            <w:gridSpan w:val="3"/>
            <w:noWrap w:val="0"/>
            <w:vAlign w:val="center"/>
          </w:tcPr>
          <w:p w14:paraId="0BC3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职务/职称</w:t>
            </w:r>
          </w:p>
        </w:tc>
        <w:tc>
          <w:tcPr>
            <w:tcW w:w="2832" w:type="dxa"/>
            <w:gridSpan w:val="4"/>
            <w:noWrap w:val="0"/>
            <w:vAlign w:val="center"/>
          </w:tcPr>
          <w:p w14:paraId="25497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2429" w:type="dxa"/>
            <w:gridSpan w:val="3"/>
            <w:noWrap w:val="0"/>
            <w:vAlign w:val="center"/>
          </w:tcPr>
          <w:p w14:paraId="70A4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签字</w:t>
            </w:r>
          </w:p>
        </w:tc>
      </w:tr>
      <w:tr w14:paraId="468B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4121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齐文</w:t>
            </w:r>
          </w:p>
        </w:tc>
        <w:tc>
          <w:tcPr>
            <w:tcW w:w="2159" w:type="dxa"/>
            <w:gridSpan w:val="3"/>
            <w:noWrap w:val="0"/>
            <w:vAlign w:val="top"/>
          </w:tcPr>
          <w:p w14:paraId="1D5E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评价部门负责人</w:t>
            </w:r>
          </w:p>
        </w:tc>
        <w:tc>
          <w:tcPr>
            <w:tcW w:w="2832" w:type="dxa"/>
            <w:gridSpan w:val="4"/>
            <w:noWrap w:val="0"/>
            <w:vAlign w:val="top"/>
          </w:tcPr>
          <w:p w14:paraId="4852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大观街道办事处</w:t>
            </w:r>
          </w:p>
        </w:tc>
        <w:tc>
          <w:tcPr>
            <w:tcW w:w="2429" w:type="dxa"/>
            <w:gridSpan w:val="3"/>
            <w:noWrap w:val="0"/>
            <w:vAlign w:val="top"/>
          </w:tcPr>
          <w:p w14:paraId="0209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齐文</w:t>
            </w:r>
          </w:p>
        </w:tc>
      </w:tr>
      <w:tr w14:paraId="185A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5E80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张云佳</w:t>
            </w:r>
          </w:p>
        </w:tc>
        <w:tc>
          <w:tcPr>
            <w:tcW w:w="2159" w:type="dxa"/>
            <w:gridSpan w:val="3"/>
            <w:noWrap w:val="0"/>
            <w:vAlign w:val="top"/>
          </w:tcPr>
          <w:p w14:paraId="6E9C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评价组组长</w:t>
            </w:r>
          </w:p>
        </w:tc>
        <w:tc>
          <w:tcPr>
            <w:tcW w:w="2832" w:type="dxa"/>
            <w:gridSpan w:val="4"/>
            <w:noWrap w:val="0"/>
            <w:vAlign w:val="top"/>
          </w:tcPr>
          <w:p w14:paraId="4D60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大观街道办事处</w:t>
            </w:r>
          </w:p>
        </w:tc>
        <w:tc>
          <w:tcPr>
            <w:tcW w:w="2429" w:type="dxa"/>
            <w:gridSpan w:val="3"/>
            <w:noWrap w:val="0"/>
            <w:vAlign w:val="top"/>
          </w:tcPr>
          <w:p w14:paraId="66E7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张云佳</w:t>
            </w:r>
          </w:p>
        </w:tc>
      </w:tr>
      <w:tr w14:paraId="3E42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1AD34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蔡敏艳</w:t>
            </w:r>
          </w:p>
        </w:tc>
        <w:tc>
          <w:tcPr>
            <w:tcW w:w="2159" w:type="dxa"/>
            <w:gridSpan w:val="3"/>
            <w:noWrap w:val="0"/>
            <w:vAlign w:val="top"/>
          </w:tcPr>
          <w:p w14:paraId="397A7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评价组工作人员</w:t>
            </w:r>
          </w:p>
        </w:tc>
        <w:tc>
          <w:tcPr>
            <w:tcW w:w="2832" w:type="dxa"/>
            <w:gridSpan w:val="4"/>
            <w:noWrap w:val="0"/>
            <w:vAlign w:val="top"/>
          </w:tcPr>
          <w:p w14:paraId="21C9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大观街道办事处</w:t>
            </w:r>
          </w:p>
        </w:tc>
        <w:tc>
          <w:tcPr>
            <w:tcW w:w="2429" w:type="dxa"/>
            <w:gridSpan w:val="3"/>
            <w:noWrap w:val="0"/>
            <w:vAlign w:val="top"/>
          </w:tcPr>
          <w:p w14:paraId="3D61C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蔡敏艳</w:t>
            </w:r>
          </w:p>
        </w:tc>
      </w:tr>
      <w:tr w14:paraId="1AB0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0063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黄剑</w:t>
            </w:r>
          </w:p>
        </w:tc>
        <w:tc>
          <w:tcPr>
            <w:tcW w:w="2159" w:type="dxa"/>
            <w:gridSpan w:val="3"/>
            <w:noWrap w:val="0"/>
            <w:vAlign w:val="top"/>
          </w:tcPr>
          <w:p w14:paraId="4264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评价组工作人员</w:t>
            </w:r>
          </w:p>
        </w:tc>
        <w:tc>
          <w:tcPr>
            <w:tcW w:w="2832" w:type="dxa"/>
            <w:gridSpan w:val="4"/>
            <w:noWrap w:val="0"/>
            <w:vAlign w:val="top"/>
          </w:tcPr>
          <w:p w14:paraId="4B77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大观街道办事处</w:t>
            </w:r>
          </w:p>
        </w:tc>
        <w:tc>
          <w:tcPr>
            <w:tcW w:w="2429" w:type="dxa"/>
            <w:gridSpan w:val="3"/>
            <w:noWrap w:val="0"/>
            <w:vAlign w:val="top"/>
          </w:tcPr>
          <w:p w14:paraId="3BDE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黄剑</w:t>
            </w:r>
          </w:p>
        </w:tc>
      </w:tr>
      <w:tr w14:paraId="46ED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9019" w:type="dxa"/>
            <w:gridSpan w:val="12"/>
            <w:noWrap w:val="0"/>
            <w:vAlign w:val="center"/>
          </w:tcPr>
          <w:p w14:paraId="5BACF1A2">
            <w:pPr>
              <w:spacing w:line="400" w:lineRule="exact"/>
            </w:pPr>
            <w:r>
              <w:rPr>
                <w:rFonts w:hint="eastAsia"/>
              </w:rPr>
              <w:t>填报人（签字）：</w:t>
            </w:r>
            <w:r>
              <w:rPr>
                <w:rFonts w:hint="eastAsia"/>
                <w:lang w:val="en-US" w:eastAsia="zh-CN"/>
              </w:rPr>
              <w:t>蔡敏艳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 xml:space="preserve">日                                        </w:t>
            </w:r>
          </w:p>
          <w:p w14:paraId="373BCEF3">
            <w:pPr>
              <w:spacing w:line="400" w:lineRule="exac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评价组组长（签字）：</w:t>
            </w:r>
            <w:r>
              <w:rPr>
                <w:rFonts w:hint="eastAsia" w:cs="Times New Roman"/>
                <w:lang w:val="en-US" w:eastAsia="zh-CN"/>
              </w:rPr>
              <w:t>张云佳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日</w:t>
            </w:r>
          </w:p>
          <w:p w14:paraId="25EDF766"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评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价部门负责人（签字并盖章）：</w:t>
            </w:r>
            <w:r>
              <w:rPr>
                <w:rFonts w:hint="eastAsia" w:cs="Times New Roman"/>
                <w:lang w:val="en-US" w:eastAsia="zh-CN"/>
              </w:rPr>
              <w:t>齐文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日</w:t>
            </w:r>
          </w:p>
        </w:tc>
      </w:tr>
    </w:tbl>
    <w:p w14:paraId="7C4E748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4"/>
          <w:lang w:eastAsia="zh-CN"/>
        </w:rPr>
        <w:t>注：绩效评价指标可参考《云南省项目支出绩效评价管理办法》中附件</w:t>
      </w:r>
      <w:r>
        <w:rPr>
          <w:rFonts w:hint="eastAsia" w:ascii="仿宋_GB2312" w:hAnsi="仿宋_GB2312" w:eastAsia="仿宋_GB2312" w:cs="仿宋_GB2312"/>
          <w:b/>
          <w:bCs/>
          <w:sz w:val="21"/>
          <w:szCs w:val="24"/>
          <w:lang w:val="en-US" w:eastAsia="zh-CN"/>
        </w:rPr>
        <w:t>2：《项目支出绩效评价指标体系框架》</w:t>
      </w:r>
      <w:r>
        <w:rPr>
          <w:rFonts w:hint="eastAsia" w:ascii="仿宋_GB2312" w:hAnsi="仿宋_GB2312" w:eastAsia="仿宋_GB2312" w:cs="仿宋_GB2312"/>
          <w:b/>
          <w:bCs/>
          <w:sz w:val="21"/>
          <w:szCs w:val="24"/>
          <w:lang w:eastAsia="zh-CN"/>
        </w:rPr>
        <w:t>设置</w:t>
      </w:r>
      <w:r>
        <w:rPr>
          <w:rFonts w:hint="eastAsia" w:ascii="仿宋_GB2312" w:hAnsi="仿宋_GB2312" w:eastAsia="仿宋_GB2312" w:cs="仿宋_GB2312"/>
          <w:b/>
          <w:bCs/>
          <w:sz w:val="21"/>
          <w:szCs w:val="24"/>
          <w:lang w:val="en-US"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59190">
    <w:pPr>
      <w:pStyle w:val="4"/>
      <w:wordWrap w:val="0"/>
      <w:jc w:val="right"/>
      <w:rPr>
        <w:rFonts w:hint="default" w:ascii="仿宋_GB2312" w:eastAsia="仿宋_GB2312"/>
        <w:sz w:val="28"/>
        <w:szCs w:val="28"/>
        <w:lang w:val="en-US" w:eastAsia="zh-CN"/>
      </w:rPr>
    </w:pP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  <w:lang w:val="en-US" w:eastAsia="zh-CN"/>
      </w:rPr>
      <w:t xml:space="preserve">  </w:t>
    </w:r>
  </w:p>
  <w:p w14:paraId="154222A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07691">
    <w:pPr>
      <w:pStyle w:val="4"/>
      <w:ind w:firstLine="280" w:firstLineChars="100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</w:p>
  <w:p w14:paraId="60489D6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138B7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ZGJmNzNhMmVmYjk4ZDIyODhiNTEzODNkMDBmYWUifQ=="/>
    <w:docVar w:name="KSO_WPS_MARK_KEY" w:val="d6ff6e59-3602-41e3-966a-ba86afe89905"/>
  </w:docVars>
  <w:rsids>
    <w:rsidRoot w:val="0020402E"/>
    <w:rsid w:val="00017A8F"/>
    <w:rsid w:val="00047AB7"/>
    <w:rsid w:val="00090D52"/>
    <w:rsid w:val="00146EE9"/>
    <w:rsid w:val="00175F9F"/>
    <w:rsid w:val="001852BB"/>
    <w:rsid w:val="001D0E44"/>
    <w:rsid w:val="001F5CC3"/>
    <w:rsid w:val="0020402E"/>
    <w:rsid w:val="002413BA"/>
    <w:rsid w:val="00252E79"/>
    <w:rsid w:val="00285A6A"/>
    <w:rsid w:val="002B6CB3"/>
    <w:rsid w:val="00316CB8"/>
    <w:rsid w:val="00323104"/>
    <w:rsid w:val="00333AF7"/>
    <w:rsid w:val="00353839"/>
    <w:rsid w:val="0040414B"/>
    <w:rsid w:val="004777BF"/>
    <w:rsid w:val="00491601"/>
    <w:rsid w:val="004C626E"/>
    <w:rsid w:val="004E4C2D"/>
    <w:rsid w:val="00534226"/>
    <w:rsid w:val="00540143"/>
    <w:rsid w:val="0054605A"/>
    <w:rsid w:val="0057336C"/>
    <w:rsid w:val="005747B0"/>
    <w:rsid w:val="00574ECC"/>
    <w:rsid w:val="005A165A"/>
    <w:rsid w:val="005A1E7F"/>
    <w:rsid w:val="005D02D2"/>
    <w:rsid w:val="0064178A"/>
    <w:rsid w:val="00662C20"/>
    <w:rsid w:val="0069488B"/>
    <w:rsid w:val="006A0799"/>
    <w:rsid w:val="006B1439"/>
    <w:rsid w:val="00715FE5"/>
    <w:rsid w:val="00730C4E"/>
    <w:rsid w:val="007454FA"/>
    <w:rsid w:val="007805F0"/>
    <w:rsid w:val="007843B2"/>
    <w:rsid w:val="00793220"/>
    <w:rsid w:val="00807004"/>
    <w:rsid w:val="00877B65"/>
    <w:rsid w:val="008E215B"/>
    <w:rsid w:val="008F452B"/>
    <w:rsid w:val="009144B5"/>
    <w:rsid w:val="0092160F"/>
    <w:rsid w:val="00942E41"/>
    <w:rsid w:val="009602F7"/>
    <w:rsid w:val="00983CCC"/>
    <w:rsid w:val="0099268A"/>
    <w:rsid w:val="00995445"/>
    <w:rsid w:val="009D16EF"/>
    <w:rsid w:val="009F069C"/>
    <w:rsid w:val="00A423C3"/>
    <w:rsid w:val="00A70DE2"/>
    <w:rsid w:val="00B05126"/>
    <w:rsid w:val="00B52633"/>
    <w:rsid w:val="00B66C42"/>
    <w:rsid w:val="00B7249F"/>
    <w:rsid w:val="00B81BFA"/>
    <w:rsid w:val="00B96D85"/>
    <w:rsid w:val="00C241DC"/>
    <w:rsid w:val="00C26948"/>
    <w:rsid w:val="00CB4D66"/>
    <w:rsid w:val="00CD6651"/>
    <w:rsid w:val="00CE536E"/>
    <w:rsid w:val="00D86B7C"/>
    <w:rsid w:val="00DE0350"/>
    <w:rsid w:val="00EE17E0"/>
    <w:rsid w:val="00F21861"/>
    <w:rsid w:val="00F47909"/>
    <w:rsid w:val="00F56884"/>
    <w:rsid w:val="00F80A48"/>
    <w:rsid w:val="00FC428C"/>
    <w:rsid w:val="00FD313A"/>
    <w:rsid w:val="00FE5B35"/>
    <w:rsid w:val="01DB367D"/>
    <w:rsid w:val="026C0DFE"/>
    <w:rsid w:val="02D37998"/>
    <w:rsid w:val="06C54798"/>
    <w:rsid w:val="08AF45C5"/>
    <w:rsid w:val="0B356F4C"/>
    <w:rsid w:val="0B6B4B9F"/>
    <w:rsid w:val="0EB70C8A"/>
    <w:rsid w:val="12720960"/>
    <w:rsid w:val="14BE19FD"/>
    <w:rsid w:val="16513469"/>
    <w:rsid w:val="170E653B"/>
    <w:rsid w:val="1B201DBF"/>
    <w:rsid w:val="1D9F059A"/>
    <w:rsid w:val="1E777D37"/>
    <w:rsid w:val="1E93139D"/>
    <w:rsid w:val="1EA2047D"/>
    <w:rsid w:val="1FBB4F6A"/>
    <w:rsid w:val="20F506B1"/>
    <w:rsid w:val="225B49F4"/>
    <w:rsid w:val="227814F2"/>
    <w:rsid w:val="22786A68"/>
    <w:rsid w:val="268B7490"/>
    <w:rsid w:val="28047D00"/>
    <w:rsid w:val="2ADC4E13"/>
    <w:rsid w:val="2B5A3C77"/>
    <w:rsid w:val="2DC43283"/>
    <w:rsid w:val="31A21D92"/>
    <w:rsid w:val="32644A60"/>
    <w:rsid w:val="32BE4F4A"/>
    <w:rsid w:val="350D2D29"/>
    <w:rsid w:val="35784879"/>
    <w:rsid w:val="35AF641B"/>
    <w:rsid w:val="36B27EB1"/>
    <w:rsid w:val="3B1C3328"/>
    <w:rsid w:val="3CA974C2"/>
    <w:rsid w:val="3CFF3309"/>
    <w:rsid w:val="3D5B0142"/>
    <w:rsid w:val="40414948"/>
    <w:rsid w:val="40B37971"/>
    <w:rsid w:val="41024062"/>
    <w:rsid w:val="41CC4F14"/>
    <w:rsid w:val="426A72E7"/>
    <w:rsid w:val="4568638C"/>
    <w:rsid w:val="46274071"/>
    <w:rsid w:val="480939D2"/>
    <w:rsid w:val="48A153C2"/>
    <w:rsid w:val="48CD69B5"/>
    <w:rsid w:val="4AB42380"/>
    <w:rsid w:val="4B1B1AB4"/>
    <w:rsid w:val="4B2B377F"/>
    <w:rsid w:val="4CCC314C"/>
    <w:rsid w:val="4E271D7B"/>
    <w:rsid w:val="5158080D"/>
    <w:rsid w:val="523E38F5"/>
    <w:rsid w:val="54B52042"/>
    <w:rsid w:val="55EE42C8"/>
    <w:rsid w:val="56380A98"/>
    <w:rsid w:val="591D1214"/>
    <w:rsid w:val="5BF77FF4"/>
    <w:rsid w:val="600D77B8"/>
    <w:rsid w:val="62092C5F"/>
    <w:rsid w:val="6419080D"/>
    <w:rsid w:val="641A709F"/>
    <w:rsid w:val="659418B0"/>
    <w:rsid w:val="672C7221"/>
    <w:rsid w:val="687545A8"/>
    <w:rsid w:val="6C23495A"/>
    <w:rsid w:val="6C474FB0"/>
    <w:rsid w:val="6D0E5D49"/>
    <w:rsid w:val="70C8455E"/>
    <w:rsid w:val="718C5DE7"/>
    <w:rsid w:val="71913A76"/>
    <w:rsid w:val="72717B4F"/>
    <w:rsid w:val="74BB4EE4"/>
    <w:rsid w:val="761F6DE9"/>
    <w:rsid w:val="76535483"/>
    <w:rsid w:val="785A0460"/>
    <w:rsid w:val="796208D7"/>
    <w:rsid w:val="7AE12ED0"/>
    <w:rsid w:val="7C252930"/>
    <w:rsid w:val="7E673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napToGrid/>
      <w:spacing w:line="520" w:lineRule="exact"/>
      <w:ind w:firstLine="0" w:firstLineChars="0"/>
      <w:jc w:val="center"/>
    </w:pPr>
    <w:rPr>
      <w:rFonts w:ascii="Times New Roman" w:hAnsi="Times New Roman"/>
      <w:sz w:val="24"/>
      <w:szCs w:val="20"/>
    </w:rPr>
  </w:style>
  <w:style w:type="paragraph" w:styleId="3">
    <w:name w:val="Body Text"/>
    <w:basedOn w:val="1"/>
    <w:next w:val="4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7">
    <w:name w:val="Plain Text"/>
    <w:basedOn w:val="1"/>
    <w:qFormat/>
    <w:uiPriority w:val="99"/>
    <w:rPr>
      <w:rFonts w:ascii="宋体" w:hAnsi="Courier New" w:cs="宋体"/>
      <w:kern w:val="0"/>
      <w:sz w:val="20"/>
      <w:szCs w:val="21"/>
    </w:rPr>
  </w:style>
  <w:style w:type="paragraph" w:styleId="8">
    <w:name w:val="Date"/>
    <w:basedOn w:val="1"/>
    <w:next w:val="1"/>
    <w:link w:val="20"/>
    <w:qFormat/>
    <w:uiPriority w:val="0"/>
    <w:pPr>
      <w:ind w:left="100" w:leftChars="250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link w:val="19"/>
    <w:qFormat/>
    <w:uiPriority w:val="0"/>
    <w:pPr>
      <w:adjustRightInd w:val="0"/>
      <w:spacing w:before="240" w:after="60" w:line="312" w:lineRule="atLeast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table" w:styleId="13">
    <w:name w:val="Table Grid"/>
    <w:basedOn w:val="12"/>
    <w:qFormat/>
    <w:uiPriority w:val="3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公文文种"/>
    <w:basedOn w:val="14"/>
    <w:qFormat/>
    <w:uiPriority w:val="0"/>
    <w:rPr>
      <w:rFonts w:eastAsia="宋体"/>
      <w:sz w:val="32"/>
    </w:rPr>
  </w:style>
  <w:style w:type="character" w:customStyle="1" w:styleId="18">
    <w:name w:val="公文文号"/>
    <w:basedOn w:val="14"/>
    <w:qFormat/>
    <w:uiPriority w:val="0"/>
    <w:rPr>
      <w:rFonts w:eastAsia="仿宋_GB2312"/>
      <w:sz w:val="32"/>
    </w:rPr>
  </w:style>
  <w:style w:type="character" w:customStyle="1" w:styleId="19">
    <w:name w:val="标题 Char"/>
    <w:basedOn w:val="14"/>
    <w:link w:val="11"/>
    <w:qFormat/>
    <w:uiPriority w:val="0"/>
    <w:rPr>
      <w:rFonts w:ascii="Arial" w:hAnsi="Arial"/>
      <w:b/>
      <w:kern w:val="28"/>
      <w:sz w:val="32"/>
    </w:rPr>
  </w:style>
  <w:style w:type="character" w:customStyle="1" w:styleId="20">
    <w:name w:val="日期 Char"/>
    <w:basedOn w:val="14"/>
    <w:link w:val="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1">
    <w:name w:val="页脚 Char"/>
    <w:basedOn w:val="14"/>
    <w:link w:val="4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2">
    <w:name w:val="p0"/>
    <w:basedOn w:val="1"/>
    <w:qFormat/>
    <w:uiPriority w:val="0"/>
    <w:pPr>
      <w:widowControl/>
      <w:adjustRightInd w:val="0"/>
      <w:snapToGrid w:val="0"/>
      <w:spacing w:line="365" w:lineRule="atLeast"/>
      <w:ind w:left="1" w:firstLine="200" w:firstLineChars="200"/>
      <w:textAlignment w:val="bottom"/>
    </w:pPr>
    <w:rPr>
      <w:rFonts w:ascii="Times New Roman" w:hAnsi="Times New Roman"/>
      <w:kern w:val="0"/>
      <w:sz w:val="20"/>
      <w:szCs w:val="20"/>
    </w:rPr>
  </w:style>
  <w:style w:type="paragraph" w:customStyle="1" w:styleId="23">
    <w:name w:val="样式2"/>
    <w:basedOn w:val="1"/>
    <w:qFormat/>
    <w:uiPriority w:val="0"/>
    <w:pPr>
      <w:spacing w:line="360" w:lineRule="auto"/>
      <w:ind w:left="297" w:right="297" w:rightChars="100"/>
      <w:jc w:val="left"/>
    </w:pPr>
    <w:rPr>
      <w:rFonts w:ascii="仿宋_GB2312" w:hAnsi="Times New Roman" w:eastAsia="仿宋_GB2312"/>
      <w:b/>
      <w:color w:val="000000"/>
      <w:sz w:val="32"/>
      <w:szCs w:val="32"/>
    </w:rPr>
  </w:style>
  <w:style w:type="character" w:customStyle="1" w:styleId="24">
    <w:name w:val="apple-style-span"/>
    <w:qFormat/>
    <w:uiPriority w:val="99"/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6">
    <w:name w:val="公文正文"/>
    <w:qFormat/>
    <w:uiPriority w:val="0"/>
    <w:rPr>
      <w:rFonts w:hint="eastAsia" w:ascii="仿宋_GB2312" w:eastAsia="仿宋_GB2312"/>
      <w:sz w:val="32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D357-B6EF-4E04-995F-5AD6D1391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1597</Words>
  <Characters>1690</Characters>
  <Lines>1</Lines>
  <Paragraphs>1</Paragraphs>
  <TotalTime>3</TotalTime>
  <ScaleCrop>false</ScaleCrop>
  <LinksUpToDate>false</LinksUpToDate>
  <CharactersWithSpaces>1945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2019-03-22T06:27:00Z</dcterms:created>
  <dc:creator>user</dc:creator>
  <cp:lastModifiedBy>WPS_1701397990</cp:lastModifiedBy>
  <cp:lastPrinted>2022-11-14T07:49:00Z</cp:lastPrinted>
  <dcterms:modified xsi:type="dcterms:W3CDTF">2025-08-08T03:15:06Z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4537B455530D48DEA53811CC55DFB5AD</vt:lpwstr>
  </property>
</Properties>
</file>