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B8F67">
      <w:pPr>
        <w:keepNext w:val="0"/>
        <w:keepLines w:val="0"/>
        <w:pageBreakBefore w:val="0"/>
        <w:widowControl/>
        <w:kinsoku/>
        <w:wordWrap/>
        <w:overflowPunct/>
        <w:topLinePunct w:val="0"/>
        <w:autoSpaceDE/>
        <w:autoSpaceDN/>
        <w:bidi w:val="0"/>
        <w:adjustRightInd/>
        <w:snapToGrid/>
        <w:spacing w:after="0" w:line="550" w:lineRule="exact"/>
        <w:ind w:left="0" w:right="0" w:firstLine="0" w:firstLineChars="0"/>
        <w:jc w:val="center"/>
        <w:textAlignment w:val="auto"/>
        <w:rPr>
          <w:rFonts w:hint="default" w:ascii="Times New Roman" w:hAnsi="Times New Roman" w:eastAsia="方正小标宋_GBK" w:cs="Times New Roman"/>
          <w:b w:val="0"/>
          <w:bCs w:val="0"/>
          <w:color w:val="auto"/>
          <w:sz w:val="44"/>
          <w:szCs w:val="44"/>
        </w:rPr>
      </w:pPr>
      <w:bookmarkStart w:id="19" w:name="_GoBack"/>
      <w:bookmarkEnd w:id="19"/>
      <w:r>
        <w:rPr>
          <w:rFonts w:hint="default" w:ascii="Times New Roman" w:hAnsi="Times New Roman" w:eastAsia="方正小标宋_GBK" w:cs="Times New Roman"/>
          <w:b w:val="0"/>
          <w:bCs w:val="0"/>
          <w:color w:val="auto"/>
          <w:sz w:val="44"/>
          <w:szCs w:val="44"/>
          <w:lang w:val="en-US" w:eastAsia="zh-CN"/>
        </w:rPr>
        <w:t>应急物资及粮食储备管理经费</w:t>
      </w:r>
      <w:r>
        <w:rPr>
          <w:rFonts w:hint="eastAsia" w:ascii="Times New Roman" w:hAnsi="Times New Roman" w:eastAsia="方正小标宋_GBK" w:cs="Times New Roman"/>
          <w:b w:val="0"/>
          <w:bCs w:val="0"/>
          <w:color w:val="auto"/>
          <w:sz w:val="44"/>
          <w:szCs w:val="44"/>
          <w:lang w:val="en-US" w:eastAsia="zh-CN"/>
        </w:rPr>
        <w:t>项目</w:t>
      </w:r>
      <w:r>
        <w:rPr>
          <w:rFonts w:hint="default" w:ascii="Times New Roman" w:hAnsi="Times New Roman" w:eastAsia="方正小标宋_GBK" w:cs="Times New Roman"/>
          <w:b w:val="0"/>
          <w:bCs w:val="0"/>
          <w:color w:val="auto"/>
          <w:sz w:val="44"/>
          <w:szCs w:val="44"/>
        </w:rPr>
        <w:t>支出</w:t>
      </w:r>
    </w:p>
    <w:p w14:paraId="5B5FA64B">
      <w:pPr>
        <w:keepNext w:val="0"/>
        <w:keepLines w:val="0"/>
        <w:pageBreakBefore w:val="0"/>
        <w:widowControl/>
        <w:kinsoku/>
        <w:wordWrap/>
        <w:overflowPunct/>
        <w:topLinePunct w:val="0"/>
        <w:autoSpaceDE/>
        <w:autoSpaceDN/>
        <w:bidi w:val="0"/>
        <w:adjustRightInd/>
        <w:snapToGrid/>
        <w:spacing w:after="0" w:line="550" w:lineRule="exact"/>
        <w:ind w:left="0" w:right="0" w:firstLine="0" w:firstLineChars="0"/>
        <w:jc w:val="center"/>
        <w:textAlignment w:val="auto"/>
        <w:rPr>
          <w:rFonts w:hint="default" w:ascii="Times New Roman" w:hAnsi="Times New Roman" w:eastAsia="宋体" w:cs="Times New Roman"/>
          <w:b w:val="0"/>
          <w:bCs w:val="0"/>
          <w:color w:val="auto"/>
          <w:sz w:val="36"/>
          <w:szCs w:val="36"/>
        </w:rPr>
      </w:pPr>
      <w:r>
        <w:rPr>
          <w:rFonts w:hint="default" w:ascii="Times New Roman" w:hAnsi="Times New Roman" w:eastAsia="方正小标宋_GBK" w:cs="Times New Roman"/>
          <w:b w:val="0"/>
          <w:bCs w:val="0"/>
          <w:color w:val="auto"/>
          <w:sz w:val="44"/>
          <w:szCs w:val="44"/>
          <w:lang w:val="en-US" w:eastAsia="zh-Hans"/>
        </w:rPr>
        <w:t>部门</w:t>
      </w:r>
      <w:r>
        <w:rPr>
          <w:rFonts w:hint="default" w:ascii="Times New Roman" w:hAnsi="Times New Roman" w:eastAsia="方正小标宋_GBK" w:cs="Times New Roman"/>
          <w:b w:val="0"/>
          <w:bCs w:val="0"/>
          <w:color w:val="auto"/>
          <w:sz w:val="44"/>
          <w:szCs w:val="44"/>
        </w:rPr>
        <w:t>绩效评价报告</w:t>
      </w:r>
    </w:p>
    <w:p w14:paraId="18D56C3E">
      <w:pPr>
        <w:keepNext w:val="0"/>
        <w:keepLines w:val="0"/>
        <w:pageBreakBefore w:val="0"/>
        <w:widowControl/>
        <w:kinsoku/>
        <w:wordWrap/>
        <w:overflowPunct/>
        <w:topLinePunct w:val="0"/>
        <w:autoSpaceDE/>
        <w:autoSpaceDN/>
        <w:bidi w:val="0"/>
        <w:adjustRightInd/>
        <w:snapToGrid/>
        <w:spacing w:after="0" w:line="550" w:lineRule="exact"/>
        <w:ind w:right="0"/>
        <w:textAlignment w:val="auto"/>
        <w:rPr>
          <w:rFonts w:hint="default" w:ascii="Times New Roman" w:hAnsi="Times New Roman" w:eastAsia="仿宋_GB2312" w:cs="Times New Roman"/>
          <w:color w:val="auto"/>
          <w:sz w:val="32"/>
          <w:szCs w:val="32"/>
          <w:lang w:val="en-US" w:eastAsia="zh-CN"/>
        </w:rPr>
      </w:pPr>
    </w:p>
    <w:p w14:paraId="09650B1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仿宋_GB2312" w:cs="Times New Roman"/>
          <w:b w:val="0"/>
          <w:bCs w:val="0"/>
          <w:color w:val="auto"/>
          <w:sz w:val="32"/>
          <w:szCs w:val="32"/>
        </w:rPr>
      </w:pPr>
      <w:bookmarkStart w:id="0" w:name="_Toc1297213935"/>
      <w:r>
        <w:rPr>
          <w:rFonts w:hint="default" w:ascii="Times New Roman" w:hAnsi="Times New Roman" w:eastAsia="黑体" w:cs="Times New Roman"/>
          <w:b w:val="0"/>
          <w:bCs w:val="0"/>
          <w:color w:val="auto"/>
          <w:sz w:val="32"/>
          <w:szCs w:val="32"/>
        </w:rPr>
        <w:t>一、基本情况</w:t>
      </w:r>
      <w:bookmarkEnd w:id="0"/>
    </w:p>
    <w:p w14:paraId="19BE985C">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仿宋_GB2312" w:cs="Times New Roman"/>
          <w:b w:val="0"/>
          <w:bCs w:val="0"/>
          <w:color w:val="auto"/>
          <w:sz w:val="32"/>
          <w:szCs w:val="32"/>
        </w:rPr>
      </w:pPr>
      <w:bookmarkStart w:id="1" w:name="_Toc1020621201"/>
      <w:r>
        <w:rPr>
          <w:rFonts w:hint="default" w:ascii="Times New Roman" w:hAnsi="Times New Roman" w:eastAsia="楷体_GB2312" w:cs="Times New Roman"/>
          <w:b w:val="0"/>
          <w:bCs w:val="0"/>
          <w:color w:val="auto"/>
          <w:sz w:val="32"/>
          <w:szCs w:val="32"/>
        </w:rPr>
        <w:t>（一）项目概况</w:t>
      </w:r>
      <w:bookmarkEnd w:id="1"/>
    </w:p>
    <w:p w14:paraId="52F454B2">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eastAsia="zh-CN" w:bidi="ar-SA"/>
        </w:rPr>
        <w:t>1.</w:t>
      </w:r>
      <w:r>
        <w:rPr>
          <w:rFonts w:hint="default" w:ascii="Times New Roman" w:hAnsi="Times New Roman" w:eastAsia="仿宋_GB2312" w:cs="Times New Roman"/>
          <w:b/>
          <w:bCs/>
          <w:kern w:val="2"/>
          <w:sz w:val="32"/>
          <w:szCs w:val="32"/>
          <w:lang w:val="en-US" w:eastAsia="zh-CN" w:bidi="ar-SA"/>
        </w:rPr>
        <w:t>项目背景</w:t>
      </w:r>
    </w:p>
    <w:p w14:paraId="6D759696">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项目根据《昆明市五华区发展和改革局职能配置、内设机构和人员编制规定的通知》（五办通〔2019〕34号）文件规定的职能职责，开展全区粮食行政管理工作；贯彻执行粮食流通有关法律法规及政策；负责区级储备粮油计划的落实和轮换；管理五华区储备粮油，监督检查储备粮油的库存数量、质量和安全；组织实施重要物资和应急储备物资收储、轮换和日常管理工作。</w:t>
      </w:r>
    </w:p>
    <w:p w14:paraId="39D43490">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2"/>
          <w:sz w:val="32"/>
          <w:szCs w:val="32"/>
          <w:lang w:eastAsia="zh-CN" w:bidi="ar-SA"/>
        </w:rPr>
      </w:pPr>
      <w:r>
        <w:rPr>
          <w:rFonts w:hint="default" w:ascii="Times New Roman" w:hAnsi="Times New Roman" w:eastAsia="仿宋_GB2312" w:cs="Times New Roman"/>
          <w:b/>
          <w:bCs/>
          <w:kern w:val="2"/>
          <w:sz w:val="32"/>
          <w:szCs w:val="32"/>
          <w:lang w:eastAsia="zh-CN" w:bidi="ar-SA"/>
        </w:rPr>
        <w:t>2.</w:t>
      </w:r>
      <w:r>
        <w:rPr>
          <w:rFonts w:hint="default" w:ascii="Times New Roman" w:hAnsi="Times New Roman" w:eastAsia="仿宋_GB2312" w:cs="Times New Roman"/>
          <w:b/>
          <w:bCs/>
          <w:kern w:val="2"/>
          <w:sz w:val="32"/>
          <w:szCs w:val="32"/>
          <w:lang w:val="en-US" w:eastAsia="zh-Hans" w:bidi="ar-SA"/>
        </w:rPr>
        <w:t>项目</w:t>
      </w:r>
      <w:r>
        <w:rPr>
          <w:rFonts w:hint="default" w:ascii="Times New Roman" w:hAnsi="Times New Roman" w:eastAsia="仿宋_GB2312" w:cs="Times New Roman"/>
          <w:b/>
          <w:bCs/>
          <w:kern w:val="2"/>
          <w:sz w:val="32"/>
          <w:szCs w:val="32"/>
          <w:lang w:eastAsia="zh-CN" w:bidi="ar-SA"/>
        </w:rPr>
        <w:t>实施情况</w:t>
      </w:r>
    </w:p>
    <w:p w14:paraId="4BAF8860">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（1）组织开展了3次粮油市场巡查、25次储备粮库安全检查工作，贯彻执行了粮食流通有关法律法规及政策，确保了辖区内粮油产品脱销、断档、价格暴涨等事件发生。</w:t>
      </w:r>
    </w:p>
    <w:p w14:paraId="758C0E31">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（2）组织开展了3次粮食安全宣传活动。</w:t>
      </w:r>
      <w:bookmarkStart w:id="2" w:name="OLE_LINK1"/>
      <w:r>
        <w:rPr>
          <w:rFonts w:hint="eastAsia" w:ascii="Times New Roman" w:hAnsi="Times New Roman" w:eastAsia="仿宋_GB2312" w:cs="Times New Roman"/>
          <w:b w:val="0"/>
          <w:bCs w:val="0"/>
          <w:sz w:val="32"/>
          <w:szCs w:val="32"/>
          <w:highlight w:val="none"/>
          <w:lang w:val="en-US" w:eastAsia="zh-CN"/>
        </w:rPr>
        <w:t>2024年5月29日、8月14日以及10月16日在重点商超以及月牙塘广场粮食节约和反对食品浪费宣传活动以及“光盘行动”“文明餐桌”“反对浪费崇尚节约”“拒绝浪费 节约粮食 光盘行动从我做起” 等主题活动，宣传活动得到了群众的一致好评。开展了五华区2024年居民食品浪费情况问卷调查工作，并完成了《五华区2024年居民食品浪费情况调查报告》，在五华区发改局网络平台进行了公布。</w:t>
      </w:r>
    </w:p>
    <w:bookmarkEnd w:id="2"/>
    <w:p w14:paraId="5155E72A">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（3）根据区应急局工作需要，结合现有物资储备情况，通过公开招标补充采购应急储备物资1批，保障了应急物资储备供应能力。</w:t>
      </w:r>
    </w:p>
    <w:p w14:paraId="6246B4B0">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（4）根据《五华区应急物资委托代储协议》约定，于2024年3月29日支付昆明西山粮食购销有限公司2024年应急物资委托代储费40,000.00元。</w:t>
      </w:r>
    </w:p>
    <w:p w14:paraId="3E2138DE">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（5）根据《昆明市五华区区级救灾物资（12㎡铝杆单帐篷）采购项目合同》约定，分别与2024年3月29日、7月8日、7月31日支付2023年应急帐篷采购货款共计192,144.00元。</w:t>
      </w:r>
    </w:p>
    <w:p w14:paraId="6BC53331">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2"/>
          <w:sz w:val="32"/>
          <w:szCs w:val="32"/>
          <w:lang w:eastAsia="zh-CN" w:bidi="ar-SA"/>
        </w:rPr>
      </w:pPr>
      <w:r>
        <w:rPr>
          <w:rFonts w:hint="default" w:ascii="Times New Roman" w:hAnsi="Times New Roman" w:eastAsia="仿宋_GB2312" w:cs="Times New Roman"/>
          <w:b/>
          <w:bCs/>
          <w:kern w:val="2"/>
          <w:sz w:val="32"/>
          <w:szCs w:val="32"/>
          <w:lang w:eastAsia="zh-CN" w:bidi="ar-SA"/>
        </w:rPr>
        <w:t>3.</w:t>
      </w:r>
      <w:r>
        <w:rPr>
          <w:rFonts w:hint="default" w:ascii="Times New Roman" w:hAnsi="Times New Roman" w:eastAsia="仿宋_GB2312" w:cs="Times New Roman"/>
          <w:b/>
          <w:bCs/>
          <w:kern w:val="2"/>
          <w:sz w:val="32"/>
          <w:szCs w:val="32"/>
          <w:lang w:val="en-US" w:eastAsia="zh-Hans" w:bidi="ar-SA"/>
        </w:rPr>
        <w:t>项目</w:t>
      </w:r>
      <w:r>
        <w:rPr>
          <w:rFonts w:hint="default" w:ascii="Times New Roman" w:hAnsi="Times New Roman" w:eastAsia="仿宋_GB2312" w:cs="Times New Roman"/>
          <w:b/>
          <w:bCs/>
          <w:kern w:val="2"/>
          <w:sz w:val="32"/>
          <w:szCs w:val="32"/>
          <w:lang w:eastAsia="zh-CN" w:bidi="ar-SA"/>
        </w:rPr>
        <w:t>资金投入</w:t>
      </w:r>
      <w:r>
        <w:rPr>
          <w:rFonts w:hint="default" w:ascii="Times New Roman" w:hAnsi="Times New Roman" w:eastAsia="仿宋_GB2312" w:cs="Times New Roman"/>
          <w:b/>
          <w:bCs/>
          <w:kern w:val="2"/>
          <w:sz w:val="32"/>
          <w:szCs w:val="32"/>
          <w:lang w:val="en-US" w:eastAsia="zh-Hans" w:bidi="ar-SA"/>
        </w:rPr>
        <w:t>情况</w:t>
      </w:r>
    </w:p>
    <w:p w14:paraId="79278F29">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依据《昆明市五华区财政局关于批复2024年部门预算的通知》（五财预总〔2024〕5号）文件，项目年初预算批复资金共计545,256.00元。截至202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年12月31日，共计收到区财政局下达经费232,144.00元。资金到位率为42.58%。</w:t>
      </w:r>
    </w:p>
    <w:p w14:paraId="0F7BEE61">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eastAsia="zh-CN" w:bidi="ar-SA"/>
        </w:rPr>
        <w:t>4.</w:t>
      </w:r>
      <w:r>
        <w:rPr>
          <w:rFonts w:hint="default" w:ascii="Times New Roman" w:hAnsi="Times New Roman" w:eastAsia="仿宋_GB2312" w:cs="Times New Roman"/>
          <w:b/>
          <w:bCs/>
          <w:kern w:val="2"/>
          <w:sz w:val="32"/>
          <w:szCs w:val="32"/>
          <w:lang w:val="en-US" w:eastAsia="zh-Hans" w:bidi="ar-SA"/>
        </w:rPr>
        <w:t>项目资金</w:t>
      </w:r>
      <w:r>
        <w:rPr>
          <w:rFonts w:hint="default" w:ascii="Times New Roman" w:hAnsi="Times New Roman" w:eastAsia="仿宋_GB2312" w:cs="Times New Roman"/>
          <w:b/>
          <w:bCs/>
          <w:kern w:val="2"/>
          <w:sz w:val="32"/>
          <w:szCs w:val="32"/>
          <w:lang w:eastAsia="zh-CN" w:bidi="ar-SA"/>
        </w:rPr>
        <w:t>使用情况</w:t>
      </w:r>
    </w:p>
    <w:p w14:paraId="6C37E1ED">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截至</w:t>
      </w:r>
      <w:r>
        <w:rPr>
          <w:rFonts w:hint="default" w:ascii="Times New Roman" w:hAnsi="Times New Roman" w:eastAsia="仿宋_GB2312" w:cs="Times New Roman"/>
          <w:b w:val="0"/>
          <w:bCs w:val="0"/>
          <w:sz w:val="32"/>
          <w:szCs w:val="32"/>
          <w:lang w:val="en-US" w:eastAsia="zh-Hans"/>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Hans"/>
        </w:rPr>
        <w:t>月</w:t>
      </w: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Hans"/>
        </w:rPr>
        <w:t>日</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eastAsia="zh-CN"/>
        </w:rPr>
        <w:t>共计收到区财政局下达经费232,144.00元，实际支出项目经费232,144.00元，项目预算执行率为100%。</w:t>
      </w:r>
    </w:p>
    <w:p w14:paraId="1615D47C">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3" w:name="_Toc1628636618"/>
      <w:r>
        <w:rPr>
          <w:rFonts w:hint="default" w:ascii="Times New Roman" w:hAnsi="Times New Roman" w:eastAsia="楷体_GB2312" w:cs="Times New Roman"/>
          <w:b w:val="0"/>
          <w:bCs w:val="0"/>
          <w:color w:val="auto"/>
          <w:sz w:val="32"/>
          <w:szCs w:val="32"/>
        </w:rPr>
        <w:t>（二）项目绩效目标</w:t>
      </w:r>
      <w:bookmarkEnd w:id="3"/>
    </w:p>
    <w:p w14:paraId="2CFEEAE5">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bookmarkStart w:id="4" w:name="_Toc669074064"/>
      <w:r>
        <w:rPr>
          <w:rFonts w:hint="default" w:ascii="Times New Roman" w:hAnsi="Times New Roman" w:eastAsia="仿宋_GB2312" w:cs="Times New Roman"/>
          <w:b w:val="0"/>
          <w:bCs w:val="0"/>
          <w:sz w:val="32"/>
          <w:szCs w:val="32"/>
          <w:lang w:val="en-US" w:eastAsia="zh-Hans"/>
        </w:rPr>
        <w:t>开展不少于12次粮油市场巡查、储备粮库安全检查等工作，确保辖区内杜绝粮油产品脱销、断档、价格暴涨等事件。对辖区29个粮食应急供应网点，按每个网点600元标准发放补助，达到加强动态管理，形成有粮可用、有粮可调的粮食应急网络，提高应急保供能力。在6月食品安全周及10月16日世界粮食日期间开展粮食安全宣传活动2次，引导居民养成爱惜粮食、勤俭节约的良好习惯。补充采购1批应急储备物资，以保障应急物资储备供应能力。支付2024年应急物资委托代储费40,000.00元，支付2023年应付应急帐篷采购货款192,144.00元。</w:t>
      </w:r>
    </w:p>
    <w:p w14:paraId="20EFC6E0">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（三）项目组织管理情况</w:t>
      </w:r>
      <w:bookmarkEnd w:id="4"/>
    </w:p>
    <w:p w14:paraId="584DF054">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1.</w:t>
      </w:r>
      <w:r>
        <w:rPr>
          <w:rFonts w:hint="default" w:ascii="Times New Roman" w:hAnsi="Times New Roman" w:eastAsia="仿宋_GB2312" w:cs="Times New Roman"/>
          <w:b/>
          <w:bCs/>
          <w:kern w:val="2"/>
          <w:sz w:val="32"/>
          <w:szCs w:val="32"/>
          <w:lang w:eastAsia="zh-CN" w:bidi="ar-SA"/>
        </w:rPr>
        <w:t>项目组织情况</w:t>
      </w:r>
    </w:p>
    <w:p w14:paraId="68D648A2">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本项目具体实施由粮食和物资储备科开展，有过硬的技术</w:t>
      </w:r>
      <w:r>
        <w:rPr>
          <w:rFonts w:hint="default"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Hans"/>
        </w:rPr>
        <w:t>专业</w:t>
      </w:r>
      <w:r>
        <w:rPr>
          <w:rFonts w:hint="default" w:ascii="Times New Roman" w:hAnsi="Times New Roman" w:eastAsia="仿宋_GB2312" w:cs="Times New Roman"/>
          <w:b w:val="0"/>
          <w:bCs w:val="0"/>
          <w:sz w:val="32"/>
          <w:szCs w:val="32"/>
          <w:lang w:val="en-US" w:eastAsia="zh-CN"/>
        </w:rPr>
        <w:t>业务</w:t>
      </w:r>
      <w:r>
        <w:rPr>
          <w:rFonts w:hint="default" w:ascii="Times New Roman" w:hAnsi="Times New Roman" w:eastAsia="仿宋_GB2312" w:cs="Times New Roman"/>
          <w:b w:val="0"/>
          <w:bCs w:val="0"/>
          <w:sz w:val="32"/>
          <w:szCs w:val="32"/>
          <w:lang w:val="en-US" w:eastAsia="zh-Hans"/>
        </w:rPr>
        <w:t>人员，具备实施本项目所需的设备设施基础条件。</w:t>
      </w:r>
    </w:p>
    <w:p w14:paraId="6B5A04D4">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2.制度建设情况</w:t>
      </w:r>
    </w:p>
    <w:p w14:paraId="57165DC7">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eastAsia" w:ascii="Times New Roman" w:hAnsi="Times New Roman" w:eastAsia="仿宋_GB2312" w:cs="Times New Roman"/>
          <w:b w:val="0"/>
          <w:bCs w:val="0"/>
          <w:sz w:val="32"/>
          <w:szCs w:val="32"/>
          <w:lang w:val="en-US" w:eastAsia="zh-CN"/>
        </w:rPr>
        <w:t>项目依据</w:t>
      </w:r>
      <w:r>
        <w:rPr>
          <w:rFonts w:hint="default" w:ascii="Times New Roman" w:hAnsi="Times New Roman" w:eastAsia="仿宋_GB2312" w:cs="Times New Roman"/>
          <w:b w:val="0"/>
          <w:bCs w:val="0"/>
          <w:sz w:val="32"/>
          <w:szCs w:val="32"/>
          <w:lang w:val="en-US" w:eastAsia="zh-Hans"/>
        </w:rPr>
        <w:t>《五华区发展和改革局财务管理制度》《五华区发展和改革局关于“三重一大”集体决策的实施办法》《五华区发展和改革局党组会、局长办公会、局务会议事规则》《五华区发展和改革局预算绩效管理办法（试行）》等</w:t>
      </w:r>
      <w:r>
        <w:rPr>
          <w:rFonts w:hint="eastAsia" w:ascii="Times New Roman" w:hAnsi="Times New Roman" w:eastAsia="仿宋_GB2312" w:cs="Times New Roman"/>
          <w:b w:val="0"/>
          <w:bCs w:val="0"/>
          <w:sz w:val="32"/>
          <w:szCs w:val="32"/>
          <w:lang w:val="en-US" w:eastAsia="zh-CN"/>
        </w:rPr>
        <w:t>管理</w:t>
      </w:r>
      <w:r>
        <w:rPr>
          <w:rFonts w:hint="default" w:ascii="Times New Roman" w:hAnsi="Times New Roman" w:eastAsia="仿宋_GB2312" w:cs="Times New Roman"/>
          <w:b w:val="0"/>
          <w:bCs w:val="0"/>
          <w:sz w:val="32"/>
          <w:szCs w:val="32"/>
          <w:lang w:val="en-US" w:eastAsia="zh-Hans"/>
        </w:rPr>
        <w:t>文件规定执行</w:t>
      </w:r>
      <w:r>
        <w:rPr>
          <w:rFonts w:hint="eastAsia" w:ascii="Times New Roman" w:hAnsi="Times New Roman" w:eastAsia="仿宋_GB2312" w:cs="Times New Roman"/>
          <w:b w:val="0"/>
          <w:bCs w:val="0"/>
          <w:sz w:val="32"/>
          <w:szCs w:val="32"/>
          <w:lang w:val="en-US" w:eastAsia="zh-CN"/>
        </w:rPr>
        <w:t>，确保资金的安全、有效、合规使用</w:t>
      </w:r>
      <w:r>
        <w:rPr>
          <w:rFonts w:hint="default" w:ascii="Times New Roman" w:hAnsi="Times New Roman" w:eastAsia="仿宋_GB2312" w:cs="Times New Roman"/>
          <w:b w:val="0"/>
          <w:bCs w:val="0"/>
          <w:sz w:val="32"/>
          <w:szCs w:val="32"/>
          <w:lang w:val="en-US" w:eastAsia="zh-Hans"/>
        </w:rPr>
        <w:t>。</w:t>
      </w:r>
    </w:p>
    <w:p w14:paraId="2B0EEFCD">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黑体" w:cs="Times New Roman"/>
          <w:b w:val="0"/>
          <w:bCs w:val="0"/>
          <w:color w:val="auto"/>
          <w:sz w:val="32"/>
          <w:szCs w:val="32"/>
        </w:rPr>
      </w:pPr>
      <w:bookmarkStart w:id="5" w:name="_Toc903417956"/>
      <w:r>
        <w:rPr>
          <w:rFonts w:hint="default" w:ascii="Times New Roman" w:hAnsi="Times New Roman" w:eastAsia="黑体" w:cs="Times New Roman"/>
          <w:b w:val="0"/>
          <w:bCs w:val="0"/>
          <w:color w:val="auto"/>
          <w:sz w:val="32"/>
          <w:szCs w:val="32"/>
        </w:rPr>
        <w:t>二、绩效评价工作开展情况</w:t>
      </w:r>
      <w:bookmarkEnd w:id="5"/>
    </w:p>
    <w:p w14:paraId="0C98A34D">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6" w:name="_Toc1036202202"/>
      <w:r>
        <w:rPr>
          <w:rFonts w:hint="default" w:ascii="Times New Roman" w:hAnsi="Times New Roman" w:eastAsia="楷体_GB2312" w:cs="Times New Roman"/>
          <w:b w:val="0"/>
          <w:bCs w:val="0"/>
          <w:color w:val="auto"/>
          <w:sz w:val="32"/>
          <w:szCs w:val="32"/>
        </w:rPr>
        <w:t>（一）绩效评价目的、对象和范围</w:t>
      </w:r>
      <w:bookmarkEnd w:id="6"/>
    </w:p>
    <w:p w14:paraId="310E3937">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1.绩效评价目的</w:t>
      </w:r>
    </w:p>
    <w:p w14:paraId="3CE5ED1C">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通过评价，全面了解项目管理过程是否规范、产出目标是否完成、效果目标是否实现，总结经验，查找不足，发现项目管理过程中的缺陷和薄弱环节，分析存在的问题和原因，为改进或完善项目实施及资金管理，提高资金使用效率，提出可行性参考意见和建议。在此基础上，重点分析项目预算编制的合理性和成本支出的真实性，评价财政资金的使用效率和效果，为以后年度编制项目预算提供参考依据。</w:t>
      </w:r>
    </w:p>
    <w:p w14:paraId="2E2FAC62">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2.</w:t>
      </w:r>
      <w:r>
        <w:rPr>
          <w:rFonts w:hint="default" w:ascii="Times New Roman" w:hAnsi="Times New Roman" w:eastAsia="仿宋_GB2312" w:cs="Times New Roman"/>
          <w:b/>
          <w:bCs/>
          <w:kern w:val="2"/>
          <w:sz w:val="32"/>
          <w:szCs w:val="32"/>
          <w:lang w:val="en-US" w:eastAsia="zh-Hans" w:bidi="ar-SA"/>
        </w:rPr>
        <w:t>绩效评价的</w:t>
      </w:r>
      <w:r>
        <w:rPr>
          <w:rFonts w:hint="default" w:ascii="Times New Roman" w:hAnsi="Times New Roman" w:eastAsia="仿宋_GB2312" w:cs="Times New Roman"/>
          <w:b/>
          <w:bCs/>
          <w:kern w:val="2"/>
          <w:sz w:val="32"/>
          <w:szCs w:val="32"/>
          <w:lang w:eastAsia="zh-CN" w:bidi="ar-SA"/>
        </w:rPr>
        <w:t>对象和范围</w:t>
      </w:r>
    </w:p>
    <w:p w14:paraId="5BD42501">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评价对象：</w:t>
      </w:r>
      <w:r>
        <w:rPr>
          <w:rFonts w:hint="eastAsia" w:ascii="Times New Roman" w:hAnsi="Times New Roman" w:eastAsia="仿宋_GB2312" w:cs="Times New Roman"/>
          <w:b w:val="0"/>
          <w:bCs w:val="0"/>
          <w:sz w:val="32"/>
          <w:szCs w:val="32"/>
          <w:lang w:val="en-US" w:eastAsia="zh-CN"/>
        </w:rPr>
        <w:t>昆明市</w:t>
      </w:r>
      <w:r>
        <w:rPr>
          <w:rFonts w:hint="default" w:ascii="Times New Roman" w:hAnsi="Times New Roman" w:eastAsia="仿宋_GB2312" w:cs="Times New Roman"/>
          <w:b w:val="0"/>
          <w:bCs w:val="0"/>
          <w:sz w:val="32"/>
          <w:szCs w:val="32"/>
          <w:lang w:val="en-US" w:eastAsia="zh-CN"/>
        </w:rPr>
        <w:t>五华区发展和改革局</w:t>
      </w:r>
    </w:p>
    <w:p w14:paraId="5B3B573D">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评价范围：</w:t>
      </w:r>
      <w:r>
        <w:rPr>
          <w:rFonts w:hint="default" w:ascii="Times New Roman" w:hAnsi="Times New Roman" w:eastAsia="仿宋_GB2312" w:cs="Times New Roman"/>
          <w:b w:val="0"/>
          <w:bCs w:val="0"/>
          <w:sz w:val="32"/>
          <w:szCs w:val="32"/>
          <w:lang w:val="en-US" w:eastAsia="zh-CN"/>
        </w:rPr>
        <w:t>应急物资及粮食储备管理经费</w:t>
      </w:r>
    </w:p>
    <w:p w14:paraId="6735D251">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项目周期：202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年1月</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Hans"/>
        </w:rPr>
        <w:t>日至202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年12月31日</w:t>
      </w:r>
    </w:p>
    <w:p w14:paraId="31564D75">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lang w:val="en-US" w:eastAsia="zh-Hans"/>
        </w:rPr>
      </w:pPr>
      <w:bookmarkStart w:id="7" w:name="_Toc1505515491"/>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val="en-US" w:eastAsia="zh-Hans"/>
        </w:rPr>
        <w:t>二</w:t>
      </w:r>
      <w:r>
        <w:rPr>
          <w:rFonts w:hint="default" w:ascii="Times New Roman" w:hAnsi="Times New Roman" w:eastAsia="楷体_GB2312" w:cs="Times New Roman"/>
          <w:b w:val="0"/>
          <w:bCs w:val="0"/>
          <w:color w:val="auto"/>
          <w:sz w:val="32"/>
          <w:szCs w:val="32"/>
        </w:rPr>
        <w:t>）绩效评价原则</w:t>
      </w:r>
      <w:r>
        <w:rPr>
          <w:rFonts w:hint="default" w:ascii="Times New Roman" w:hAnsi="Times New Roman" w:eastAsia="楷体_GB2312" w:cs="Times New Roman"/>
          <w:b w:val="0"/>
          <w:bCs w:val="0"/>
          <w:color w:val="auto"/>
          <w:sz w:val="32"/>
          <w:szCs w:val="32"/>
          <w:lang w:eastAsia="zh-Hans"/>
        </w:rPr>
        <w:t>、</w:t>
      </w:r>
      <w:r>
        <w:rPr>
          <w:rFonts w:hint="default" w:ascii="Times New Roman" w:hAnsi="Times New Roman" w:eastAsia="楷体_GB2312" w:cs="Times New Roman"/>
          <w:b w:val="0"/>
          <w:bCs w:val="0"/>
          <w:color w:val="auto"/>
          <w:sz w:val="32"/>
          <w:szCs w:val="32"/>
          <w:lang w:val="en-US" w:eastAsia="zh-Hans"/>
        </w:rPr>
        <w:t>评价方法</w:t>
      </w:r>
      <w:bookmarkEnd w:id="7"/>
    </w:p>
    <w:p w14:paraId="051EB4F9">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1.评价原则</w:t>
      </w:r>
    </w:p>
    <w:p w14:paraId="0266B4DB">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sz w:val="32"/>
          <w:szCs w:val="32"/>
          <w:lang w:val="en-US" w:eastAsia="zh-Hans"/>
        </w:rPr>
        <w:t>科学公正</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运用科学合理的方法，按照规范的程序，对项目绩效进行客观、公正的反映。</w:t>
      </w:r>
    </w:p>
    <w:p w14:paraId="403D06E0">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二是</w:t>
      </w:r>
      <w:r>
        <w:rPr>
          <w:rFonts w:hint="default" w:ascii="Times New Roman" w:hAnsi="Times New Roman" w:eastAsia="仿宋_GB2312" w:cs="Times New Roman"/>
          <w:b w:val="0"/>
          <w:bCs w:val="0"/>
          <w:sz w:val="32"/>
          <w:szCs w:val="32"/>
          <w:lang w:val="en-US" w:eastAsia="zh-Hans"/>
        </w:rPr>
        <w:t>公开透明</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绩效评价结果依法依规公开，并自觉接受社会监督。</w:t>
      </w:r>
    </w:p>
    <w:p w14:paraId="532D5A48">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2.评价方法</w:t>
      </w:r>
    </w:p>
    <w:p w14:paraId="45971FBA">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sz w:val="32"/>
          <w:szCs w:val="32"/>
          <w:lang w:val="en-US" w:eastAsia="zh-Hans"/>
        </w:rPr>
        <w:t>主要使用比较法、因素分析法。采用定量与定性结合，运用资料审阅、实地查勘、分析比较等方式，系统、科学</w:t>
      </w:r>
      <w:r>
        <w:rPr>
          <w:rFonts w:hint="default" w:ascii="Times New Roman" w:hAnsi="Times New Roman" w:eastAsia="仿宋_GB2312" w:cs="Times New Roman"/>
          <w:b w:val="0"/>
          <w:bCs w:val="0"/>
          <w:sz w:val="32"/>
          <w:szCs w:val="32"/>
          <w:lang w:val="en-US" w:eastAsia="zh-CN"/>
        </w:rPr>
        <w:t>地</w:t>
      </w:r>
      <w:r>
        <w:rPr>
          <w:rFonts w:hint="default" w:ascii="Times New Roman" w:hAnsi="Times New Roman" w:eastAsia="仿宋_GB2312" w:cs="Times New Roman"/>
          <w:b w:val="0"/>
          <w:bCs w:val="0"/>
          <w:sz w:val="32"/>
          <w:szCs w:val="32"/>
          <w:lang w:val="en-US" w:eastAsia="zh-Hans"/>
        </w:rPr>
        <w:t>反映项目综合情况。</w:t>
      </w:r>
      <w:r>
        <w:rPr>
          <w:rFonts w:hint="default"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lang w:val="en-US" w:eastAsia="zh-Hans"/>
        </w:rPr>
        <w:t>比较法是指将实施情况与绩效目标、历史情况、不同部门和地区同类支出情况进行比较的方法</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因素分析法是指综合分析影响绩效目标实现、实施效果的内外部因素的方法。</w:t>
      </w:r>
    </w:p>
    <w:p w14:paraId="2E6C6F69">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3.</w:t>
      </w:r>
      <w:r>
        <w:rPr>
          <w:rFonts w:hint="default" w:ascii="Times New Roman" w:hAnsi="Times New Roman" w:eastAsia="仿宋_GB2312" w:cs="Times New Roman"/>
          <w:b/>
          <w:bCs/>
          <w:kern w:val="2"/>
          <w:sz w:val="32"/>
          <w:szCs w:val="32"/>
          <w:lang w:val="en-US" w:eastAsia="zh-Hans" w:bidi="ar-SA"/>
        </w:rPr>
        <w:t>评价</w:t>
      </w:r>
      <w:r>
        <w:rPr>
          <w:rFonts w:hint="default" w:ascii="Times New Roman" w:hAnsi="Times New Roman" w:eastAsia="仿宋_GB2312" w:cs="Times New Roman"/>
          <w:b/>
          <w:bCs/>
          <w:kern w:val="2"/>
          <w:sz w:val="32"/>
          <w:szCs w:val="32"/>
          <w:lang w:eastAsia="zh-CN" w:bidi="ar-SA"/>
        </w:rPr>
        <w:t>依据</w:t>
      </w:r>
    </w:p>
    <w:p w14:paraId="3E13F8D5">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主要依据</w:t>
      </w:r>
      <w:r>
        <w:rPr>
          <w:rFonts w:hint="default" w:ascii="Times New Roman" w:hAnsi="Times New Roman" w:eastAsia="仿宋_GB2312" w:cs="Times New Roman"/>
          <w:b w:val="0"/>
          <w:bCs w:val="0"/>
          <w:sz w:val="32"/>
          <w:szCs w:val="32"/>
          <w:lang w:val="en-US" w:eastAsia="zh-CN"/>
        </w:rPr>
        <w:t>《云南省财政厅关于印发&lt;云南省项目支出绩效评价管理办法&gt;的通知》（云财绩（2020）11号）</w:t>
      </w:r>
      <w:r>
        <w:rPr>
          <w:rFonts w:hint="default" w:ascii="Times New Roman" w:hAnsi="Times New Roman" w:eastAsia="仿宋_GB2312" w:cs="Times New Roman"/>
          <w:b w:val="0"/>
          <w:bCs w:val="0"/>
          <w:sz w:val="32"/>
          <w:szCs w:val="32"/>
          <w:lang w:val="en-US" w:eastAsia="zh-Hans"/>
        </w:rPr>
        <w:t>、《昆明市五华区发展和改革局职能配置、内设机构和人员编制规定的通知》（五办通〔2019〕34号）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《昆明市五华区财政局关于批复2024年部门预算的通知》（五财预总〔2024〕5号）</w:t>
      </w:r>
      <w:r>
        <w:rPr>
          <w:rFonts w:hint="eastAsia" w:ascii="Times New Roman" w:hAnsi="Times New Roman" w:eastAsia="仿宋_GB2312" w:cs="Times New Roman"/>
          <w:b w:val="0"/>
          <w:bCs w:val="0"/>
          <w:sz w:val="32"/>
          <w:szCs w:val="32"/>
          <w:lang w:val="en-US" w:eastAsia="zh-CN"/>
        </w:rPr>
        <w:t>、《五华区财政局关于开展2024年度预算支出部门绩效评价工作的通知》（五财〔2025〕14号）</w:t>
      </w:r>
      <w:r>
        <w:rPr>
          <w:rFonts w:hint="default" w:ascii="Times New Roman" w:hAnsi="Times New Roman" w:eastAsia="仿宋_GB2312" w:cs="Times New Roman"/>
          <w:b w:val="0"/>
          <w:bCs w:val="0"/>
          <w:sz w:val="32"/>
          <w:szCs w:val="32"/>
          <w:lang w:val="en-US" w:eastAsia="zh-CN"/>
        </w:rPr>
        <w:t>、《应急物资及粮食储备管理经费项目实施方案》等</w:t>
      </w:r>
      <w:r>
        <w:rPr>
          <w:rFonts w:hint="default" w:ascii="Times New Roman" w:hAnsi="Times New Roman" w:eastAsia="仿宋_GB2312" w:cs="Times New Roman"/>
          <w:b w:val="0"/>
          <w:bCs w:val="0"/>
          <w:sz w:val="32"/>
          <w:szCs w:val="32"/>
          <w:lang w:val="en-US" w:eastAsia="zh-Hans"/>
        </w:rPr>
        <w:t>文件，以及</w:t>
      </w:r>
      <w:r>
        <w:rPr>
          <w:rFonts w:hint="default" w:ascii="Times New Roman" w:hAnsi="Times New Roman" w:eastAsia="仿宋_GB2312" w:cs="Times New Roman"/>
          <w:b w:val="0"/>
          <w:bCs w:val="0"/>
          <w:sz w:val="32"/>
          <w:szCs w:val="32"/>
          <w:lang w:val="en-US" w:eastAsia="zh-CN"/>
        </w:rPr>
        <w:t>项目管理、资金管理、财务管理政策制度文件、批复文件、资金下达文件、验收等其他资料</w:t>
      </w:r>
      <w:r>
        <w:rPr>
          <w:rFonts w:hint="default" w:ascii="Times New Roman" w:hAnsi="Times New Roman" w:eastAsia="仿宋_GB2312" w:cs="Times New Roman"/>
          <w:b w:val="0"/>
          <w:bCs w:val="0"/>
          <w:sz w:val="32"/>
          <w:szCs w:val="32"/>
          <w:lang w:val="en-US" w:eastAsia="zh-Hans"/>
        </w:rPr>
        <w:t>评价</w:t>
      </w:r>
      <w:r>
        <w:rPr>
          <w:rFonts w:hint="default" w:ascii="Times New Roman" w:hAnsi="Times New Roman" w:eastAsia="仿宋_GB2312" w:cs="Times New Roman"/>
          <w:b w:val="0"/>
          <w:bCs w:val="0"/>
          <w:sz w:val="32"/>
          <w:szCs w:val="32"/>
          <w:lang w:val="en-US" w:eastAsia="zh-CN"/>
        </w:rPr>
        <w:t>。</w:t>
      </w:r>
    </w:p>
    <w:p w14:paraId="0E816513">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CN" w:bidi="ar-SA"/>
        </w:rPr>
        <w:t>4.评价指标体系</w:t>
      </w:r>
    </w:p>
    <w:p w14:paraId="1EDDFCC7">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项目绩效评价指标体系设计主要是按照《云南省财政厅关于印发&lt;云南省项目支出绩效评价管理办法&gt;的通知》（云财绩（2020）11号）和《昆明市五华区财政局关于批复2024年部门预算的通知》（五财预总〔2024〕5号）文件的要求及规定</w:t>
      </w:r>
      <w:r>
        <w:rPr>
          <w:rFonts w:hint="default" w:ascii="Times New Roman" w:hAnsi="Times New Roman" w:eastAsia="仿宋_GB2312" w:cs="Times New Roman"/>
          <w:b w:val="0"/>
          <w:bCs w:val="0"/>
          <w:sz w:val="32"/>
          <w:szCs w:val="32"/>
          <w:lang w:val="en-US" w:eastAsia="zh-CN"/>
        </w:rPr>
        <w:t>设置</w:t>
      </w:r>
      <w:r>
        <w:rPr>
          <w:rFonts w:hint="default" w:ascii="Times New Roman" w:hAnsi="Times New Roman" w:eastAsia="仿宋_GB2312" w:cs="Times New Roman"/>
          <w:b w:val="0"/>
          <w:bCs w:val="0"/>
          <w:sz w:val="32"/>
          <w:szCs w:val="32"/>
          <w:lang w:val="en-US" w:eastAsia="zh-Hans"/>
        </w:rPr>
        <w:t>，项目绩效评价分值采用百分制。</w:t>
      </w:r>
      <w:r>
        <w:rPr>
          <w:rFonts w:hint="eastAsia" w:ascii="Times New Roman" w:hAnsi="Times New Roman" w:eastAsia="仿宋_GB2312" w:cs="Times New Roman"/>
          <w:b w:val="0"/>
          <w:bCs w:val="0"/>
          <w:sz w:val="32"/>
          <w:szCs w:val="32"/>
          <w:lang w:val="en-US" w:eastAsia="zh-CN"/>
        </w:rPr>
        <w:t>设置</w:t>
      </w:r>
      <w:r>
        <w:rPr>
          <w:rFonts w:hint="default" w:ascii="Times New Roman" w:hAnsi="Times New Roman" w:eastAsia="仿宋_GB2312" w:cs="Times New Roman"/>
          <w:b w:val="0"/>
          <w:bCs w:val="0"/>
          <w:sz w:val="32"/>
          <w:szCs w:val="32"/>
          <w:lang w:val="en-US" w:eastAsia="zh-Hans"/>
        </w:rPr>
        <w:t>4个一级指标，即决策、过程、产出、效果，所占权重分别为20%、20%、30%、30%；11个二级指标，即项目立项、绩效目标、资金投入、资金管理、组织实施、产出数量、产出质量、产出时效、产出成本、社会效益、满意度，二级指标在一级指标权重的基础上细分了权重；</w:t>
      </w: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Hans"/>
        </w:rPr>
        <w:t>个三级指标：立项依据充分性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立项程序规范性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绩效目标合理性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绩效指标明确性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预算编制科学性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资金分配合理性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资金到位率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预算执行率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资金使用合规性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管理制度健全性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制度执行有效性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粮油市场巡查或储备粮库安全检查次数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粮食应急供应网点补助发放数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爱粮节粮和粮食安全宣传教育活动次数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购买公共突发事件应急储备物资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支付应急物资储备库物业服务经费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支付2023年应急物资采购经费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项目验收合格率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项目资金使用合规率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项目完成及时率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经济成本指标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应急储备物资供应保障能力</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粮食问题事件发生数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项目受益对象满意度。三级指标分别在二级指标权重的基础上细分了权重</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并对每个指标均细化了评分点，详见附件1。</w:t>
      </w:r>
    </w:p>
    <w:p w14:paraId="46D58F80">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5.评价标准</w:t>
      </w:r>
    </w:p>
    <w:p w14:paraId="65E63D0B">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本次评价采用百分制，各级指标依据其指标权重确定分值，最终得分由各级评价指标得分加总形成。根据最终得分将评价</w:t>
      </w:r>
      <w:r>
        <w:rPr>
          <w:rFonts w:hint="eastAsia" w:ascii="Times New Roman" w:hAnsi="Times New Roman" w:eastAsia="仿宋_GB2312" w:cs="Times New Roman"/>
          <w:b w:val="0"/>
          <w:bCs w:val="0"/>
          <w:sz w:val="32"/>
          <w:szCs w:val="32"/>
          <w:lang w:val="en-US" w:eastAsia="zh-CN"/>
        </w:rPr>
        <w:t>结果</w:t>
      </w:r>
      <w:r>
        <w:rPr>
          <w:rFonts w:hint="default" w:ascii="Times New Roman" w:hAnsi="Times New Roman" w:eastAsia="仿宋_GB2312" w:cs="Times New Roman"/>
          <w:b w:val="0"/>
          <w:bCs w:val="0"/>
          <w:sz w:val="32"/>
          <w:szCs w:val="32"/>
          <w:lang w:val="en-US" w:eastAsia="zh-CN"/>
        </w:rPr>
        <w:t>分为四个等级：优（得分≥90分）；良（80分≤得分＜90分）；中（60≤得分＜80分）；差（得分＜60分）。</w:t>
      </w:r>
    </w:p>
    <w:p w14:paraId="2EDAFF3B">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8" w:name="_Toc1546528283"/>
      <w:r>
        <w:rPr>
          <w:rFonts w:hint="default" w:ascii="Times New Roman" w:hAnsi="Times New Roman" w:eastAsia="楷体_GB2312" w:cs="Times New Roman"/>
          <w:b w:val="0"/>
          <w:bCs w:val="0"/>
          <w:color w:val="auto"/>
          <w:sz w:val="32"/>
          <w:szCs w:val="32"/>
        </w:rPr>
        <w:t>（三）绩效评价工作过程</w:t>
      </w:r>
      <w:bookmarkEnd w:id="8"/>
    </w:p>
    <w:p w14:paraId="116C03B7">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1.社会调查</w:t>
      </w:r>
    </w:p>
    <w:p w14:paraId="0B3C545B">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主要以</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eastAsia="zh-Hans"/>
        </w:rPr>
        <w:t>工作开展中的复议、投诉、不满等问题事件为调查目标。</w:t>
      </w:r>
      <w:r>
        <w:rPr>
          <w:rFonts w:hint="default" w:ascii="Times New Roman" w:hAnsi="Times New Roman" w:eastAsia="仿宋_GB2312" w:cs="Times New Roman"/>
          <w:b w:val="0"/>
          <w:bCs w:val="0"/>
          <w:sz w:val="32"/>
          <w:szCs w:val="32"/>
          <w:lang w:eastAsia="zh-Hans"/>
        </w:rPr>
        <w:t>截至202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eastAsia="zh-Hans"/>
        </w:rPr>
        <w:t>12</w:t>
      </w:r>
      <w:r>
        <w:rPr>
          <w:rFonts w:hint="default" w:ascii="Times New Roman" w:hAnsi="Times New Roman" w:eastAsia="仿宋_GB2312" w:cs="Times New Roman"/>
          <w:b w:val="0"/>
          <w:bCs w:val="0"/>
          <w:sz w:val="32"/>
          <w:szCs w:val="32"/>
          <w:lang w:val="en-US" w:eastAsia="zh-Hans"/>
        </w:rPr>
        <w:t>月</w:t>
      </w:r>
      <w:r>
        <w:rPr>
          <w:rFonts w:hint="default" w:ascii="Times New Roman" w:hAnsi="Times New Roman" w:eastAsia="仿宋_GB2312" w:cs="Times New Roman"/>
          <w:b w:val="0"/>
          <w:bCs w:val="0"/>
          <w:sz w:val="32"/>
          <w:szCs w:val="32"/>
          <w:lang w:eastAsia="zh-Hans"/>
        </w:rPr>
        <w:t>31</w:t>
      </w:r>
      <w:r>
        <w:rPr>
          <w:rFonts w:hint="default" w:ascii="Times New Roman" w:hAnsi="Times New Roman" w:eastAsia="仿宋_GB2312" w:cs="Times New Roman"/>
          <w:b w:val="0"/>
          <w:bCs w:val="0"/>
          <w:sz w:val="32"/>
          <w:szCs w:val="32"/>
          <w:lang w:val="en-US" w:eastAsia="zh-Hans"/>
        </w:rPr>
        <w:t>日，在</w:t>
      </w:r>
      <w:r>
        <w:rPr>
          <w:rFonts w:hint="default" w:ascii="Times New Roman" w:hAnsi="Times New Roman" w:eastAsia="仿宋_GB2312" w:cs="Times New Roman"/>
          <w:b w:val="0"/>
          <w:bCs w:val="0"/>
          <w:sz w:val="32"/>
          <w:szCs w:val="32"/>
          <w:lang w:eastAsia="zh-CN"/>
        </w:rPr>
        <w:t>应急物资及粮食储备管理经费</w:t>
      </w:r>
      <w:r>
        <w:rPr>
          <w:rFonts w:hint="default" w:ascii="Times New Roman" w:hAnsi="Times New Roman" w:eastAsia="仿宋_GB2312" w:cs="Times New Roman"/>
          <w:b w:val="0"/>
          <w:bCs w:val="0"/>
          <w:sz w:val="32"/>
          <w:szCs w:val="32"/>
          <w:lang w:val="en-US" w:eastAsia="zh-Hans"/>
        </w:rPr>
        <w:t>项目开展过程中，未接到过复议、投诉、不满等问题事件</w:t>
      </w:r>
      <w:r>
        <w:rPr>
          <w:rFonts w:hint="default" w:ascii="Times New Roman" w:hAnsi="Times New Roman" w:eastAsia="仿宋_GB2312" w:cs="Times New Roman"/>
          <w:b w:val="0"/>
          <w:bCs w:val="0"/>
          <w:color w:val="auto"/>
          <w:sz w:val="32"/>
          <w:szCs w:val="32"/>
          <w:lang w:val="en-US" w:eastAsia="zh-Hans"/>
        </w:rPr>
        <w:t>。</w:t>
      </w:r>
    </w:p>
    <w:p w14:paraId="4AB604F9">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2.数据分析和撰写报告</w:t>
      </w:r>
    </w:p>
    <w:p w14:paraId="751D1DBA">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应急物资及粮食储备管理经费</w:t>
      </w:r>
      <w:r>
        <w:rPr>
          <w:rFonts w:hint="default" w:ascii="Times New Roman" w:hAnsi="Times New Roman" w:eastAsia="仿宋_GB2312" w:cs="Times New Roman"/>
          <w:b w:val="0"/>
          <w:bCs w:val="0"/>
          <w:sz w:val="32"/>
          <w:szCs w:val="32"/>
          <w:lang w:val="en-US" w:eastAsia="zh-Hans"/>
        </w:rPr>
        <w:t>项目的绩效目标值、预算资金申请数额、预算资金</w:t>
      </w:r>
      <w:r>
        <w:rPr>
          <w:rFonts w:hint="default" w:ascii="Times New Roman" w:hAnsi="Times New Roman" w:eastAsia="仿宋_GB2312" w:cs="Times New Roman"/>
          <w:b w:val="0"/>
          <w:bCs w:val="0"/>
          <w:sz w:val="32"/>
          <w:szCs w:val="32"/>
          <w:lang w:val="en-US" w:eastAsia="zh-CN"/>
        </w:rPr>
        <w:t>到位</w:t>
      </w:r>
      <w:r>
        <w:rPr>
          <w:rFonts w:hint="default" w:ascii="Times New Roman" w:hAnsi="Times New Roman" w:eastAsia="仿宋_GB2312" w:cs="Times New Roman"/>
          <w:b w:val="0"/>
          <w:bCs w:val="0"/>
          <w:sz w:val="32"/>
          <w:szCs w:val="32"/>
          <w:lang w:val="en-US" w:eastAsia="zh-Hans"/>
        </w:rPr>
        <w:t>数额、年度实际支出数额、绩效目标实际完成值</w:t>
      </w:r>
      <w:r>
        <w:rPr>
          <w:rFonts w:hint="default" w:ascii="Times New Roman" w:hAnsi="Times New Roman" w:eastAsia="仿宋_GB2312" w:cs="Times New Roman"/>
          <w:b w:val="0"/>
          <w:bCs w:val="0"/>
          <w:sz w:val="32"/>
          <w:szCs w:val="32"/>
          <w:lang w:val="en-US" w:eastAsia="zh-CN"/>
        </w:rPr>
        <w:t>、验收合格率</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Hans"/>
        </w:rPr>
        <w:t>数据分析主要采用比较法开展，将实施</w:t>
      </w:r>
      <w:r>
        <w:rPr>
          <w:rFonts w:hint="default" w:ascii="Times New Roman" w:hAnsi="Times New Roman" w:eastAsia="仿宋_GB2312" w:cs="Times New Roman"/>
          <w:b w:val="0"/>
          <w:bCs w:val="0"/>
          <w:sz w:val="32"/>
          <w:szCs w:val="32"/>
          <w:lang w:val="en-US" w:eastAsia="zh-CN"/>
        </w:rPr>
        <w:t>完成</w:t>
      </w:r>
      <w:r>
        <w:rPr>
          <w:rFonts w:hint="default" w:ascii="Times New Roman" w:hAnsi="Times New Roman" w:eastAsia="仿宋_GB2312" w:cs="Times New Roman"/>
          <w:b w:val="0"/>
          <w:bCs w:val="0"/>
          <w:sz w:val="32"/>
          <w:szCs w:val="32"/>
          <w:lang w:val="en-US" w:eastAsia="zh-Hans"/>
        </w:rPr>
        <w:t>情况与计划情况相比较，分析实际完成值和计划值的差异情况，再结合项目的决策、过程、产出、效果等综合情况撰写项目绩效评价报告。</w:t>
      </w:r>
    </w:p>
    <w:p w14:paraId="050A0FEE">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黑体" w:cs="Times New Roman"/>
          <w:b w:val="0"/>
          <w:bCs w:val="0"/>
          <w:color w:val="auto"/>
          <w:sz w:val="32"/>
          <w:szCs w:val="32"/>
        </w:rPr>
      </w:pPr>
      <w:bookmarkStart w:id="9" w:name="_Toc1506272740"/>
      <w:r>
        <w:rPr>
          <w:rFonts w:hint="default" w:ascii="Times New Roman" w:hAnsi="Times New Roman" w:eastAsia="黑体" w:cs="Times New Roman"/>
          <w:b w:val="0"/>
          <w:bCs w:val="0"/>
          <w:color w:val="auto"/>
          <w:sz w:val="32"/>
          <w:szCs w:val="32"/>
        </w:rPr>
        <w:t>三、综合评价情况及评价结论</w:t>
      </w:r>
      <w:bookmarkEnd w:id="9"/>
    </w:p>
    <w:p w14:paraId="20C84F38">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10" w:name="_Toc1388710344"/>
      <w:r>
        <w:rPr>
          <w:rFonts w:hint="default" w:ascii="Times New Roman" w:hAnsi="Times New Roman" w:eastAsia="楷体_GB2312" w:cs="Times New Roman"/>
          <w:b w:val="0"/>
          <w:bCs w:val="0"/>
          <w:color w:val="auto"/>
          <w:sz w:val="32"/>
          <w:szCs w:val="32"/>
        </w:rPr>
        <w:t>（一）绩效评价综合结论</w:t>
      </w:r>
      <w:bookmarkEnd w:id="10"/>
    </w:p>
    <w:p w14:paraId="1F4D7B79">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本次部门绩效</w:t>
      </w:r>
      <w:r>
        <w:rPr>
          <w:rFonts w:hint="default" w:ascii="Times New Roman" w:hAnsi="Times New Roman" w:eastAsia="仿宋_GB2312" w:cs="Times New Roman"/>
          <w:b w:val="0"/>
          <w:bCs w:val="0"/>
          <w:sz w:val="32"/>
          <w:szCs w:val="32"/>
          <w:lang w:eastAsia="zh-Hans"/>
        </w:rPr>
        <w:t>评价得分</w:t>
      </w:r>
      <w:r>
        <w:rPr>
          <w:rFonts w:hint="default" w:ascii="Times New Roman" w:hAnsi="Times New Roman" w:eastAsia="仿宋_GB2312" w:cs="Times New Roman"/>
          <w:b w:val="0"/>
          <w:bCs w:val="0"/>
          <w:sz w:val="32"/>
          <w:szCs w:val="32"/>
          <w:lang w:val="en-US" w:eastAsia="zh-CN"/>
        </w:rPr>
        <w:t>9</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44</w:t>
      </w:r>
      <w:r>
        <w:rPr>
          <w:rFonts w:hint="default" w:ascii="Times New Roman" w:hAnsi="Times New Roman" w:eastAsia="仿宋_GB2312" w:cs="Times New Roman"/>
          <w:b w:val="0"/>
          <w:bCs w:val="0"/>
          <w:sz w:val="32"/>
          <w:szCs w:val="32"/>
          <w:lang w:eastAsia="zh-Hans"/>
        </w:rPr>
        <w:t>分，评价等级为“</w:t>
      </w:r>
      <w:r>
        <w:rPr>
          <w:rFonts w:hint="default" w:ascii="Times New Roman" w:hAnsi="Times New Roman" w:eastAsia="仿宋_GB2312" w:cs="Times New Roman"/>
          <w:b w:val="0"/>
          <w:bCs w:val="0"/>
          <w:sz w:val="32"/>
          <w:szCs w:val="32"/>
          <w:lang w:val="en-US" w:eastAsia="zh-Hans"/>
        </w:rPr>
        <w:t>优</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一级指标得分情况如下表</w:t>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Hans"/>
        </w:rPr>
        <w:t>。</w:t>
      </w:r>
    </w:p>
    <w:p w14:paraId="570800E2">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表</w:t>
      </w:r>
      <w:r>
        <w:rPr>
          <w:rFonts w:hint="default" w:ascii="Times New Roman" w:hAnsi="Times New Roman" w:eastAsia="仿宋_GB2312" w:cs="Times New Roman"/>
          <w:b w:val="0"/>
          <w:bCs w:val="0"/>
          <w:sz w:val="32"/>
          <w:szCs w:val="32"/>
          <w:lang w:eastAsia="zh-Hans"/>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Hans"/>
        </w:rPr>
        <w:t>绩效评价得分情况表</w:t>
      </w:r>
    </w:p>
    <w:tbl>
      <w:tblPr>
        <w:tblStyle w:val="1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20"/>
        <w:gridCol w:w="2258"/>
        <w:gridCol w:w="2262"/>
        <w:gridCol w:w="2260"/>
      </w:tblGrid>
      <w:tr w14:paraId="7B44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67" w:hRule="exact"/>
          <w:tblHeader/>
          <w:jc w:val="center"/>
        </w:trPr>
        <w:tc>
          <w:tcPr>
            <w:tcW w:w="1720" w:type="dxa"/>
            <w:tcBorders>
              <w:top w:val="single" w:color="auto" w:sz="4" w:space="0"/>
            </w:tcBorders>
            <w:vAlign w:val="center"/>
          </w:tcPr>
          <w:p w14:paraId="0987291F">
            <w:pPr>
              <w:keepNext w:val="0"/>
              <w:keepLines w:val="0"/>
              <w:pageBreakBefore w:val="0"/>
              <w:widowControl/>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一级指标</w:t>
            </w:r>
          </w:p>
        </w:tc>
        <w:tc>
          <w:tcPr>
            <w:tcW w:w="2258" w:type="dxa"/>
            <w:tcBorders>
              <w:top w:val="single" w:color="auto" w:sz="4" w:space="0"/>
            </w:tcBorders>
            <w:vAlign w:val="center"/>
          </w:tcPr>
          <w:p w14:paraId="338710FA">
            <w:pPr>
              <w:keepNext w:val="0"/>
              <w:keepLines w:val="0"/>
              <w:pageBreakBefore w:val="0"/>
              <w:widowControl/>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指标分值（分）</w:t>
            </w:r>
          </w:p>
        </w:tc>
        <w:tc>
          <w:tcPr>
            <w:tcW w:w="2262" w:type="dxa"/>
            <w:tcBorders>
              <w:top w:val="single" w:color="auto" w:sz="4" w:space="0"/>
            </w:tcBorders>
            <w:vAlign w:val="center"/>
          </w:tcPr>
          <w:p w14:paraId="491F17A6">
            <w:pPr>
              <w:keepNext w:val="0"/>
              <w:keepLines w:val="0"/>
              <w:pageBreakBefore w:val="0"/>
              <w:widowControl/>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评价得分（分）</w:t>
            </w:r>
          </w:p>
        </w:tc>
        <w:tc>
          <w:tcPr>
            <w:tcW w:w="2260" w:type="dxa"/>
            <w:tcBorders>
              <w:top w:val="single" w:color="auto" w:sz="4" w:space="0"/>
            </w:tcBorders>
            <w:vAlign w:val="center"/>
          </w:tcPr>
          <w:p w14:paraId="3C8073B0">
            <w:pPr>
              <w:keepNext w:val="0"/>
              <w:keepLines w:val="0"/>
              <w:pageBreakBefore w:val="0"/>
              <w:widowControl/>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仿宋_GB2312" w:cs="Times New Roman"/>
                <w:b/>
                <w:bCs/>
                <w:color w:val="auto"/>
                <w:spacing w:val="6"/>
                <w:sz w:val="32"/>
                <w:szCs w:val="32"/>
                <w:lang w:eastAsia="zh-Hans"/>
              </w:rPr>
            </w:pPr>
            <w:r>
              <w:rPr>
                <w:rFonts w:hint="default" w:ascii="Times New Roman" w:hAnsi="Times New Roman" w:eastAsia="仿宋_GB2312" w:cs="Times New Roman"/>
                <w:b/>
                <w:bCs/>
                <w:color w:val="auto"/>
                <w:spacing w:val="6"/>
                <w:sz w:val="32"/>
                <w:szCs w:val="32"/>
              </w:rPr>
              <w:t>得分率</w:t>
            </w:r>
            <w:r>
              <w:rPr>
                <w:rFonts w:hint="default" w:ascii="Times New Roman" w:hAnsi="Times New Roman" w:eastAsia="仿宋_GB2312" w:cs="Times New Roman"/>
                <w:b/>
                <w:bCs/>
                <w:color w:val="auto"/>
                <w:spacing w:val="6"/>
                <w:sz w:val="32"/>
                <w:szCs w:val="32"/>
                <w:lang w:eastAsia="zh-Hans"/>
              </w:rPr>
              <w:t>（</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eastAsia="zh-Hans"/>
              </w:rPr>
              <w:t>）</w:t>
            </w:r>
          </w:p>
        </w:tc>
      </w:tr>
      <w:tr w14:paraId="25BA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0" w:hRule="exact"/>
          <w:jc w:val="center"/>
        </w:trPr>
        <w:tc>
          <w:tcPr>
            <w:tcW w:w="1720" w:type="dxa"/>
            <w:vAlign w:val="center"/>
          </w:tcPr>
          <w:p w14:paraId="5F2C1FAB">
            <w:pPr>
              <w:keepNext w:val="0"/>
              <w:keepLines w:val="0"/>
              <w:pageBreakBefore w:val="0"/>
              <w:widowControl/>
              <w:kinsoku/>
              <w:wordWrap/>
              <w:overflowPunct/>
              <w:topLinePunct w:val="0"/>
              <w:autoSpaceDE/>
              <w:autoSpaceDN/>
              <w:bidi w:val="0"/>
              <w:adjustRightInd/>
              <w:snapToGrid/>
              <w:spacing w:line="550" w:lineRule="exact"/>
              <w:ind w:firstLine="0" w:firstLineChars="0"/>
              <w:jc w:val="both"/>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rPr>
              <w:t>决策</w:t>
            </w:r>
          </w:p>
        </w:tc>
        <w:tc>
          <w:tcPr>
            <w:tcW w:w="2258" w:type="dxa"/>
            <w:vAlign w:val="center"/>
          </w:tcPr>
          <w:p w14:paraId="57691AE9">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u w:val="none"/>
                <w:lang w:eastAsia="zh-CN" w:bidi="ar"/>
              </w:rPr>
              <w:t>20</w:t>
            </w:r>
            <w:r>
              <w:rPr>
                <w:rFonts w:hint="default" w:ascii="Times New Roman" w:hAnsi="Times New Roman" w:eastAsia="仿宋_GB2312" w:cs="Times New Roman"/>
                <w:b w:val="0"/>
                <w:bCs w:val="0"/>
                <w:spacing w:val="6"/>
                <w:kern w:val="0"/>
                <w:sz w:val="32"/>
                <w:szCs w:val="32"/>
                <w:highlight w:val="none"/>
                <w:lang w:val="en-US" w:eastAsia="zh-CN"/>
              </w:rPr>
              <w:t>.00</w:t>
            </w:r>
          </w:p>
        </w:tc>
        <w:tc>
          <w:tcPr>
            <w:tcW w:w="2262" w:type="dxa"/>
            <w:vAlign w:val="center"/>
          </w:tcPr>
          <w:p w14:paraId="317F2109">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lang w:val="en-US" w:eastAsia="zh-CN"/>
              </w:rPr>
              <w:t>20</w:t>
            </w:r>
            <w:r>
              <w:rPr>
                <w:rFonts w:hint="default" w:ascii="Times New Roman" w:hAnsi="Times New Roman" w:eastAsia="仿宋_GB2312" w:cs="Times New Roman"/>
                <w:b w:val="0"/>
                <w:bCs w:val="0"/>
                <w:color w:val="auto"/>
                <w:spacing w:val="6"/>
                <w:sz w:val="32"/>
                <w:szCs w:val="32"/>
                <w:highlight w:val="none"/>
              </w:rPr>
              <w:t>.00</w:t>
            </w:r>
          </w:p>
        </w:tc>
        <w:tc>
          <w:tcPr>
            <w:tcW w:w="2260" w:type="dxa"/>
            <w:vAlign w:val="center"/>
          </w:tcPr>
          <w:p w14:paraId="206532FC">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lang w:val="en-US" w:eastAsia="zh-CN"/>
              </w:rPr>
              <w:t>10</w:t>
            </w:r>
            <w:r>
              <w:rPr>
                <w:rFonts w:hint="default" w:ascii="Times New Roman" w:hAnsi="Times New Roman" w:eastAsia="仿宋_GB2312" w:cs="Times New Roman"/>
                <w:b w:val="0"/>
                <w:bCs w:val="0"/>
                <w:color w:val="auto"/>
                <w:spacing w:val="6"/>
                <w:sz w:val="32"/>
                <w:szCs w:val="32"/>
                <w:highlight w:val="none"/>
              </w:rPr>
              <w:t>0.00%</w:t>
            </w:r>
          </w:p>
        </w:tc>
      </w:tr>
      <w:tr w14:paraId="227D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0" w:hRule="exact"/>
          <w:jc w:val="center"/>
        </w:trPr>
        <w:tc>
          <w:tcPr>
            <w:tcW w:w="1720" w:type="dxa"/>
            <w:vAlign w:val="center"/>
          </w:tcPr>
          <w:p w14:paraId="28431BD8">
            <w:pPr>
              <w:keepNext w:val="0"/>
              <w:keepLines w:val="0"/>
              <w:pageBreakBefore w:val="0"/>
              <w:widowControl/>
              <w:kinsoku/>
              <w:wordWrap/>
              <w:overflowPunct/>
              <w:topLinePunct w:val="0"/>
              <w:autoSpaceDE/>
              <w:autoSpaceDN/>
              <w:bidi w:val="0"/>
              <w:adjustRightInd/>
              <w:snapToGrid/>
              <w:spacing w:line="550" w:lineRule="exact"/>
              <w:ind w:firstLine="0" w:firstLineChars="0"/>
              <w:jc w:val="both"/>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过程</w:t>
            </w:r>
          </w:p>
        </w:tc>
        <w:tc>
          <w:tcPr>
            <w:tcW w:w="2258" w:type="dxa"/>
            <w:vAlign w:val="center"/>
          </w:tcPr>
          <w:p w14:paraId="6CDB8E94">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20</w:t>
            </w:r>
            <w:r>
              <w:rPr>
                <w:rFonts w:hint="default" w:ascii="Times New Roman" w:hAnsi="Times New Roman" w:eastAsia="仿宋_GB2312" w:cs="Times New Roman"/>
                <w:b w:val="0"/>
                <w:bCs w:val="0"/>
                <w:spacing w:val="6"/>
                <w:kern w:val="0"/>
                <w:sz w:val="32"/>
                <w:szCs w:val="32"/>
                <w:lang w:val="en-US" w:eastAsia="zh-CN"/>
              </w:rPr>
              <w:t>.00</w:t>
            </w:r>
          </w:p>
        </w:tc>
        <w:tc>
          <w:tcPr>
            <w:tcW w:w="2262" w:type="dxa"/>
            <w:vAlign w:val="center"/>
          </w:tcPr>
          <w:p w14:paraId="3B1BD7C4">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en-US" w:eastAsia="zh-CN"/>
              </w:rPr>
              <w:t>17.44</w:t>
            </w:r>
          </w:p>
        </w:tc>
        <w:tc>
          <w:tcPr>
            <w:tcW w:w="2260" w:type="dxa"/>
            <w:vAlign w:val="center"/>
          </w:tcPr>
          <w:p w14:paraId="4A2C3587">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val="0"/>
                <w:bCs w:val="0"/>
                <w:color w:val="auto"/>
                <w:spacing w:val="6"/>
                <w:sz w:val="32"/>
                <w:szCs w:val="32"/>
                <w:lang w:val="en-US" w:eastAsia="zh-CN"/>
              </w:rPr>
              <w:t>87.20%</w:t>
            </w:r>
          </w:p>
        </w:tc>
      </w:tr>
      <w:tr w14:paraId="19B6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0" w:hRule="exact"/>
          <w:jc w:val="center"/>
        </w:trPr>
        <w:tc>
          <w:tcPr>
            <w:tcW w:w="1720" w:type="dxa"/>
            <w:vAlign w:val="center"/>
          </w:tcPr>
          <w:p w14:paraId="6C5AFFF5">
            <w:pPr>
              <w:keepNext w:val="0"/>
              <w:keepLines w:val="0"/>
              <w:pageBreakBefore w:val="0"/>
              <w:widowControl/>
              <w:kinsoku/>
              <w:wordWrap/>
              <w:overflowPunct/>
              <w:topLinePunct w:val="0"/>
              <w:autoSpaceDE/>
              <w:autoSpaceDN/>
              <w:bidi w:val="0"/>
              <w:adjustRightInd/>
              <w:snapToGrid/>
              <w:spacing w:line="550" w:lineRule="exact"/>
              <w:ind w:firstLine="0" w:firstLineChars="0"/>
              <w:jc w:val="both"/>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产出</w:t>
            </w:r>
          </w:p>
        </w:tc>
        <w:tc>
          <w:tcPr>
            <w:tcW w:w="2258" w:type="dxa"/>
            <w:vAlign w:val="center"/>
          </w:tcPr>
          <w:p w14:paraId="68C5A0E5">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30</w:t>
            </w:r>
            <w:r>
              <w:rPr>
                <w:rFonts w:hint="default" w:ascii="Times New Roman" w:hAnsi="Times New Roman" w:eastAsia="仿宋_GB2312" w:cs="Times New Roman"/>
                <w:b w:val="0"/>
                <w:bCs w:val="0"/>
                <w:spacing w:val="6"/>
                <w:kern w:val="0"/>
                <w:sz w:val="32"/>
                <w:szCs w:val="32"/>
                <w:lang w:val="en-US" w:eastAsia="zh-CN"/>
              </w:rPr>
              <w:t>.00</w:t>
            </w:r>
          </w:p>
        </w:tc>
        <w:tc>
          <w:tcPr>
            <w:tcW w:w="2262" w:type="dxa"/>
            <w:vAlign w:val="center"/>
          </w:tcPr>
          <w:p w14:paraId="06D4B07C">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lang w:val="en-US"/>
              </w:rPr>
            </w:pPr>
            <w:r>
              <w:rPr>
                <w:rFonts w:hint="eastAsia" w:ascii="Times New Roman" w:hAnsi="Times New Roman" w:eastAsia="仿宋_GB2312" w:cs="Times New Roman"/>
                <w:b w:val="0"/>
                <w:bCs w:val="0"/>
                <w:color w:val="auto"/>
                <w:spacing w:val="6"/>
                <w:sz w:val="32"/>
                <w:szCs w:val="32"/>
                <w:lang w:val="en-US" w:eastAsia="zh-CN"/>
              </w:rPr>
              <w:t>30.00</w:t>
            </w:r>
          </w:p>
        </w:tc>
        <w:tc>
          <w:tcPr>
            <w:tcW w:w="2260" w:type="dxa"/>
            <w:vAlign w:val="center"/>
          </w:tcPr>
          <w:p w14:paraId="043EA038">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eastAsia" w:ascii="Times New Roman" w:hAnsi="Times New Roman" w:eastAsia="仿宋_GB2312" w:cs="Times New Roman"/>
                <w:b w:val="0"/>
                <w:bCs w:val="0"/>
                <w:color w:val="auto"/>
                <w:spacing w:val="6"/>
                <w:sz w:val="32"/>
                <w:szCs w:val="32"/>
                <w:lang w:val="en-US" w:eastAsia="zh-CN"/>
              </w:rPr>
              <w:t>100.00</w:t>
            </w:r>
            <w:r>
              <w:rPr>
                <w:rFonts w:hint="default" w:ascii="Times New Roman" w:hAnsi="Times New Roman" w:eastAsia="仿宋_GB2312" w:cs="Times New Roman"/>
                <w:b w:val="0"/>
                <w:bCs w:val="0"/>
                <w:color w:val="auto"/>
                <w:spacing w:val="6"/>
                <w:sz w:val="32"/>
                <w:szCs w:val="32"/>
              </w:rPr>
              <w:t>%</w:t>
            </w:r>
          </w:p>
        </w:tc>
      </w:tr>
      <w:tr w14:paraId="20EE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0" w:hRule="exact"/>
          <w:jc w:val="center"/>
        </w:trPr>
        <w:tc>
          <w:tcPr>
            <w:tcW w:w="1720" w:type="dxa"/>
            <w:vAlign w:val="center"/>
          </w:tcPr>
          <w:p w14:paraId="37E305C9">
            <w:pPr>
              <w:keepNext w:val="0"/>
              <w:keepLines w:val="0"/>
              <w:pageBreakBefore w:val="0"/>
              <w:widowControl/>
              <w:kinsoku/>
              <w:wordWrap/>
              <w:overflowPunct/>
              <w:topLinePunct w:val="0"/>
              <w:autoSpaceDE/>
              <w:autoSpaceDN/>
              <w:bidi w:val="0"/>
              <w:adjustRightInd/>
              <w:snapToGrid/>
              <w:spacing w:line="550" w:lineRule="exact"/>
              <w:ind w:firstLine="0" w:firstLineChars="0"/>
              <w:jc w:val="both"/>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效果</w:t>
            </w:r>
          </w:p>
        </w:tc>
        <w:tc>
          <w:tcPr>
            <w:tcW w:w="2258" w:type="dxa"/>
            <w:vAlign w:val="center"/>
          </w:tcPr>
          <w:p w14:paraId="542A2146">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30</w:t>
            </w:r>
            <w:r>
              <w:rPr>
                <w:rFonts w:hint="default" w:ascii="Times New Roman" w:hAnsi="Times New Roman" w:eastAsia="仿宋_GB2312" w:cs="Times New Roman"/>
                <w:b w:val="0"/>
                <w:bCs w:val="0"/>
                <w:spacing w:val="6"/>
                <w:kern w:val="0"/>
                <w:sz w:val="32"/>
                <w:szCs w:val="32"/>
                <w:lang w:val="en-US" w:eastAsia="zh-CN"/>
              </w:rPr>
              <w:t>.</w:t>
            </w:r>
            <w:r>
              <w:rPr>
                <w:rFonts w:hint="default" w:ascii="Times New Roman" w:hAnsi="Times New Roman" w:eastAsia="仿宋_GB2312" w:cs="Times New Roman"/>
                <w:b w:val="0"/>
                <w:bCs w:val="0"/>
                <w:spacing w:val="6"/>
                <w:kern w:val="0"/>
                <w:sz w:val="32"/>
                <w:szCs w:val="32"/>
                <w:lang w:eastAsia="zh-CN"/>
              </w:rPr>
              <w:t>00</w:t>
            </w:r>
          </w:p>
        </w:tc>
        <w:tc>
          <w:tcPr>
            <w:tcW w:w="2262" w:type="dxa"/>
            <w:vAlign w:val="center"/>
          </w:tcPr>
          <w:p w14:paraId="37DFC26B">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30.00</w:t>
            </w:r>
          </w:p>
        </w:tc>
        <w:tc>
          <w:tcPr>
            <w:tcW w:w="2260" w:type="dxa"/>
            <w:vAlign w:val="center"/>
          </w:tcPr>
          <w:p w14:paraId="7B28C55E">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100.00%</w:t>
            </w:r>
          </w:p>
        </w:tc>
      </w:tr>
      <w:tr w14:paraId="590C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5" w:hRule="exact"/>
          <w:jc w:val="center"/>
        </w:trPr>
        <w:tc>
          <w:tcPr>
            <w:tcW w:w="1720" w:type="dxa"/>
            <w:vAlign w:val="center"/>
          </w:tcPr>
          <w:p w14:paraId="60F7F7E7">
            <w:pPr>
              <w:keepNext w:val="0"/>
              <w:keepLines w:val="0"/>
              <w:pageBreakBefore w:val="0"/>
              <w:widowControl/>
              <w:kinsoku/>
              <w:wordWrap/>
              <w:overflowPunct/>
              <w:topLinePunct w:val="0"/>
              <w:autoSpaceDE/>
              <w:autoSpaceDN/>
              <w:bidi w:val="0"/>
              <w:adjustRightInd/>
              <w:snapToGrid/>
              <w:spacing w:line="550" w:lineRule="exact"/>
              <w:ind w:firstLine="0" w:firstLineChars="0"/>
              <w:jc w:val="both"/>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合计</w:t>
            </w:r>
          </w:p>
        </w:tc>
        <w:tc>
          <w:tcPr>
            <w:tcW w:w="2258" w:type="dxa"/>
            <w:vAlign w:val="center"/>
          </w:tcPr>
          <w:p w14:paraId="14A8FD13">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top"/>
              <w:rPr>
                <w:rFonts w:hint="default" w:ascii="Times New Roman" w:hAnsi="Times New Roman" w:eastAsia="仿宋_GB2312" w:cs="Times New Roman"/>
                <w:b w:val="0"/>
                <w:bCs w:val="0"/>
                <w:color w:val="auto"/>
                <w:spacing w:val="6"/>
                <w:sz w:val="32"/>
                <w:szCs w:val="32"/>
                <w:highlight w:val="yellow"/>
              </w:rPr>
            </w:pP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100</w:t>
            </w:r>
            <w:r>
              <w:rPr>
                <w:rFonts w:hint="default" w:ascii="Times New Roman" w:hAnsi="Times New Roman" w:eastAsia="仿宋_GB2312" w:cs="Times New Roman"/>
                <w:b w:val="0"/>
                <w:bCs w:val="0"/>
                <w:spacing w:val="6"/>
                <w:kern w:val="0"/>
                <w:sz w:val="32"/>
                <w:szCs w:val="32"/>
                <w:highlight w:val="none"/>
                <w:lang w:val="en-US" w:eastAsia="zh-CN"/>
              </w:rPr>
              <w:t>.00</w:t>
            </w:r>
          </w:p>
        </w:tc>
        <w:tc>
          <w:tcPr>
            <w:tcW w:w="2262" w:type="dxa"/>
            <w:vAlign w:val="center"/>
          </w:tcPr>
          <w:p w14:paraId="555EA172">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top"/>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fldChar w:fldCharType="begin"/>
            </w:r>
            <w:r>
              <w:rPr>
                <w:rFonts w:hint="default" w:ascii="Times New Roman" w:hAnsi="Times New Roman" w:eastAsia="仿宋_GB2312" w:cs="Times New Roman"/>
                <w:b w:val="0"/>
                <w:bCs w:val="0"/>
                <w:color w:val="auto"/>
                <w:spacing w:val="6"/>
                <w:sz w:val="32"/>
                <w:szCs w:val="32"/>
                <w:highlight w:val="none"/>
                <w:lang w:val="en-US" w:eastAsia="zh-CN"/>
              </w:rPr>
              <w:instrText xml:space="preserve"> = sum(C2:C5) \* MERGEFORMAT </w:instrText>
            </w:r>
            <w:r>
              <w:rPr>
                <w:rFonts w:hint="default" w:ascii="Times New Roman" w:hAnsi="Times New Roman" w:eastAsia="仿宋_GB2312" w:cs="Times New Roman"/>
                <w:b w:val="0"/>
                <w:bCs w:val="0"/>
                <w:color w:val="auto"/>
                <w:spacing w:val="6"/>
                <w:sz w:val="32"/>
                <w:szCs w:val="32"/>
                <w:highlight w:val="none"/>
                <w:lang w:val="en-US" w:eastAsia="zh-CN"/>
              </w:rPr>
              <w:fldChar w:fldCharType="separate"/>
            </w:r>
            <w:r>
              <w:rPr>
                <w:rFonts w:hint="default" w:ascii="Times New Roman" w:hAnsi="Times New Roman" w:eastAsia="仿宋_GB2312" w:cs="Times New Roman"/>
                <w:b w:val="0"/>
                <w:bCs w:val="0"/>
                <w:color w:val="auto"/>
                <w:spacing w:val="6"/>
                <w:sz w:val="32"/>
                <w:szCs w:val="32"/>
                <w:highlight w:val="none"/>
                <w:lang w:val="en-US" w:eastAsia="zh-CN"/>
              </w:rPr>
              <w:t>97.44</w:t>
            </w:r>
            <w:r>
              <w:rPr>
                <w:rFonts w:hint="default" w:ascii="Times New Roman" w:hAnsi="Times New Roman" w:eastAsia="仿宋_GB2312" w:cs="Times New Roman"/>
                <w:b w:val="0"/>
                <w:bCs w:val="0"/>
                <w:color w:val="auto"/>
                <w:spacing w:val="6"/>
                <w:sz w:val="32"/>
                <w:szCs w:val="32"/>
                <w:highlight w:val="none"/>
                <w:lang w:val="en-US" w:eastAsia="zh-CN"/>
              </w:rPr>
              <w:fldChar w:fldCharType="end"/>
            </w:r>
          </w:p>
        </w:tc>
        <w:tc>
          <w:tcPr>
            <w:tcW w:w="2260" w:type="dxa"/>
            <w:vAlign w:val="center"/>
          </w:tcPr>
          <w:p w14:paraId="7E52BD97">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both"/>
              <w:textAlignment w:val="top"/>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9</w:t>
            </w:r>
            <w:r>
              <w:rPr>
                <w:rFonts w:hint="eastAsia" w:ascii="Times New Roman" w:hAnsi="Times New Roman" w:eastAsia="仿宋_GB2312" w:cs="Times New Roman"/>
                <w:b w:val="0"/>
                <w:bCs w:val="0"/>
                <w:color w:val="auto"/>
                <w:spacing w:val="6"/>
                <w:sz w:val="32"/>
                <w:szCs w:val="32"/>
                <w:highlight w:val="none"/>
                <w:lang w:val="en-US" w:eastAsia="zh-CN"/>
              </w:rPr>
              <w:t>7</w:t>
            </w:r>
            <w:r>
              <w:rPr>
                <w:rFonts w:hint="default"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44</w:t>
            </w:r>
            <w:r>
              <w:rPr>
                <w:rFonts w:hint="default" w:ascii="Times New Roman" w:hAnsi="Times New Roman" w:eastAsia="仿宋_GB2312" w:cs="Times New Roman"/>
                <w:b w:val="0"/>
                <w:bCs w:val="0"/>
                <w:color w:val="auto"/>
                <w:spacing w:val="6"/>
                <w:sz w:val="32"/>
                <w:szCs w:val="32"/>
                <w:highlight w:val="none"/>
                <w:lang w:val="en-US" w:eastAsia="zh-CN"/>
              </w:rPr>
              <w:t>%</w:t>
            </w:r>
          </w:p>
        </w:tc>
      </w:tr>
    </w:tbl>
    <w:p w14:paraId="2BC22A75">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11" w:name="_Toc1202476012"/>
      <w:r>
        <w:rPr>
          <w:rFonts w:hint="default" w:ascii="Times New Roman" w:hAnsi="Times New Roman" w:eastAsia="楷体_GB2312" w:cs="Times New Roman"/>
          <w:b w:val="0"/>
          <w:bCs w:val="0"/>
          <w:color w:val="auto"/>
          <w:sz w:val="32"/>
          <w:szCs w:val="32"/>
        </w:rPr>
        <w:t>（二）绩效目标实现情况</w:t>
      </w:r>
      <w:bookmarkEnd w:id="11"/>
    </w:p>
    <w:p w14:paraId="26EF836D">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2024年组织开展</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3次粮油市场巡查、25次储备粮库安全检查。开展</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粮食安全宣传活动3次，分别是5月29日粮食科技周宣传活动、8月15日“节约粮食以俭养德”宣传活动、9月20日节约粮食宣传活动。支付</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2024年应急物资委托代储费40,000元、2023年应付应急帐篷采购货款192,144.00元</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通过公开招标补充采购应急储备物资1批，保障了应急物资储备供应能力。</w:t>
      </w:r>
    </w:p>
    <w:p w14:paraId="188B055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仿宋_GB2312" w:cs="Times New Roman"/>
          <w:b w:val="0"/>
          <w:bCs w:val="0"/>
          <w:color w:val="auto"/>
          <w:sz w:val="32"/>
          <w:szCs w:val="32"/>
        </w:rPr>
      </w:pPr>
      <w:bookmarkStart w:id="12" w:name="_Toc45731767"/>
      <w:r>
        <w:rPr>
          <w:rFonts w:hint="default" w:ascii="Times New Roman" w:hAnsi="Times New Roman" w:eastAsia="黑体" w:cs="Times New Roman"/>
          <w:b w:val="0"/>
          <w:bCs w:val="0"/>
          <w:color w:val="auto"/>
          <w:sz w:val="32"/>
          <w:szCs w:val="32"/>
        </w:rPr>
        <w:t>四、绩效评价指标分析</w:t>
      </w:r>
      <w:bookmarkEnd w:id="12"/>
    </w:p>
    <w:p w14:paraId="015C8340">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lang w:eastAsia="zh-CN"/>
        </w:rPr>
      </w:pPr>
      <w:bookmarkStart w:id="13" w:name="_Toc1962145990"/>
      <w:r>
        <w:rPr>
          <w:rFonts w:hint="default" w:ascii="Times New Roman" w:hAnsi="Times New Roman" w:eastAsia="楷体_GB2312" w:cs="Times New Roman"/>
          <w:b w:val="0"/>
          <w:bCs w:val="0"/>
          <w:color w:val="auto"/>
          <w:sz w:val="32"/>
          <w:szCs w:val="32"/>
        </w:rPr>
        <w:t>（一）项目决策情况分析</w:t>
      </w:r>
      <w:bookmarkEnd w:id="13"/>
    </w:p>
    <w:p w14:paraId="50CEE788">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从评价得分情况看，决策指标分值20分，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eastAsia="zh-Hans"/>
        </w:rPr>
        <w:t>评价得分</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eastAsia="zh-Hans"/>
        </w:rPr>
        <w:t>分，得分率</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eastAsia="zh-Hans"/>
        </w:rPr>
        <w:t>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具体情况分析如下：</w:t>
      </w:r>
    </w:p>
    <w:p w14:paraId="60DAC117">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CN"/>
        </w:rPr>
        <w:t>1.项目立项依据充分，立项程序规范。</w:t>
      </w:r>
      <w:r>
        <w:rPr>
          <w:rFonts w:hint="default" w:ascii="Times New Roman" w:hAnsi="Times New Roman" w:eastAsia="仿宋_GB2312" w:cs="Times New Roman"/>
          <w:b w:val="0"/>
          <w:bCs w:val="0"/>
          <w:color w:val="auto"/>
          <w:sz w:val="32"/>
          <w:szCs w:val="32"/>
          <w:lang w:eastAsia="zh-Hans"/>
        </w:rPr>
        <w:t>项目</w:t>
      </w:r>
      <w:r>
        <w:rPr>
          <w:rFonts w:hint="default" w:ascii="Times New Roman" w:hAnsi="Times New Roman" w:eastAsia="仿宋_GB2312" w:cs="Times New Roman"/>
          <w:b w:val="0"/>
          <w:bCs w:val="0"/>
          <w:color w:val="auto"/>
          <w:sz w:val="32"/>
          <w:szCs w:val="32"/>
          <w:lang w:val="en-US" w:eastAsia="zh-Hans"/>
        </w:rPr>
        <w:t>已</w:t>
      </w:r>
      <w:r>
        <w:rPr>
          <w:rFonts w:hint="default" w:ascii="Times New Roman" w:hAnsi="Times New Roman" w:eastAsia="仿宋_GB2312" w:cs="Times New Roman"/>
          <w:b w:val="0"/>
          <w:bCs w:val="0"/>
          <w:color w:val="auto"/>
          <w:sz w:val="32"/>
          <w:szCs w:val="32"/>
          <w:lang w:eastAsia="zh-Hans"/>
        </w:rPr>
        <w:t>按照</w:t>
      </w:r>
      <w:r>
        <w:rPr>
          <w:rFonts w:hint="default" w:ascii="Times New Roman" w:hAnsi="Times New Roman" w:eastAsia="仿宋_GB2312" w:cs="Times New Roman"/>
          <w:b w:val="0"/>
          <w:bCs w:val="0"/>
          <w:color w:val="auto"/>
          <w:sz w:val="32"/>
          <w:szCs w:val="32"/>
          <w:lang w:val="en-US" w:eastAsia="zh-Hans"/>
        </w:rPr>
        <w:t>五华区</w:t>
      </w:r>
      <w:r>
        <w:rPr>
          <w:rFonts w:hint="default" w:ascii="Times New Roman" w:hAnsi="Times New Roman" w:eastAsia="仿宋_GB2312" w:cs="Times New Roman"/>
          <w:b w:val="0"/>
          <w:bCs w:val="0"/>
          <w:color w:val="auto"/>
          <w:sz w:val="32"/>
          <w:szCs w:val="32"/>
          <w:lang w:eastAsia="zh-Hans"/>
        </w:rPr>
        <w:t>财政局规定的程序申请设立</w:t>
      </w:r>
      <w:r>
        <w:rPr>
          <w:rFonts w:hint="default" w:ascii="Times New Roman" w:hAnsi="Times New Roman" w:eastAsia="仿宋_GB2312" w:cs="Times New Roman"/>
          <w:b w:val="0"/>
          <w:bCs w:val="0"/>
          <w:color w:val="auto"/>
          <w:sz w:val="32"/>
          <w:szCs w:val="32"/>
          <w:lang w:val="en-US" w:eastAsia="zh-Hans"/>
        </w:rPr>
        <w:t>并</w:t>
      </w:r>
      <w:r>
        <w:rPr>
          <w:rFonts w:hint="eastAsia" w:ascii="Times New Roman" w:hAnsi="Times New Roman" w:eastAsia="仿宋_GB2312" w:cs="Times New Roman"/>
          <w:b w:val="0"/>
          <w:bCs w:val="0"/>
          <w:color w:val="auto"/>
          <w:sz w:val="32"/>
          <w:szCs w:val="32"/>
          <w:lang w:val="en-US" w:eastAsia="zh-CN"/>
        </w:rPr>
        <w:t>经本单位自审、区财政局委托的第三方机构</w:t>
      </w:r>
      <w:r>
        <w:rPr>
          <w:rFonts w:hint="default" w:ascii="Times New Roman" w:hAnsi="Times New Roman" w:eastAsia="仿宋_GB2312" w:cs="Times New Roman"/>
          <w:b w:val="0"/>
          <w:bCs w:val="0"/>
          <w:color w:val="auto"/>
          <w:sz w:val="32"/>
          <w:szCs w:val="32"/>
          <w:lang w:val="en-US" w:eastAsia="zh-CN"/>
        </w:rPr>
        <w:t>审核</w:t>
      </w:r>
      <w:r>
        <w:rPr>
          <w:rFonts w:hint="eastAsia" w:ascii="Times New Roman" w:hAnsi="Times New Roman" w:eastAsia="仿宋_GB2312" w:cs="Times New Roman"/>
          <w:b w:val="0"/>
          <w:bCs w:val="0"/>
          <w:color w:val="auto"/>
          <w:sz w:val="32"/>
          <w:szCs w:val="32"/>
          <w:lang w:val="en-US" w:eastAsia="zh-CN"/>
        </w:rPr>
        <w:t>通过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预算系统内的编报内容符合</w:t>
      </w:r>
      <w:r>
        <w:rPr>
          <w:rFonts w:hint="eastAsia" w:ascii="Times New Roman" w:hAnsi="Times New Roman" w:eastAsia="仿宋_GB2312" w:cs="Times New Roman"/>
          <w:b w:val="0"/>
          <w:bCs w:val="0"/>
          <w:color w:val="auto"/>
          <w:sz w:val="32"/>
          <w:szCs w:val="32"/>
          <w:lang w:eastAsia="zh-CN"/>
        </w:rPr>
        <w:t>相关</w:t>
      </w:r>
      <w:r>
        <w:rPr>
          <w:rFonts w:hint="default" w:ascii="Times New Roman" w:hAnsi="Times New Roman" w:eastAsia="仿宋_GB2312" w:cs="Times New Roman"/>
          <w:b w:val="0"/>
          <w:bCs w:val="0"/>
          <w:color w:val="auto"/>
          <w:sz w:val="32"/>
          <w:szCs w:val="32"/>
          <w:lang w:eastAsia="zh-Hans"/>
        </w:rPr>
        <w:t>规定要求。项目立项符合国家规划，与部门职责相符，属于部门履职主要</w:t>
      </w:r>
      <w:r>
        <w:rPr>
          <w:rFonts w:hint="default" w:ascii="Times New Roman" w:hAnsi="Times New Roman" w:eastAsia="仿宋_GB2312" w:cs="Times New Roman"/>
          <w:b w:val="0"/>
          <w:bCs w:val="0"/>
          <w:color w:val="auto"/>
          <w:sz w:val="32"/>
          <w:szCs w:val="32"/>
          <w:lang w:val="en-US" w:eastAsia="zh-Hans"/>
        </w:rPr>
        <w:t>工作</w:t>
      </w:r>
      <w:r>
        <w:rPr>
          <w:rFonts w:hint="default" w:ascii="Times New Roman" w:hAnsi="Times New Roman" w:eastAsia="仿宋_GB2312" w:cs="Times New Roman"/>
          <w:b w:val="0"/>
          <w:bCs w:val="0"/>
          <w:color w:val="auto"/>
          <w:sz w:val="32"/>
          <w:szCs w:val="32"/>
          <w:lang w:eastAsia="zh-Hans"/>
        </w:rPr>
        <w:t>所需。项目支出属于公共财政支持范围，符合地方事权支出责任划分原则</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Hans"/>
        </w:rPr>
        <w:t>不存在与相关部门同类项目重复的问题。</w:t>
      </w:r>
    </w:p>
    <w:p w14:paraId="65172C4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2.项目绩效目标明确，清晰、可衡量。项目设定</w:t>
      </w:r>
      <w:r>
        <w:rPr>
          <w:rFonts w:hint="eastAsia" w:ascii="Times New Roman" w:hAnsi="Times New Roman" w:eastAsia="仿宋_GB2312" w:cs="Times New Roman"/>
          <w:b w:val="0"/>
          <w:bCs w:val="0"/>
          <w:color w:val="auto"/>
          <w:sz w:val="32"/>
          <w:szCs w:val="32"/>
          <w:lang w:eastAsia="zh-CN"/>
        </w:rPr>
        <w:t>了</w:t>
      </w:r>
      <w:r>
        <w:rPr>
          <w:rFonts w:hint="default" w:ascii="Times New Roman" w:hAnsi="Times New Roman" w:eastAsia="仿宋_GB2312" w:cs="Times New Roman"/>
          <w:b w:val="0"/>
          <w:bCs w:val="0"/>
          <w:color w:val="auto"/>
          <w:sz w:val="32"/>
          <w:szCs w:val="32"/>
          <w:lang w:eastAsia="zh-Hans"/>
        </w:rPr>
        <w:t>绩效目标，设定的绩效目标与实际工作内容相符；绩效目标已分解细化为清晰、可衡量的绩效指标；预期产出和效果符合</w:t>
      </w:r>
      <w:r>
        <w:rPr>
          <w:rFonts w:hint="default" w:ascii="Times New Roman" w:hAnsi="Times New Roman" w:eastAsia="仿宋_GB2312" w:cs="Times New Roman"/>
          <w:b w:val="0"/>
          <w:bCs w:val="0"/>
          <w:color w:val="auto"/>
          <w:sz w:val="32"/>
          <w:szCs w:val="32"/>
          <w:lang w:val="en-US" w:eastAsia="zh-Hans"/>
        </w:rPr>
        <w:t>规划标准</w:t>
      </w:r>
      <w:r>
        <w:rPr>
          <w:rFonts w:hint="default" w:ascii="Times New Roman" w:hAnsi="Times New Roman" w:eastAsia="仿宋_GB2312" w:cs="Times New Roman"/>
          <w:b w:val="0"/>
          <w:bCs w:val="0"/>
          <w:color w:val="auto"/>
          <w:sz w:val="32"/>
          <w:szCs w:val="32"/>
          <w:lang w:eastAsia="zh-Hans"/>
        </w:rPr>
        <w:t>，绩效目标与预算资金量相匹配。</w:t>
      </w:r>
    </w:p>
    <w:p w14:paraId="20F5C5F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eastAsia="zh-Hans"/>
        </w:rPr>
        <w:t>3.</w:t>
      </w:r>
      <w:r>
        <w:rPr>
          <w:rFonts w:hint="default" w:ascii="Times New Roman" w:hAnsi="Times New Roman" w:eastAsia="仿宋_GB2312" w:cs="Times New Roman"/>
          <w:b w:val="0"/>
          <w:bCs w:val="0"/>
          <w:color w:val="auto"/>
          <w:sz w:val="32"/>
          <w:szCs w:val="32"/>
          <w:lang w:val="en-US" w:eastAsia="zh-Hans"/>
        </w:rPr>
        <w:t>项目</w:t>
      </w:r>
      <w:r>
        <w:rPr>
          <w:rFonts w:hint="default" w:ascii="Times New Roman" w:hAnsi="Times New Roman" w:eastAsia="仿宋_GB2312" w:cs="Times New Roman"/>
          <w:b w:val="0"/>
          <w:bCs w:val="0"/>
          <w:color w:val="auto"/>
          <w:sz w:val="32"/>
          <w:szCs w:val="32"/>
          <w:lang w:eastAsia="zh-Hans"/>
        </w:rPr>
        <w:t>预算</w:t>
      </w:r>
      <w:r>
        <w:rPr>
          <w:rFonts w:hint="default" w:ascii="Times New Roman" w:hAnsi="Times New Roman" w:eastAsia="仿宋_GB2312" w:cs="Times New Roman"/>
          <w:b w:val="0"/>
          <w:bCs w:val="0"/>
          <w:color w:val="auto"/>
          <w:sz w:val="32"/>
          <w:szCs w:val="32"/>
          <w:lang w:val="en-US" w:eastAsia="zh-Hans"/>
        </w:rPr>
        <w:t>编制论证科学，额度测算依据充分</w:t>
      </w:r>
      <w:r>
        <w:rPr>
          <w:rFonts w:hint="default" w:ascii="Times New Roman" w:hAnsi="Times New Roman" w:eastAsia="仿宋_GB2312" w:cs="Times New Roman"/>
          <w:b w:val="0"/>
          <w:bCs w:val="0"/>
          <w:color w:val="auto"/>
          <w:sz w:val="32"/>
          <w:szCs w:val="32"/>
          <w:lang w:val="en-US" w:eastAsia="zh-CN"/>
        </w:rPr>
        <w:t>合理</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项目额度测算标准依据充分，预算确定的资金量与工作任务相匹配，资金分配依据充分合理，与单位计划实际相符。</w:t>
      </w:r>
    </w:p>
    <w:p w14:paraId="14A36F89">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14" w:name="_Toc1028770598"/>
      <w:r>
        <w:rPr>
          <w:rFonts w:hint="default" w:ascii="Times New Roman" w:hAnsi="Times New Roman" w:eastAsia="楷体_GB2312" w:cs="Times New Roman"/>
          <w:b w:val="0"/>
          <w:bCs w:val="0"/>
          <w:color w:val="auto"/>
          <w:sz w:val="32"/>
          <w:szCs w:val="32"/>
        </w:rPr>
        <w:t>（二）项目过程情况分析</w:t>
      </w:r>
      <w:bookmarkEnd w:id="14"/>
    </w:p>
    <w:p w14:paraId="352E40D5">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从评价得分情况看，过程指标分值20分，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eastAsia="zh-Hans"/>
        </w:rPr>
        <w:t>评价得分</w:t>
      </w:r>
      <w:r>
        <w:rPr>
          <w:rFonts w:hint="default" w:ascii="Times New Roman" w:hAnsi="Times New Roman" w:eastAsia="仿宋_GB2312" w:cs="Times New Roman"/>
          <w:b w:val="0"/>
          <w:bCs w:val="0"/>
          <w:color w:val="auto"/>
          <w:sz w:val="32"/>
          <w:szCs w:val="32"/>
          <w:lang w:val="en-US" w:eastAsia="zh-CN"/>
        </w:rPr>
        <w:t>17.44</w:t>
      </w:r>
      <w:r>
        <w:rPr>
          <w:rFonts w:hint="default" w:ascii="Times New Roman" w:hAnsi="Times New Roman" w:eastAsia="仿宋_GB2312" w:cs="Times New Roman"/>
          <w:b w:val="0"/>
          <w:bCs w:val="0"/>
          <w:color w:val="auto"/>
          <w:sz w:val="32"/>
          <w:szCs w:val="32"/>
          <w:lang w:eastAsia="zh-Hans"/>
        </w:rPr>
        <w:t>分，得分率</w:t>
      </w:r>
      <w:r>
        <w:rPr>
          <w:rFonts w:hint="default" w:ascii="Times New Roman" w:hAnsi="Times New Roman" w:eastAsia="仿宋_GB2312" w:cs="Times New Roman"/>
          <w:b w:val="0"/>
          <w:bCs w:val="0"/>
          <w:color w:val="auto"/>
          <w:sz w:val="32"/>
          <w:szCs w:val="32"/>
          <w:lang w:val="en-US" w:eastAsia="zh-CN"/>
        </w:rPr>
        <w:t>87.20</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具体情况分析如下：</w:t>
      </w:r>
    </w:p>
    <w:p w14:paraId="3E23AC2A">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1.</w:t>
      </w:r>
      <w:r>
        <w:rPr>
          <w:rFonts w:hint="default" w:ascii="Times New Roman" w:hAnsi="Times New Roman" w:eastAsia="仿宋_GB2312" w:cs="Times New Roman"/>
          <w:b w:val="0"/>
          <w:bCs w:val="0"/>
          <w:color w:val="auto"/>
          <w:sz w:val="32"/>
          <w:szCs w:val="32"/>
          <w:lang w:val="en-US" w:eastAsia="zh-CN"/>
        </w:rPr>
        <w:t>项目经费到位率低，实际到位经费</w:t>
      </w:r>
      <w:r>
        <w:rPr>
          <w:rFonts w:hint="default" w:ascii="Times New Roman" w:hAnsi="Times New Roman" w:eastAsia="仿宋_GB2312" w:cs="Times New Roman"/>
          <w:b w:val="0"/>
          <w:bCs w:val="0"/>
          <w:color w:val="auto"/>
          <w:sz w:val="32"/>
          <w:szCs w:val="32"/>
          <w:lang w:val="en-US" w:eastAsia="zh-Hans"/>
        </w:rPr>
        <w:t>执行率</w:t>
      </w:r>
      <w:r>
        <w:rPr>
          <w:rFonts w:hint="default" w:ascii="Times New Roman" w:hAnsi="Times New Roman" w:eastAsia="仿宋_GB2312" w:cs="Times New Roman"/>
          <w:b w:val="0"/>
          <w:bCs w:val="0"/>
          <w:color w:val="auto"/>
          <w:sz w:val="32"/>
          <w:szCs w:val="32"/>
          <w:lang w:val="en-US" w:eastAsia="zh-CN"/>
        </w:rPr>
        <w:t>高</w:t>
      </w:r>
      <w:r>
        <w:rPr>
          <w:rFonts w:hint="default" w:ascii="Times New Roman" w:hAnsi="Times New Roman" w:eastAsia="仿宋_GB2312" w:cs="Times New Roman"/>
          <w:b w:val="0"/>
          <w:bCs w:val="0"/>
          <w:color w:val="auto"/>
          <w:sz w:val="32"/>
          <w:szCs w:val="32"/>
          <w:lang w:val="en-US" w:eastAsia="zh-Hans"/>
        </w:rPr>
        <w:t>，</w:t>
      </w:r>
      <w:r>
        <w:rPr>
          <w:rFonts w:hint="default" w:ascii="Times New Roman" w:hAnsi="Times New Roman" w:eastAsia="仿宋_GB2312" w:cs="Times New Roman"/>
          <w:b w:val="0"/>
          <w:bCs w:val="0"/>
          <w:color w:val="auto"/>
          <w:sz w:val="32"/>
          <w:szCs w:val="32"/>
          <w:lang w:eastAsia="zh-Hans"/>
        </w:rPr>
        <w:t>资金使用规范。</w:t>
      </w:r>
      <w:r>
        <w:rPr>
          <w:rFonts w:hint="default" w:ascii="Times New Roman" w:hAnsi="Times New Roman" w:eastAsia="仿宋_GB2312" w:cs="Times New Roman"/>
          <w:b w:val="0"/>
          <w:bCs w:val="0"/>
          <w:color w:val="auto"/>
          <w:sz w:val="32"/>
          <w:szCs w:val="32"/>
          <w:lang w:val="en-US" w:eastAsia="zh-Hans"/>
        </w:rPr>
        <w:t>依据</w:t>
      </w:r>
      <w:r>
        <w:rPr>
          <w:rFonts w:hint="default" w:ascii="Times New Roman" w:hAnsi="Times New Roman" w:eastAsia="仿宋_GB2312" w:cs="Times New Roman"/>
          <w:b w:val="0"/>
          <w:bCs w:val="0"/>
          <w:color w:val="auto"/>
          <w:sz w:val="32"/>
          <w:szCs w:val="32"/>
          <w:lang w:val="en-US" w:eastAsia="zh-CN"/>
        </w:rPr>
        <w:t>预算批复及决算资料</w:t>
      </w: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eastAsia="zh-CN"/>
        </w:rPr>
        <w:t>应急物资及粮食储备管理经费</w:t>
      </w:r>
      <w:r>
        <w:rPr>
          <w:rFonts w:hint="default" w:ascii="Times New Roman" w:hAnsi="Times New Roman" w:eastAsia="仿宋_GB2312" w:cs="Times New Roman"/>
          <w:b w:val="0"/>
          <w:bCs w:val="0"/>
          <w:color w:val="auto"/>
          <w:sz w:val="32"/>
          <w:szCs w:val="32"/>
          <w:lang w:val="en-US" w:eastAsia="zh-Hans"/>
        </w:rPr>
        <w:t>预算批复</w:t>
      </w:r>
      <w:r>
        <w:rPr>
          <w:rFonts w:hint="default" w:ascii="Times New Roman" w:hAnsi="Times New Roman" w:eastAsia="仿宋_GB2312" w:cs="Times New Roman"/>
          <w:b w:val="0"/>
          <w:bCs w:val="0"/>
          <w:color w:val="auto"/>
          <w:sz w:val="32"/>
          <w:szCs w:val="32"/>
          <w:lang w:eastAsia="zh-CN"/>
        </w:rPr>
        <w:t>545,256.00</w:t>
      </w:r>
      <w:r>
        <w:rPr>
          <w:rFonts w:hint="default" w:ascii="Times New Roman" w:hAnsi="Times New Roman" w:eastAsia="仿宋_GB2312" w:cs="Times New Roman"/>
          <w:b w:val="0"/>
          <w:bCs w:val="0"/>
          <w:color w:val="auto"/>
          <w:sz w:val="32"/>
          <w:szCs w:val="32"/>
          <w:lang w:val="en-US" w:eastAsia="zh-Hans"/>
        </w:rPr>
        <w:t>元。截至202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年12月31日，共计收到</w:t>
      </w:r>
      <w:r>
        <w:rPr>
          <w:rFonts w:hint="default" w:ascii="Times New Roman" w:hAnsi="Times New Roman" w:eastAsia="仿宋_GB2312" w:cs="Times New Roman"/>
          <w:b w:val="0"/>
          <w:bCs w:val="0"/>
          <w:color w:val="auto"/>
          <w:sz w:val="32"/>
          <w:szCs w:val="32"/>
          <w:lang w:val="en-US" w:eastAsia="zh-CN"/>
        </w:rPr>
        <w:t>232,144.00</w:t>
      </w:r>
      <w:r>
        <w:rPr>
          <w:rFonts w:hint="default" w:ascii="Times New Roman" w:hAnsi="Times New Roman" w:eastAsia="仿宋_GB2312" w:cs="Times New Roman"/>
          <w:b w:val="0"/>
          <w:bCs w:val="0"/>
          <w:color w:val="auto"/>
          <w:sz w:val="32"/>
          <w:szCs w:val="32"/>
          <w:lang w:val="en-US" w:eastAsia="zh-Hans"/>
        </w:rPr>
        <w:t>元，</w:t>
      </w:r>
      <w:r>
        <w:rPr>
          <w:rFonts w:hint="default" w:ascii="Times New Roman" w:hAnsi="Times New Roman" w:eastAsia="仿宋_GB2312" w:cs="Times New Roman"/>
          <w:b w:val="0"/>
          <w:bCs w:val="0"/>
          <w:color w:val="auto"/>
          <w:sz w:val="32"/>
          <w:szCs w:val="32"/>
          <w:lang w:eastAsia="zh-Hans"/>
        </w:rPr>
        <w:t>资金到位率</w:t>
      </w:r>
      <w:r>
        <w:rPr>
          <w:rFonts w:hint="default" w:ascii="Times New Roman" w:hAnsi="Times New Roman" w:eastAsia="仿宋_GB2312" w:cs="Times New Roman"/>
          <w:b w:val="0"/>
          <w:bCs w:val="0"/>
          <w:color w:val="auto"/>
          <w:sz w:val="32"/>
          <w:szCs w:val="32"/>
          <w:lang w:val="en-US" w:eastAsia="zh-Hans"/>
        </w:rPr>
        <w:t>为42.58%。截至202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w:t>
      </w:r>
      <w:r>
        <w:rPr>
          <w:rFonts w:hint="default" w:ascii="Times New Roman" w:hAnsi="Times New Roman" w:eastAsia="仿宋_GB2312" w:cs="Times New Roman"/>
          <w:b w:val="0"/>
          <w:bCs w:val="0"/>
          <w:color w:val="auto"/>
          <w:sz w:val="32"/>
          <w:szCs w:val="32"/>
          <w:lang w:val="en-US" w:eastAsia="zh-CN"/>
        </w:rPr>
        <w:t>项目实际支出232,144.00</w:t>
      </w:r>
      <w:r>
        <w:rPr>
          <w:rFonts w:hint="default" w:ascii="Times New Roman" w:hAnsi="Times New Roman" w:eastAsia="仿宋_GB2312" w:cs="Times New Roman"/>
          <w:b w:val="0"/>
          <w:bCs w:val="0"/>
          <w:color w:val="auto"/>
          <w:sz w:val="32"/>
          <w:szCs w:val="32"/>
          <w:lang w:val="en-US" w:eastAsia="zh-Hans"/>
        </w:rPr>
        <w:t>元，项目预算执行率为100%。</w:t>
      </w:r>
      <w:r>
        <w:rPr>
          <w:rFonts w:hint="default" w:ascii="Times New Roman" w:hAnsi="Times New Roman" w:eastAsia="仿宋_GB2312" w:cs="Times New Roman"/>
          <w:b w:val="0"/>
          <w:bCs w:val="0"/>
          <w:color w:val="auto"/>
          <w:sz w:val="32"/>
          <w:szCs w:val="32"/>
          <w:lang w:eastAsia="zh-Hans"/>
        </w:rPr>
        <w:t>项目资金使用符合国家财经法规和财务管理制度以及有关专项资金管理办法的规定，资金拨付审批程序完整，资金使用符合项目预算批复的用途，不存在截留、挤占、挪用、虚列支出等情况。</w:t>
      </w:r>
    </w:p>
    <w:p w14:paraId="7CC40E61">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eastAsia="zh-Hans"/>
        </w:rPr>
        <w:t>2.基本管理制度健全，</w:t>
      </w:r>
      <w:r>
        <w:rPr>
          <w:rFonts w:hint="default" w:ascii="Times New Roman" w:hAnsi="Times New Roman" w:eastAsia="仿宋_GB2312" w:cs="Times New Roman"/>
          <w:b w:val="0"/>
          <w:bCs w:val="0"/>
          <w:color w:val="auto"/>
          <w:sz w:val="32"/>
          <w:szCs w:val="32"/>
          <w:lang w:val="en-US" w:eastAsia="zh-Hans"/>
        </w:rPr>
        <w:t>制度执行到位</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依据</w:t>
      </w:r>
      <w:r>
        <w:rPr>
          <w:rFonts w:hint="default" w:ascii="Times New Roman" w:hAnsi="Times New Roman" w:eastAsia="仿宋_GB2312" w:cs="Times New Roman"/>
          <w:b w:val="0"/>
          <w:bCs w:val="0"/>
          <w:sz w:val="32"/>
          <w:szCs w:val="32"/>
          <w:lang w:val="en-US" w:eastAsia="zh-Hans"/>
        </w:rPr>
        <w:t>《五华区发展和改革局财务管理制度》《五华区发展和改革局关于“三重一大”集体决策的实施办法》《五华区发展和改革局党组会、局长办公会、局务会议事规则》《五华区发展和改革局预算绩效管理办法（试行）》</w:t>
      </w:r>
      <w:r>
        <w:rPr>
          <w:rFonts w:hint="default" w:ascii="Times New Roman" w:hAnsi="Times New Roman" w:eastAsia="仿宋_GB2312" w:cs="Times New Roman"/>
          <w:b w:val="0"/>
          <w:bCs w:val="0"/>
          <w:color w:val="auto"/>
          <w:sz w:val="32"/>
          <w:szCs w:val="32"/>
          <w:lang w:eastAsia="zh-Hans"/>
        </w:rPr>
        <w:t>等文件</w:t>
      </w:r>
      <w:r>
        <w:rPr>
          <w:rFonts w:hint="default"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olor w:val="auto"/>
          <w:sz w:val="32"/>
          <w:szCs w:val="32"/>
          <w:lang w:val="en-US" w:eastAsia="zh-CN"/>
        </w:rPr>
        <w:t>执行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对资金管理和项目管理的具体流程、职能职责作出了明确的规定。支出审批流程和手续完整，项目实施</w:t>
      </w:r>
      <w:r>
        <w:rPr>
          <w:rFonts w:hint="default" w:ascii="Times New Roman" w:hAnsi="Times New Roman" w:eastAsia="仿宋_GB2312" w:cs="Times New Roman"/>
          <w:b w:val="0"/>
          <w:bCs w:val="0"/>
          <w:color w:val="auto"/>
          <w:sz w:val="32"/>
          <w:szCs w:val="32"/>
          <w:lang w:val="en-US" w:eastAsia="zh-Hans"/>
        </w:rPr>
        <w:t>单位</w:t>
      </w:r>
      <w:r>
        <w:rPr>
          <w:rFonts w:hint="default" w:ascii="Times New Roman" w:hAnsi="Times New Roman" w:eastAsia="仿宋_GB2312" w:cs="Times New Roman"/>
          <w:b w:val="0"/>
          <w:bCs w:val="0"/>
          <w:color w:val="auto"/>
          <w:sz w:val="32"/>
          <w:szCs w:val="32"/>
          <w:lang w:eastAsia="zh-Hans"/>
        </w:rPr>
        <w:t>明确，职责划分清晰。</w:t>
      </w:r>
      <w:r>
        <w:rPr>
          <w:rFonts w:hint="default" w:ascii="Times New Roman" w:hAnsi="Times New Roman" w:eastAsia="仿宋_GB2312" w:cs="Times New Roman"/>
          <w:b w:val="0"/>
          <w:bCs w:val="0"/>
          <w:color w:val="auto"/>
          <w:sz w:val="32"/>
          <w:szCs w:val="32"/>
          <w:lang w:val="en-US" w:eastAsia="zh-Hans"/>
        </w:rPr>
        <w:t>项目资金支出凭证、会议纪要等审批流程和手续完整，项目实施科室明确，职责划分清晰，</w:t>
      </w:r>
      <w:r>
        <w:rPr>
          <w:rFonts w:hint="default" w:ascii="Times New Roman" w:hAnsi="Times New Roman" w:eastAsia="仿宋_GB2312" w:cs="Times New Roman"/>
          <w:b w:val="0"/>
          <w:bCs w:val="0"/>
          <w:color w:val="auto"/>
          <w:sz w:val="32"/>
          <w:szCs w:val="32"/>
          <w:lang w:val="en-US" w:eastAsia="zh-CN"/>
        </w:rPr>
        <w:t>有力保障各项工作落实到位</w:t>
      </w:r>
      <w:r>
        <w:rPr>
          <w:rFonts w:hint="default" w:ascii="Times New Roman" w:hAnsi="Times New Roman" w:eastAsia="仿宋_GB2312" w:cs="Times New Roman"/>
          <w:b w:val="0"/>
          <w:bCs w:val="0"/>
          <w:color w:val="auto"/>
          <w:sz w:val="32"/>
          <w:szCs w:val="32"/>
          <w:lang w:val="en-US" w:eastAsia="zh-Hans"/>
        </w:rPr>
        <w:t>。</w:t>
      </w:r>
    </w:p>
    <w:p w14:paraId="584826DC">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rPr>
      </w:pPr>
      <w:bookmarkStart w:id="15" w:name="_Toc1156598589"/>
      <w:r>
        <w:rPr>
          <w:rFonts w:hint="default" w:ascii="Times New Roman" w:hAnsi="Times New Roman" w:eastAsia="楷体_GB2312" w:cs="Times New Roman"/>
          <w:b w:val="0"/>
          <w:bCs w:val="0"/>
          <w:color w:val="auto"/>
          <w:sz w:val="32"/>
          <w:szCs w:val="32"/>
        </w:rPr>
        <w:t>（三）项目产出情况分析</w:t>
      </w:r>
      <w:bookmarkEnd w:id="15"/>
    </w:p>
    <w:p w14:paraId="0A808EE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val="en-US" w:eastAsia="zh-Hans"/>
        </w:rPr>
        <w:t>从评价得分情况看，产出指标分值</w:t>
      </w:r>
      <w:r>
        <w:rPr>
          <w:rFonts w:hint="default" w:ascii="Times New Roman" w:hAnsi="Times New Roman" w:eastAsia="仿宋_GB2312" w:cs="Times New Roman"/>
          <w:b w:val="0"/>
          <w:bCs w:val="0"/>
          <w:color w:val="auto"/>
          <w:sz w:val="32"/>
          <w:szCs w:val="32"/>
          <w:lang w:eastAsia="zh-Hans"/>
        </w:rPr>
        <w:t>3</w:t>
      </w:r>
      <w:r>
        <w:rPr>
          <w:rFonts w:hint="default" w:ascii="Times New Roman" w:hAnsi="Times New Roman" w:eastAsia="仿宋_GB2312" w:cs="Times New Roman"/>
          <w:b w:val="0"/>
          <w:bCs w:val="0"/>
          <w:color w:val="auto"/>
          <w:sz w:val="32"/>
          <w:szCs w:val="32"/>
          <w:lang w:val="en-US" w:eastAsia="zh-Hans"/>
        </w:rPr>
        <w:t>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val="en-US" w:eastAsia="zh-Hans"/>
        </w:rPr>
        <w:t>评价得分</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Hans"/>
        </w:rPr>
        <w:t>分，得分率</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Hans"/>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具体情况分析如下：</w:t>
      </w:r>
    </w:p>
    <w:p w14:paraId="7A404D61">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Hans"/>
        </w:rPr>
        <w:t>1.</w:t>
      </w:r>
      <w:r>
        <w:rPr>
          <w:rFonts w:hint="default" w:ascii="Times New Roman" w:hAnsi="Times New Roman" w:eastAsia="仿宋_GB2312" w:cs="Times New Roman"/>
          <w:b w:val="0"/>
          <w:bCs w:val="0"/>
          <w:color w:val="auto"/>
          <w:sz w:val="32"/>
          <w:szCs w:val="32"/>
          <w:lang w:val="en-US" w:eastAsia="zh-CN"/>
        </w:rPr>
        <w:t>项目年度目标工作任务</w:t>
      </w:r>
      <w:r>
        <w:rPr>
          <w:rFonts w:hint="default" w:ascii="Times New Roman" w:hAnsi="Times New Roman" w:eastAsia="仿宋_GB2312" w:cs="Times New Roman"/>
          <w:b w:val="0"/>
          <w:bCs w:val="0"/>
          <w:color w:val="auto"/>
          <w:sz w:val="32"/>
          <w:szCs w:val="32"/>
          <w:lang w:val="en-US" w:eastAsia="zh-Hans"/>
        </w:rPr>
        <w:t>完成</w:t>
      </w:r>
      <w:r>
        <w:rPr>
          <w:rFonts w:hint="default" w:ascii="Times New Roman" w:hAnsi="Times New Roman" w:eastAsia="仿宋_GB2312" w:cs="Times New Roman"/>
          <w:b w:val="0"/>
          <w:bCs w:val="0"/>
          <w:color w:val="auto"/>
          <w:sz w:val="32"/>
          <w:szCs w:val="32"/>
          <w:lang w:val="en-US" w:eastAsia="zh-CN"/>
        </w:rPr>
        <w:t>率为</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Hans"/>
        </w:rPr>
        <w:t>。</w:t>
      </w:r>
      <w:r>
        <w:rPr>
          <w:rFonts w:hint="eastAsia" w:ascii="Times New Roman" w:hAnsi="Times New Roman" w:eastAsia="仿宋_GB2312" w:cs="Times New Roman"/>
          <w:b w:val="0"/>
          <w:bCs w:val="0"/>
          <w:color w:val="auto"/>
          <w:sz w:val="32"/>
          <w:szCs w:val="32"/>
          <w:lang w:eastAsia="zh-CN"/>
        </w:rPr>
        <w:t>因</w:t>
      </w:r>
      <w:r>
        <w:rPr>
          <w:rFonts w:hint="eastAsia" w:ascii="Times New Roman" w:hAnsi="Times New Roman" w:eastAsia="仿宋_GB2312" w:cs="Times New Roman"/>
          <w:b w:val="0"/>
          <w:bCs w:val="0"/>
          <w:color w:val="auto"/>
          <w:sz w:val="32"/>
          <w:szCs w:val="32"/>
          <w:lang w:val="en-US" w:eastAsia="zh-CN"/>
        </w:rPr>
        <w:t>经费保障问题，年度内未完成</w:t>
      </w:r>
      <w:r>
        <w:rPr>
          <w:rFonts w:hint="default" w:ascii="Times New Roman" w:hAnsi="Times New Roman" w:eastAsia="仿宋_GB2312" w:cs="Times New Roman"/>
          <w:b w:val="0"/>
          <w:bCs w:val="0"/>
          <w:color w:val="auto"/>
          <w:sz w:val="32"/>
          <w:szCs w:val="32"/>
          <w:lang w:val="en-US" w:eastAsia="zh-Hans"/>
        </w:rPr>
        <w:t>粮食应急供应网点补助发放</w:t>
      </w:r>
      <w:r>
        <w:rPr>
          <w:rFonts w:hint="eastAsia" w:ascii="Times New Roman" w:hAnsi="Times New Roman" w:eastAsia="仿宋_GB2312" w:cs="Times New Roman"/>
          <w:b w:val="0"/>
          <w:bCs w:val="0"/>
          <w:color w:val="auto"/>
          <w:sz w:val="32"/>
          <w:szCs w:val="32"/>
          <w:lang w:val="en-US" w:eastAsia="zh-CN"/>
        </w:rPr>
        <w:t>工作，其余绩效目标均已完成，项目年度目标基本完成并实现了预期效益，故此项不进行扣分。</w:t>
      </w:r>
    </w:p>
    <w:p w14:paraId="5D87D129">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eastAsia="zh-Hans"/>
        </w:rPr>
        <w:t>2.</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b w:val="0"/>
          <w:bCs w:val="0"/>
          <w:color w:val="auto"/>
          <w:sz w:val="32"/>
          <w:szCs w:val="32"/>
          <w:lang w:val="en-US" w:eastAsia="zh-Hans"/>
        </w:rPr>
        <w:t>验收合格</w:t>
      </w:r>
      <w:r>
        <w:rPr>
          <w:rFonts w:hint="default" w:ascii="Times New Roman" w:hAnsi="Times New Roman" w:eastAsia="仿宋_GB2312" w:cs="Times New Roman"/>
          <w:b w:val="0"/>
          <w:bCs w:val="0"/>
          <w:color w:val="auto"/>
          <w:sz w:val="32"/>
          <w:szCs w:val="32"/>
          <w:lang w:val="en-US" w:eastAsia="zh-CN"/>
        </w:rPr>
        <w:t>率100%</w:t>
      </w:r>
      <w:r>
        <w:rPr>
          <w:rFonts w:hint="default" w:ascii="Times New Roman" w:hAnsi="Times New Roman" w:eastAsia="仿宋_GB2312" w:cs="Times New Roman"/>
          <w:b w:val="0"/>
          <w:bCs w:val="0"/>
          <w:color w:val="auto"/>
          <w:sz w:val="32"/>
          <w:szCs w:val="32"/>
          <w:lang w:val="en-US" w:eastAsia="zh-Hans"/>
        </w:rPr>
        <w:t>。粮油市场巡查或储备粮库安全检查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爱粮节粮和粮食安全宣传教育活动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购买公共突发事件应急储备物资</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支付应急物资储备库物业服务经费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支付2023年应急物资采购</w:t>
      </w:r>
      <w:r>
        <w:rPr>
          <w:rFonts w:hint="eastAsia" w:ascii="Times New Roman" w:hAnsi="Times New Roman" w:eastAsia="仿宋_GB2312" w:cs="Times New Roman"/>
          <w:b w:val="0"/>
          <w:bCs w:val="0"/>
          <w:color w:val="auto"/>
          <w:sz w:val="32"/>
          <w:szCs w:val="32"/>
          <w:lang w:val="en-US" w:eastAsia="zh-CN"/>
        </w:rPr>
        <w:t>工作均已</w:t>
      </w:r>
      <w:r>
        <w:rPr>
          <w:rFonts w:hint="default" w:ascii="Times New Roman" w:hAnsi="Times New Roman" w:eastAsia="仿宋_GB2312" w:cs="Times New Roman"/>
          <w:b w:val="0"/>
          <w:bCs w:val="0"/>
          <w:color w:val="auto"/>
          <w:sz w:val="32"/>
          <w:szCs w:val="32"/>
          <w:lang w:val="en-US" w:eastAsia="zh-Hans"/>
        </w:rPr>
        <w:t>验收合格，项目验收合格率100%。</w:t>
      </w:r>
    </w:p>
    <w:p w14:paraId="5D6D5A58">
      <w:pPr>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highlight w:val="none"/>
          <w:lang w:eastAsia="zh-Hans"/>
        </w:rPr>
        <w:t>3.</w:t>
      </w:r>
      <w:r>
        <w:rPr>
          <w:rFonts w:hint="default" w:ascii="Times New Roman" w:hAnsi="Times New Roman" w:eastAsia="仿宋_GB2312" w:cs="Times New Roman"/>
          <w:b w:val="0"/>
          <w:bCs w:val="0"/>
          <w:color w:val="auto"/>
          <w:sz w:val="32"/>
          <w:szCs w:val="32"/>
          <w:highlight w:val="none"/>
          <w:lang w:val="en-US" w:eastAsia="zh-Hans"/>
        </w:rPr>
        <w:t>项目</w:t>
      </w:r>
      <w:r>
        <w:rPr>
          <w:rFonts w:hint="default" w:ascii="Times New Roman" w:hAnsi="Times New Roman" w:eastAsia="仿宋_GB2312" w:cs="Times New Roman"/>
          <w:b w:val="0"/>
          <w:bCs w:val="0"/>
          <w:color w:val="auto"/>
          <w:sz w:val="32"/>
          <w:szCs w:val="32"/>
          <w:highlight w:val="none"/>
          <w:lang w:val="en-US" w:eastAsia="zh-CN"/>
        </w:rPr>
        <w:t>工作</w:t>
      </w:r>
      <w:r>
        <w:rPr>
          <w:rFonts w:hint="default" w:ascii="Times New Roman" w:hAnsi="Times New Roman" w:eastAsia="仿宋_GB2312" w:cs="Times New Roman"/>
          <w:b w:val="0"/>
          <w:bCs w:val="0"/>
          <w:color w:val="auto"/>
          <w:sz w:val="32"/>
          <w:szCs w:val="32"/>
          <w:highlight w:val="none"/>
          <w:lang w:val="en-US" w:eastAsia="zh-Hans"/>
        </w:rPr>
        <w:t>完成及时率</w:t>
      </w:r>
      <w:r>
        <w:rPr>
          <w:rFonts w:hint="default"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eastAsia="zh-Hans"/>
        </w:rPr>
        <w:t>。</w:t>
      </w:r>
      <w:r>
        <w:rPr>
          <w:rFonts w:hint="default" w:ascii="Times New Roman" w:hAnsi="Times New Roman" w:eastAsia="仿宋_GB2312" w:cs="Times New Roman"/>
          <w:b w:val="0"/>
          <w:bCs w:val="0"/>
          <w:color w:val="auto"/>
          <w:sz w:val="32"/>
          <w:szCs w:val="32"/>
          <w:lang w:val="en-US" w:eastAsia="zh-CN"/>
        </w:rPr>
        <w:t>粮食应急供应网点补助发放工作因经费保障未到位，故</w:t>
      </w:r>
      <w:r>
        <w:rPr>
          <w:rFonts w:hint="eastAsia" w:ascii="Times New Roman" w:hAnsi="Times New Roman" w:eastAsia="仿宋_GB2312" w:cs="Times New Roman"/>
          <w:b w:val="0"/>
          <w:bCs w:val="0"/>
          <w:color w:val="auto"/>
          <w:sz w:val="32"/>
          <w:szCs w:val="32"/>
          <w:lang w:val="en-US" w:eastAsia="zh-CN"/>
        </w:rPr>
        <w:t>未</w:t>
      </w:r>
      <w:r>
        <w:rPr>
          <w:rFonts w:hint="default" w:ascii="Times New Roman" w:hAnsi="Times New Roman" w:eastAsia="仿宋_GB2312" w:cs="Times New Roman"/>
          <w:b w:val="0"/>
          <w:bCs w:val="0"/>
          <w:color w:val="auto"/>
          <w:sz w:val="32"/>
          <w:szCs w:val="32"/>
          <w:lang w:val="en-US" w:eastAsia="zh-CN"/>
        </w:rPr>
        <w:t>开展此项工作，</w:t>
      </w:r>
      <w:r>
        <w:rPr>
          <w:rFonts w:hint="default" w:ascii="Times New Roman" w:hAnsi="Times New Roman" w:eastAsia="仿宋_GB2312" w:cs="Times New Roman"/>
          <w:b w:val="0"/>
          <w:bCs w:val="0"/>
          <w:i w:val="0"/>
          <w:iCs w:val="0"/>
          <w:color w:val="auto"/>
          <w:sz w:val="32"/>
          <w:szCs w:val="32"/>
          <w:highlight w:val="none"/>
          <w:lang w:eastAsia="zh-Hans"/>
        </w:rPr>
        <w:t>其余</w:t>
      </w:r>
      <w:r>
        <w:rPr>
          <w:rFonts w:hint="default" w:ascii="Times New Roman" w:hAnsi="Times New Roman" w:eastAsia="仿宋_GB2312" w:cs="Times New Roman"/>
          <w:b w:val="0"/>
          <w:bCs w:val="0"/>
          <w:i w:val="0"/>
          <w:iCs w:val="0"/>
          <w:color w:val="auto"/>
          <w:sz w:val="32"/>
          <w:szCs w:val="32"/>
          <w:highlight w:val="none"/>
          <w:lang w:val="en-US" w:eastAsia="zh-CN"/>
        </w:rPr>
        <w:t>5项</w:t>
      </w:r>
      <w:r>
        <w:rPr>
          <w:rFonts w:hint="default" w:ascii="Times New Roman" w:hAnsi="Times New Roman" w:eastAsia="仿宋_GB2312" w:cs="Times New Roman"/>
          <w:b w:val="0"/>
          <w:bCs w:val="0"/>
          <w:i w:val="0"/>
          <w:iCs w:val="0"/>
          <w:color w:val="auto"/>
          <w:sz w:val="32"/>
          <w:szCs w:val="32"/>
          <w:highlight w:val="none"/>
          <w:lang w:eastAsia="zh-Hans"/>
        </w:rPr>
        <w:t>均已按照计划时限完成，项目完成及时率100%。</w:t>
      </w:r>
    </w:p>
    <w:p w14:paraId="08453F09">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Hans"/>
        </w:rPr>
        <w:t>4.</w:t>
      </w:r>
      <w:r>
        <w:rPr>
          <w:rFonts w:hint="default" w:ascii="Times New Roman" w:hAnsi="Times New Roman" w:eastAsia="仿宋_GB2312" w:cs="Times New Roman"/>
          <w:b w:val="0"/>
          <w:bCs w:val="0"/>
          <w:color w:val="auto"/>
          <w:sz w:val="32"/>
          <w:szCs w:val="32"/>
          <w:lang w:val="en-US" w:eastAsia="zh-Hans"/>
        </w:rPr>
        <w:t>项目预算执行率高，资金使用合规</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根据</w:t>
      </w:r>
      <w:r>
        <w:rPr>
          <w:rFonts w:hint="default" w:ascii="Times New Roman" w:hAnsi="Times New Roman" w:eastAsia="仿宋_GB2312" w:cs="Times New Roman"/>
          <w:b w:val="0"/>
          <w:bCs w:val="0"/>
          <w:color w:val="auto"/>
          <w:sz w:val="32"/>
          <w:szCs w:val="32"/>
          <w:lang w:val="en-US" w:eastAsia="zh-CN"/>
        </w:rPr>
        <w:t>预算、决算材料</w:t>
      </w: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应急物资及粮食储备管理经费</w:t>
      </w:r>
      <w:r>
        <w:rPr>
          <w:rFonts w:hint="default" w:ascii="Times New Roman" w:hAnsi="Times New Roman" w:eastAsia="仿宋_GB2312" w:cs="Times New Roman"/>
          <w:b w:val="0"/>
          <w:bCs w:val="0"/>
          <w:color w:val="auto"/>
          <w:sz w:val="32"/>
          <w:szCs w:val="32"/>
          <w:lang w:val="en-US" w:eastAsia="zh-Hans"/>
        </w:rPr>
        <w:t>预算批复</w:t>
      </w:r>
      <w:r>
        <w:rPr>
          <w:rFonts w:hint="default" w:ascii="Times New Roman" w:hAnsi="Times New Roman" w:eastAsia="仿宋_GB2312" w:cs="Times New Roman"/>
          <w:b w:val="0"/>
          <w:bCs w:val="0"/>
          <w:color w:val="auto"/>
          <w:sz w:val="32"/>
          <w:szCs w:val="32"/>
          <w:lang w:val="en-US" w:eastAsia="zh-CN"/>
        </w:rPr>
        <w:t>金</w:t>
      </w:r>
      <w:r>
        <w:rPr>
          <w:rFonts w:hint="default" w:ascii="Times New Roman" w:hAnsi="Times New Roman" w:eastAsia="仿宋_GB2312" w:cs="Times New Roman"/>
          <w:b w:val="0"/>
          <w:bCs w:val="0"/>
          <w:color w:val="auto"/>
          <w:sz w:val="32"/>
          <w:szCs w:val="32"/>
          <w:lang w:val="en-US" w:eastAsia="zh-Hans"/>
        </w:rPr>
        <w:t>额为</w:t>
      </w:r>
      <w:r>
        <w:rPr>
          <w:rFonts w:hint="default" w:ascii="Times New Roman" w:hAnsi="Times New Roman" w:eastAsia="仿宋_GB2312" w:cs="Times New Roman"/>
          <w:b w:val="0"/>
          <w:bCs w:val="0"/>
          <w:color w:val="auto"/>
          <w:sz w:val="32"/>
          <w:szCs w:val="32"/>
          <w:lang w:val="en-US" w:eastAsia="zh-CN"/>
        </w:rPr>
        <w:t>545,256.00元，</w:t>
      </w:r>
      <w:r>
        <w:rPr>
          <w:rFonts w:hint="default" w:ascii="Times New Roman" w:hAnsi="Times New Roman" w:eastAsia="仿宋_GB2312" w:cs="Times New Roman"/>
          <w:b w:val="0"/>
          <w:bCs w:val="0"/>
          <w:color w:val="auto"/>
          <w:sz w:val="32"/>
          <w:szCs w:val="32"/>
          <w:lang w:val="en-US" w:eastAsia="zh-Hans"/>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年度共收到</w:t>
      </w:r>
      <w:r>
        <w:rPr>
          <w:rFonts w:hint="default" w:ascii="Times New Roman" w:hAnsi="Times New Roman" w:eastAsia="仿宋_GB2312" w:cs="Times New Roman"/>
          <w:b w:val="0"/>
          <w:bCs w:val="0"/>
          <w:color w:val="auto"/>
          <w:sz w:val="32"/>
          <w:szCs w:val="32"/>
          <w:lang w:val="en-US" w:eastAsia="zh-CN"/>
        </w:rPr>
        <w:t>232,144.00元</w:t>
      </w:r>
      <w:r>
        <w:rPr>
          <w:rFonts w:hint="default" w:ascii="Times New Roman" w:hAnsi="Times New Roman" w:eastAsia="仿宋_GB2312" w:cs="Times New Roman"/>
          <w:b w:val="0"/>
          <w:bCs w:val="0"/>
          <w:color w:val="auto"/>
          <w:sz w:val="32"/>
          <w:szCs w:val="32"/>
          <w:lang w:val="en-US" w:eastAsia="zh-Hans"/>
        </w:rPr>
        <w:t>。截至202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年12月31日，实际支出</w:t>
      </w:r>
      <w:r>
        <w:rPr>
          <w:rFonts w:hint="default" w:ascii="Times New Roman" w:hAnsi="Times New Roman" w:eastAsia="仿宋_GB2312" w:cs="Times New Roman"/>
          <w:b w:val="0"/>
          <w:bCs w:val="0"/>
          <w:color w:val="auto"/>
          <w:sz w:val="32"/>
          <w:szCs w:val="32"/>
          <w:lang w:val="en-US" w:eastAsia="zh-CN"/>
        </w:rPr>
        <w:t>232,144.00元，</w:t>
      </w:r>
      <w:r>
        <w:rPr>
          <w:rFonts w:hint="default" w:ascii="Times New Roman" w:hAnsi="Times New Roman" w:eastAsia="仿宋_GB2312" w:cs="Times New Roman"/>
          <w:b w:val="0"/>
          <w:bCs w:val="0"/>
          <w:color w:val="auto"/>
          <w:sz w:val="32"/>
          <w:szCs w:val="32"/>
          <w:lang w:val="en-US" w:eastAsia="zh-Hans"/>
        </w:rPr>
        <w:t>项目预算执行率为100%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项目成本节约率为0%。项目资金使用符合国家财经法规和财务管理制度以及有关专项资金管理办法的规定，资金拨付审批程序完整，资金使用符合项目预算批复的用途，不存在截留、挤占、挪用、虚列支出等情况。</w:t>
      </w:r>
    </w:p>
    <w:p w14:paraId="34FD1850">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1"/>
        <w:rPr>
          <w:rFonts w:hint="default" w:ascii="Times New Roman" w:hAnsi="Times New Roman" w:eastAsia="楷体_GB2312" w:cs="Times New Roman"/>
          <w:b w:val="0"/>
          <w:bCs w:val="0"/>
          <w:color w:val="auto"/>
          <w:sz w:val="32"/>
          <w:szCs w:val="32"/>
          <w:lang w:eastAsia="zh-Hans"/>
        </w:rPr>
      </w:pPr>
      <w:r>
        <w:rPr>
          <w:rFonts w:hint="default" w:ascii="Times New Roman" w:hAnsi="Times New Roman" w:eastAsia="楷体_GB2312" w:cs="Times New Roman"/>
          <w:b w:val="0"/>
          <w:bCs w:val="0"/>
          <w:color w:val="auto"/>
          <w:sz w:val="32"/>
          <w:szCs w:val="32"/>
        </w:rPr>
        <w:t>（四）项目效益情况分析</w:t>
      </w:r>
    </w:p>
    <w:p w14:paraId="3AF97508">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val="en-US" w:eastAsia="zh-Hans"/>
        </w:rPr>
        <w:t>从评价得分情况看，效果指标分值30分，重点评价得分</w:t>
      </w:r>
      <w:r>
        <w:rPr>
          <w:rFonts w:hint="default" w:ascii="Times New Roman" w:hAnsi="Times New Roman" w:eastAsia="仿宋_GB2312" w:cs="Times New Roman"/>
          <w:b w:val="0"/>
          <w:bCs w:val="0"/>
          <w:color w:val="auto"/>
          <w:sz w:val="32"/>
          <w:szCs w:val="32"/>
          <w:lang w:eastAsia="zh-Hans"/>
        </w:rPr>
        <w:t>30</w:t>
      </w:r>
      <w:r>
        <w:rPr>
          <w:rFonts w:hint="default" w:ascii="Times New Roman" w:hAnsi="Times New Roman" w:eastAsia="仿宋_GB2312" w:cs="Times New Roman"/>
          <w:b w:val="0"/>
          <w:bCs w:val="0"/>
          <w:color w:val="auto"/>
          <w:sz w:val="32"/>
          <w:szCs w:val="32"/>
          <w:lang w:val="en-US" w:eastAsia="zh-Hans"/>
        </w:rPr>
        <w:t>分，得分率</w:t>
      </w:r>
      <w:r>
        <w:rPr>
          <w:rFonts w:hint="default" w:ascii="Times New Roman" w:hAnsi="Times New Roman" w:eastAsia="仿宋_GB2312" w:cs="Times New Roman"/>
          <w:b w:val="0"/>
          <w:bCs w:val="0"/>
          <w:color w:val="auto"/>
          <w:sz w:val="32"/>
          <w:szCs w:val="32"/>
          <w:lang w:eastAsia="zh-Hans"/>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具体情况分析如下：</w:t>
      </w:r>
    </w:p>
    <w:p w14:paraId="47A4AAD9">
      <w:pPr>
        <w:keepNext w:val="0"/>
        <w:keepLines w:val="0"/>
        <w:pageBreakBefore w:val="0"/>
        <w:widowControl w:val="0"/>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b w:val="0"/>
          <w:bCs w:val="0"/>
          <w:color w:val="auto"/>
          <w:sz w:val="32"/>
          <w:szCs w:val="32"/>
          <w:lang w:val="en-US" w:eastAsia="zh-Hans"/>
        </w:rPr>
        <w:t>效果显著。</w:t>
      </w:r>
      <w:r>
        <w:rPr>
          <w:rFonts w:hint="eastAsia" w:ascii="Times New Roman" w:hAnsi="Times New Roman" w:eastAsia="仿宋_GB2312" w:cs="Times New Roman"/>
          <w:b w:val="0"/>
          <w:bCs w:val="0"/>
          <w:color w:val="auto"/>
          <w:sz w:val="32"/>
          <w:szCs w:val="32"/>
          <w:lang w:val="en-US" w:eastAsia="zh-CN"/>
        </w:rPr>
        <w:t>项目围绕部门职能职责，</w:t>
      </w:r>
      <w:r>
        <w:rPr>
          <w:rFonts w:hint="default" w:ascii="Times New Roman" w:hAnsi="Times New Roman" w:eastAsia="仿宋_GB2312" w:cs="Times New Roman"/>
          <w:b w:val="0"/>
          <w:bCs w:val="0"/>
          <w:color w:val="auto"/>
          <w:sz w:val="32"/>
          <w:szCs w:val="32"/>
          <w:lang w:val="en-US" w:eastAsia="zh-CN"/>
        </w:rPr>
        <w:t>严格落实粮食安全责任制牵头责任，强化全过程监督，定期不定期对区级粮油市场巡查、储备粮库开展安全检查巡察，确保储备粮数量真实、质量良好。深入开展粮食安全、节约粮食等宣传活动</w:t>
      </w:r>
      <w:r>
        <w:rPr>
          <w:rFonts w:hint="eastAsia" w:ascii="Times New Roman" w:hAnsi="Times New Roman" w:eastAsia="仿宋_GB2312" w:cs="Times New Roman"/>
          <w:b w:val="0"/>
          <w:bCs w:val="0"/>
          <w:color w:val="auto"/>
          <w:sz w:val="32"/>
          <w:szCs w:val="32"/>
          <w:lang w:val="en-US" w:eastAsia="zh-CN"/>
        </w:rPr>
        <w:t>，以引导居民科学储粮、节约粮食为目的，大力营造厉行节约、反对浪费的良好风尚氛围</w:t>
      </w:r>
      <w:r>
        <w:rPr>
          <w:rFonts w:hint="default" w:ascii="Times New Roman" w:hAnsi="Times New Roman" w:eastAsia="仿宋_GB2312" w:cs="Times New Roman"/>
          <w:b w:val="0"/>
          <w:bCs w:val="0"/>
          <w:color w:val="auto"/>
          <w:sz w:val="32"/>
          <w:szCs w:val="32"/>
          <w:lang w:val="en-US" w:eastAsia="zh-CN"/>
        </w:rPr>
        <w:t>。按照年初区应急局下达的应急物资补充计划，及时采购应急物资，严格做好应急物资管理。</w:t>
      </w:r>
      <w:r>
        <w:rPr>
          <w:rFonts w:hint="eastAsia" w:ascii="Times New Roman" w:hAnsi="Times New Roman" w:eastAsia="仿宋_GB2312" w:cs="Times New Roman"/>
          <w:b w:val="0"/>
          <w:bCs w:val="0"/>
          <w:color w:val="auto"/>
          <w:sz w:val="32"/>
          <w:szCs w:val="32"/>
          <w:lang w:val="en-US" w:eastAsia="zh-CN"/>
        </w:rPr>
        <w:t>完成2023年应付未付款的支付，避免了因合同未履行而发生的诉讼及</w:t>
      </w:r>
      <w:r>
        <w:rPr>
          <w:rFonts w:hint="default" w:ascii="Times New Roman" w:hAnsi="Times New Roman" w:eastAsia="仿宋_GB2312" w:cs="Times New Roman"/>
          <w:b w:val="0"/>
          <w:bCs w:val="0"/>
          <w:color w:val="auto"/>
          <w:sz w:val="32"/>
          <w:szCs w:val="32"/>
          <w:lang w:val="en-US" w:eastAsia="zh-Hans"/>
        </w:rPr>
        <w:t>投诉</w:t>
      </w:r>
      <w:r>
        <w:rPr>
          <w:rFonts w:hint="eastAsia" w:ascii="Times New Roman" w:hAnsi="Times New Roman" w:eastAsia="仿宋_GB2312" w:cs="Times New Roman"/>
          <w:b w:val="0"/>
          <w:bCs w:val="0"/>
          <w:color w:val="auto"/>
          <w:sz w:val="32"/>
          <w:szCs w:val="32"/>
          <w:lang w:val="en-US" w:eastAsia="zh-CN"/>
        </w:rPr>
        <w:t>问题</w:t>
      </w:r>
      <w:r>
        <w:rPr>
          <w:rFonts w:hint="default" w:ascii="Times New Roman" w:hAnsi="Times New Roman" w:eastAsia="仿宋_GB2312" w:cs="Times New Roman"/>
          <w:b w:val="0"/>
          <w:bCs w:val="0"/>
          <w:color w:val="auto"/>
          <w:sz w:val="32"/>
          <w:szCs w:val="32"/>
          <w:lang w:val="en-US" w:eastAsia="zh-CN"/>
        </w:rPr>
        <w:t>。</w:t>
      </w:r>
    </w:p>
    <w:p w14:paraId="6F544E08">
      <w:pPr>
        <w:keepNext w:val="0"/>
        <w:keepLines w:val="0"/>
        <w:pageBreakBefore w:val="0"/>
        <w:widowControl w:val="0"/>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Hans"/>
        </w:rPr>
      </w:pPr>
      <w:bookmarkStart w:id="16" w:name="_Toc2077996326"/>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Hans"/>
        </w:rPr>
        <w:t>项目受益对象满意度。截至2024年12月31日，在应急物资及粮食储备管理经费开展过程中，未接到过复议、投诉、不满等问题事件，项目受益对象满意度为100%。</w:t>
      </w:r>
    </w:p>
    <w:p w14:paraId="7A7F3B15">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五、主要经验及做法</w:t>
      </w:r>
      <w:bookmarkEnd w:id="16"/>
    </w:p>
    <w:p w14:paraId="55BF8D0B">
      <w:pPr>
        <w:keepNext w:val="0"/>
        <w:keepLines w:val="0"/>
        <w:pageBreakBefore w:val="0"/>
        <w:widowControl w:val="0"/>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一是提高重视，落实全过程绩效管理。</w:t>
      </w:r>
      <w:r>
        <w:rPr>
          <w:rFonts w:hint="default" w:ascii="Times New Roman" w:hAnsi="Times New Roman" w:eastAsia="仿宋_GB2312" w:cs="Times New Roman"/>
          <w:b w:val="0"/>
          <w:bCs w:val="0"/>
          <w:color w:val="auto"/>
          <w:sz w:val="32"/>
          <w:szCs w:val="32"/>
          <w:lang w:val="en-US" w:eastAsia="zh-CN"/>
        </w:rPr>
        <w:t>加强事前分析，合理设置项目绩效指标，从项目申报阶段入手，根据</w:t>
      </w:r>
      <w:r>
        <w:rPr>
          <w:rFonts w:hint="eastAsia" w:ascii="Times New Roman" w:hAnsi="Times New Roman" w:eastAsia="仿宋_GB2312" w:cs="Times New Roman"/>
          <w:b w:val="0"/>
          <w:bCs w:val="0"/>
          <w:color w:val="auto"/>
          <w:sz w:val="32"/>
          <w:szCs w:val="32"/>
          <w:lang w:val="en-US" w:eastAsia="zh-CN"/>
        </w:rPr>
        <w:t>本年度粮食和物资储备工作</w:t>
      </w:r>
      <w:r>
        <w:rPr>
          <w:rFonts w:hint="default" w:ascii="Times New Roman" w:hAnsi="Times New Roman" w:eastAsia="仿宋_GB2312" w:cs="Times New Roman"/>
          <w:b w:val="0"/>
          <w:bCs w:val="0"/>
          <w:color w:val="auto"/>
          <w:sz w:val="32"/>
          <w:szCs w:val="32"/>
          <w:lang w:val="en-US" w:eastAsia="zh-CN"/>
        </w:rPr>
        <w:t>具体情况，有针对性地设置个性化效益类指标。落实日常跟踪，提高监控质量。按照区财政局关于年度财政支出绩效运行监控的具体工作要求，严格开展项目支出预算绩效日常监控，通过实地调研、访问访谈等方式定期收集分析资金拨付情况、项目实施</w:t>
      </w:r>
      <w:r>
        <w:rPr>
          <w:rFonts w:hint="eastAsia" w:ascii="Times New Roman" w:hAnsi="Times New Roman" w:eastAsia="仿宋_GB2312" w:cs="Times New Roman"/>
          <w:b w:val="0"/>
          <w:bCs w:val="0"/>
          <w:color w:val="auto"/>
          <w:sz w:val="32"/>
          <w:szCs w:val="32"/>
          <w:lang w:val="en-US" w:eastAsia="zh-CN"/>
        </w:rPr>
        <w:t>及</w:t>
      </w:r>
      <w:r>
        <w:rPr>
          <w:rFonts w:hint="default" w:ascii="Times New Roman" w:hAnsi="Times New Roman" w:eastAsia="仿宋_GB2312" w:cs="Times New Roman"/>
          <w:b w:val="0"/>
          <w:bCs w:val="0"/>
          <w:color w:val="auto"/>
          <w:sz w:val="32"/>
          <w:szCs w:val="32"/>
          <w:lang w:val="en-US" w:eastAsia="zh-CN"/>
        </w:rPr>
        <w:t>预期效益达成情况等信息，对照设置的项目绩效指标，客观、真实评价目标实现程度，确保</w:t>
      </w:r>
      <w:r>
        <w:rPr>
          <w:rFonts w:hint="eastAsia" w:ascii="Times New Roman" w:hAnsi="Times New Roman" w:eastAsia="仿宋_GB2312" w:cs="Times New Roman"/>
          <w:b w:val="0"/>
          <w:bCs w:val="0"/>
          <w:color w:val="auto"/>
          <w:sz w:val="32"/>
          <w:szCs w:val="32"/>
          <w:lang w:val="en-US" w:eastAsia="zh-CN"/>
        </w:rPr>
        <w:t>财政资金</w:t>
      </w:r>
      <w:r>
        <w:rPr>
          <w:rFonts w:hint="default" w:ascii="Times New Roman" w:hAnsi="Times New Roman" w:eastAsia="仿宋_GB2312" w:cs="Times New Roman"/>
          <w:b w:val="0"/>
          <w:bCs w:val="0"/>
          <w:color w:val="auto"/>
          <w:sz w:val="32"/>
          <w:szCs w:val="32"/>
          <w:lang w:val="en-US" w:eastAsia="zh-CN"/>
        </w:rPr>
        <w:t>使用效益。</w:t>
      </w:r>
    </w:p>
    <w:p w14:paraId="4CB2AF04">
      <w:pPr>
        <w:keepNext w:val="0"/>
        <w:keepLines w:val="0"/>
        <w:pageBreakBefore w:val="0"/>
        <w:widowControl w:val="0"/>
        <w:kinsoku/>
        <w:wordWrap/>
        <w:overflowPunct/>
        <w:topLinePunct w:val="0"/>
        <w:autoSpaceDE/>
        <w:autoSpaceDN/>
        <w:bidi w:val="0"/>
        <w:adjustRightInd/>
        <w:snapToGrid/>
        <w:spacing w:after="0" w:line="55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是注重年度工作计划，实现统筹推进。在受财政收支压力影响导致部分项目经费未能有效保障时，及时研究调整，通过开展粮油市场巡查、储备粮库安全检查、爱粮节粮和粮食安全宣传教育活动等工作措施，积极主动推进项目计划目标，确保了年初工作计划基本落实到位，认真履行耕地保护和粮食安全责任制牵头责任。</w:t>
      </w:r>
    </w:p>
    <w:p w14:paraId="1EA58FFD">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黑体" w:cs="Times New Roman"/>
          <w:b w:val="0"/>
          <w:bCs w:val="0"/>
          <w:color w:val="auto"/>
          <w:sz w:val="32"/>
          <w:szCs w:val="32"/>
        </w:rPr>
      </w:pPr>
      <w:bookmarkStart w:id="17" w:name="_Toc357699921"/>
      <w:r>
        <w:rPr>
          <w:rFonts w:hint="default" w:ascii="Times New Roman" w:hAnsi="Times New Roman" w:eastAsia="黑体" w:cs="Times New Roman"/>
          <w:b w:val="0"/>
          <w:bCs w:val="0"/>
          <w:color w:val="auto"/>
          <w:sz w:val="32"/>
          <w:szCs w:val="32"/>
        </w:rPr>
        <w:t>六、存在的问题及原因分析</w:t>
      </w:r>
      <w:bookmarkEnd w:id="17"/>
    </w:p>
    <w:p w14:paraId="3754CD58">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仿宋_GB2312" w:cs="Times New Roman"/>
          <w:b w:val="0"/>
          <w:bCs w:val="0"/>
          <w:color w:val="auto"/>
          <w:sz w:val="32"/>
          <w:szCs w:val="32"/>
          <w:lang w:eastAsia="zh-CN"/>
        </w:rPr>
      </w:pPr>
      <w:bookmarkStart w:id="18" w:name="_Toc1055844294"/>
      <w:r>
        <w:rPr>
          <w:rFonts w:hint="eastAsia"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eastAsia="zh-CN"/>
        </w:rPr>
        <w:t>项目绩效目标实现情况同年初目标有所偏离。主要原因是</w:t>
      </w:r>
      <w:r>
        <w:rPr>
          <w:rFonts w:hint="eastAsia" w:ascii="Times New Roman" w:hAnsi="Times New Roman" w:eastAsia="仿宋_GB2312" w:cs="Times New Roman"/>
          <w:b w:val="0"/>
          <w:bCs w:val="0"/>
          <w:color w:val="auto"/>
          <w:sz w:val="32"/>
          <w:szCs w:val="32"/>
          <w:lang w:val="en-US" w:eastAsia="zh-CN"/>
        </w:rPr>
        <w:t>部分项目经费未保障到位</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故未能按照年初计划开展。</w:t>
      </w:r>
      <w:r>
        <w:rPr>
          <w:rFonts w:hint="default" w:ascii="Times New Roman" w:hAnsi="Times New Roman" w:eastAsia="仿宋_GB2312" w:cs="Times New Roman"/>
          <w:b w:val="0"/>
          <w:bCs w:val="0"/>
          <w:color w:val="auto"/>
          <w:sz w:val="32"/>
          <w:szCs w:val="32"/>
          <w:lang w:eastAsia="zh-CN"/>
        </w:rPr>
        <w:t>比如，粮食应急供应网点补助发放</w:t>
      </w:r>
      <w:r>
        <w:rPr>
          <w:rFonts w:hint="eastAsia"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lang w:eastAsia="zh-CN"/>
        </w:rPr>
        <w:t>。</w:t>
      </w:r>
    </w:p>
    <w:p w14:paraId="05DFF833">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jc w:val="both"/>
        <w:textAlignment w:val="auto"/>
        <w:outlineLvl w:val="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二是项目经费到位率低，仅达到年初预算的42.58%。受财政收支压力影响，截至2024年12月31日，项目2024年度共收到为232,144.00元，项目经费到位率仅达到年初预算的42.58%。</w:t>
      </w:r>
    </w:p>
    <w:p w14:paraId="54D1F1EF">
      <w:pPr>
        <w:keepNext w:val="0"/>
        <w:keepLines w:val="0"/>
        <w:pageBreakBefore w:val="0"/>
        <w:widowControl/>
        <w:numPr>
          <w:ilvl w:val="0"/>
          <w:numId w:val="0"/>
        </w:numPr>
        <w:kinsoku/>
        <w:wordWrap/>
        <w:overflowPunct/>
        <w:topLinePunct w:val="0"/>
        <w:autoSpaceDE/>
        <w:autoSpaceDN/>
        <w:bidi w:val="0"/>
        <w:adjustRightInd/>
        <w:snapToGrid/>
        <w:spacing w:after="0" w:line="55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七、建议</w:t>
      </w:r>
      <w:bookmarkEnd w:id="18"/>
    </w:p>
    <w:p w14:paraId="3C794345">
      <w:pPr>
        <w:keepNext w:val="0"/>
        <w:keepLines w:val="0"/>
        <w:pageBreakBefore w:val="0"/>
        <w:kinsoku/>
        <w:wordWrap/>
        <w:overflowPunct/>
        <w:autoSpaceDE/>
        <w:autoSpaceDN/>
        <w:bidi w:val="0"/>
        <w:adjustRightInd/>
        <w:snapToGrid/>
        <w:spacing w:line="550" w:lineRule="exact"/>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是落实日常跟踪，提高监控质量。按照区财政局关于年度财政支出绩效运行监控的具体工作要求，严格开展项目支出预算绩效日常监控，通过实地调研、访问访谈等方式定期收集分析资金拨付情况、项目实施进度、预期效益达成情况等信息，对照设置的项目绩效指标，客观、真实评价目标实现程度，着重评估项目实际产出情况，及时纠正运行偏差，确保财政资金使用效益。</w:t>
      </w:r>
    </w:p>
    <w:p w14:paraId="48F8E422">
      <w:pPr>
        <w:keepNext w:val="0"/>
        <w:keepLines w:val="0"/>
        <w:pageBreakBefore w:val="0"/>
        <w:kinsoku/>
        <w:wordWrap/>
        <w:overflowPunct/>
        <w:autoSpaceDE/>
        <w:autoSpaceDN/>
        <w:bidi w:val="0"/>
        <w:adjustRightInd/>
        <w:snapToGrid/>
        <w:spacing w:line="550" w:lineRule="exact"/>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二是加强沟通对接，提高经费拨付率。根据工作实际，按月梳理经费支出计划，并积极对接区财政局资金专管科室，</w:t>
      </w:r>
      <w:r>
        <w:rPr>
          <w:rFonts w:hint="eastAsia" w:ascii="Times New Roman" w:hAnsi="Times New Roman" w:eastAsia="仿宋_GB2312" w:cs="Times New Roman"/>
          <w:b w:val="0"/>
          <w:bCs w:val="0"/>
          <w:sz w:val="32"/>
          <w:szCs w:val="32"/>
          <w:lang w:eastAsia="zh-CN"/>
        </w:rPr>
        <w:t>于每年三季度内申请预算经费指标，</w:t>
      </w:r>
      <w:r>
        <w:rPr>
          <w:rFonts w:hint="default" w:ascii="Times New Roman" w:hAnsi="Times New Roman" w:eastAsia="仿宋_GB2312" w:cs="Times New Roman"/>
          <w:b w:val="0"/>
          <w:bCs w:val="0"/>
          <w:sz w:val="32"/>
          <w:szCs w:val="32"/>
          <w:lang w:eastAsia="zh-CN"/>
        </w:rPr>
        <w:t>特别是涉及民生保障的重点资金，密切跟进资金到位情况</w:t>
      </w:r>
      <w:r>
        <w:rPr>
          <w:rFonts w:hint="eastAsia" w:ascii="Times New Roman" w:hAnsi="Times New Roman" w:eastAsia="仿宋_GB2312" w:cs="Times New Roman"/>
          <w:b w:val="0"/>
          <w:bCs w:val="0"/>
          <w:sz w:val="32"/>
          <w:szCs w:val="32"/>
          <w:lang w:eastAsia="zh-CN"/>
        </w:rPr>
        <w:t>并及时完成支付</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避免因年末财政收支压力增大，导致经费无法保障，影响相应工作正常开展</w:t>
      </w:r>
      <w:r>
        <w:rPr>
          <w:rFonts w:hint="default" w:ascii="Times New Roman" w:hAnsi="Times New Roman" w:eastAsia="仿宋_GB2312" w:cs="Times New Roman"/>
          <w:b w:val="0"/>
          <w:bCs w:val="0"/>
          <w:sz w:val="32"/>
          <w:szCs w:val="32"/>
          <w:lang w:eastAsia="zh-CN"/>
        </w:rPr>
        <w:t>。</w:t>
      </w:r>
    </w:p>
    <w:p w14:paraId="76BC73CF">
      <w:pPr>
        <w:keepNext w:val="0"/>
        <w:keepLines w:val="0"/>
        <w:pageBreakBefore w:val="0"/>
        <w:widowControl/>
        <w:kinsoku/>
        <w:wordWrap/>
        <w:overflowPunct/>
        <w:topLinePunct w:val="0"/>
        <w:autoSpaceDE/>
        <w:autoSpaceDN/>
        <w:bidi w:val="0"/>
        <w:adjustRightInd/>
        <w:snapToGrid/>
        <w:spacing w:after="0" w:line="550" w:lineRule="exact"/>
        <w:ind w:left="0" w:right="0" w:firstLine="640" w:firstLineChars="200"/>
        <w:textAlignment w:val="auto"/>
        <w:rPr>
          <w:rFonts w:hint="default" w:ascii="Times New Roman" w:hAnsi="Times New Roman" w:eastAsia="仿宋_GB2312" w:cs="Times New Roman"/>
          <w:b w:val="0"/>
          <w:bCs w:val="0"/>
          <w:sz w:val="32"/>
          <w:szCs w:val="32"/>
          <w:lang w:val="en-US" w:eastAsia="zh-Hans"/>
        </w:rPr>
      </w:pPr>
    </w:p>
    <w:p w14:paraId="1FDDE923">
      <w:pPr>
        <w:pStyle w:val="2"/>
        <w:pageBreakBefore w:val="0"/>
        <w:kinsoku/>
        <w:wordWrap/>
        <w:overflowPunct/>
        <w:autoSpaceDE/>
        <w:autoSpaceDN/>
        <w:bidi w:val="0"/>
        <w:adjustRightInd/>
        <w:snapToGrid/>
        <w:spacing w:before="0" w:line="550" w:lineRule="exact"/>
        <w:rPr>
          <w:rFonts w:hint="default" w:ascii="Times New Roman" w:hAnsi="Times New Roman" w:eastAsia="仿宋_GB2312" w:cs="Times New Roman"/>
          <w:b w:val="0"/>
          <w:bCs w:val="0"/>
          <w:sz w:val="32"/>
          <w:szCs w:val="32"/>
          <w:lang w:val="en-US" w:eastAsia="zh-Hans"/>
        </w:rPr>
      </w:pPr>
    </w:p>
    <w:p w14:paraId="59631182">
      <w:pPr>
        <w:pageBreakBefore w:val="0"/>
        <w:widowControl/>
        <w:kinsoku/>
        <w:wordWrap/>
        <w:overflowPunct/>
        <w:topLinePunct w:val="0"/>
        <w:autoSpaceDE/>
        <w:autoSpaceDN/>
        <w:bidi w:val="0"/>
        <w:adjustRightInd/>
        <w:snapToGrid/>
        <w:spacing w:line="550" w:lineRule="exact"/>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昆明市</w:t>
      </w:r>
      <w:r>
        <w:rPr>
          <w:rFonts w:hint="default" w:ascii="Times New Roman" w:hAnsi="Times New Roman" w:eastAsia="仿宋_GB2312" w:cs="Times New Roman"/>
          <w:b w:val="0"/>
          <w:bCs w:val="0"/>
          <w:sz w:val="32"/>
          <w:szCs w:val="32"/>
          <w:lang w:val="en-US" w:eastAsia="zh-CN"/>
        </w:rPr>
        <w:t>五华区发展和改革局</w:t>
      </w:r>
    </w:p>
    <w:p w14:paraId="1FA5E26B">
      <w:pPr>
        <w:pStyle w:val="2"/>
        <w:pageBreakBefore w:val="0"/>
        <w:widowControl/>
        <w:kinsoku/>
        <w:wordWrap/>
        <w:overflowPunct/>
        <w:topLinePunct w:val="0"/>
        <w:autoSpaceDE/>
        <w:autoSpaceDN/>
        <w:bidi w:val="0"/>
        <w:adjustRightInd/>
        <w:snapToGrid/>
        <w:spacing w:before="0" w:after="0" w:line="550" w:lineRule="exact"/>
        <w:jc w:val="righ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年5月</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日</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A516">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8A828">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18A828">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ZDgwZjMwMWQ2YjEwYmE3MWU0NTkwNTRjNThlNjcifQ=="/>
  </w:docVars>
  <w:rsids>
    <w:rsidRoot w:val="4A0D449E"/>
    <w:rsid w:val="003D0404"/>
    <w:rsid w:val="00FA054F"/>
    <w:rsid w:val="016D2E5B"/>
    <w:rsid w:val="018427B4"/>
    <w:rsid w:val="02510DD4"/>
    <w:rsid w:val="03F751D8"/>
    <w:rsid w:val="043A5EE0"/>
    <w:rsid w:val="044347D6"/>
    <w:rsid w:val="044E3337"/>
    <w:rsid w:val="048B2E6C"/>
    <w:rsid w:val="0492207E"/>
    <w:rsid w:val="04A22630"/>
    <w:rsid w:val="04B9771D"/>
    <w:rsid w:val="0510530F"/>
    <w:rsid w:val="05760B04"/>
    <w:rsid w:val="0639558B"/>
    <w:rsid w:val="07DC38F2"/>
    <w:rsid w:val="08A16D60"/>
    <w:rsid w:val="08B069F5"/>
    <w:rsid w:val="08FE6AF0"/>
    <w:rsid w:val="097A47C7"/>
    <w:rsid w:val="09DA7B3F"/>
    <w:rsid w:val="0A5263A1"/>
    <w:rsid w:val="0A8910CA"/>
    <w:rsid w:val="0B6922BD"/>
    <w:rsid w:val="0BA4775E"/>
    <w:rsid w:val="0BA838D3"/>
    <w:rsid w:val="0BF31B06"/>
    <w:rsid w:val="0C0900D0"/>
    <w:rsid w:val="0C1C5974"/>
    <w:rsid w:val="0C4D34C2"/>
    <w:rsid w:val="0CC4525E"/>
    <w:rsid w:val="0CE24B14"/>
    <w:rsid w:val="0E665E6D"/>
    <w:rsid w:val="0EBB22B9"/>
    <w:rsid w:val="0EFB054C"/>
    <w:rsid w:val="0F1A5B45"/>
    <w:rsid w:val="0F255239"/>
    <w:rsid w:val="0FFF9DD1"/>
    <w:rsid w:val="105B5789"/>
    <w:rsid w:val="106F76E0"/>
    <w:rsid w:val="108E6362"/>
    <w:rsid w:val="10EA7A8F"/>
    <w:rsid w:val="124274E8"/>
    <w:rsid w:val="12486EC1"/>
    <w:rsid w:val="12A50759"/>
    <w:rsid w:val="12B46F03"/>
    <w:rsid w:val="12B53F03"/>
    <w:rsid w:val="12CD1F56"/>
    <w:rsid w:val="144D5FF8"/>
    <w:rsid w:val="14AC3908"/>
    <w:rsid w:val="150A1BC4"/>
    <w:rsid w:val="15E830B5"/>
    <w:rsid w:val="16DB49F0"/>
    <w:rsid w:val="16E93F61"/>
    <w:rsid w:val="16F3593D"/>
    <w:rsid w:val="17076323"/>
    <w:rsid w:val="17305461"/>
    <w:rsid w:val="17AE1C80"/>
    <w:rsid w:val="188852C3"/>
    <w:rsid w:val="18BF40C3"/>
    <w:rsid w:val="1A067ED3"/>
    <w:rsid w:val="1A2A2FF1"/>
    <w:rsid w:val="1AF23127"/>
    <w:rsid w:val="1B2F281E"/>
    <w:rsid w:val="1B3D2865"/>
    <w:rsid w:val="1B5F4030"/>
    <w:rsid w:val="1BFD51C0"/>
    <w:rsid w:val="1C116F3A"/>
    <w:rsid w:val="1C3004AF"/>
    <w:rsid w:val="1C54278B"/>
    <w:rsid w:val="1DDA70BC"/>
    <w:rsid w:val="1DDD77CC"/>
    <w:rsid w:val="1E1659E5"/>
    <w:rsid w:val="1E3657C9"/>
    <w:rsid w:val="1E505624"/>
    <w:rsid w:val="1EF7FB0D"/>
    <w:rsid w:val="1F6C3A43"/>
    <w:rsid w:val="1F6E177B"/>
    <w:rsid w:val="1F8D7E91"/>
    <w:rsid w:val="20662EC6"/>
    <w:rsid w:val="209C62EF"/>
    <w:rsid w:val="215A09BE"/>
    <w:rsid w:val="21611D4D"/>
    <w:rsid w:val="219A1506"/>
    <w:rsid w:val="223C6F32"/>
    <w:rsid w:val="22C71DEF"/>
    <w:rsid w:val="22D92474"/>
    <w:rsid w:val="230537EE"/>
    <w:rsid w:val="235C18E4"/>
    <w:rsid w:val="23AB4005"/>
    <w:rsid w:val="23C4360A"/>
    <w:rsid w:val="249007F7"/>
    <w:rsid w:val="25BE7A95"/>
    <w:rsid w:val="25E03162"/>
    <w:rsid w:val="2637003E"/>
    <w:rsid w:val="26C576AC"/>
    <w:rsid w:val="27B269C7"/>
    <w:rsid w:val="29503ED5"/>
    <w:rsid w:val="29706BDA"/>
    <w:rsid w:val="297845E0"/>
    <w:rsid w:val="29BE27DC"/>
    <w:rsid w:val="29D842C8"/>
    <w:rsid w:val="2A1E5490"/>
    <w:rsid w:val="2A63185F"/>
    <w:rsid w:val="2A7106A4"/>
    <w:rsid w:val="2AEB7B70"/>
    <w:rsid w:val="2B70076D"/>
    <w:rsid w:val="2BD616EC"/>
    <w:rsid w:val="2BF9091C"/>
    <w:rsid w:val="2C5D75B5"/>
    <w:rsid w:val="2D332A24"/>
    <w:rsid w:val="2D5BE597"/>
    <w:rsid w:val="2DB248CD"/>
    <w:rsid w:val="2DD26BEA"/>
    <w:rsid w:val="2F3A7F3B"/>
    <w:rsid w:val="2FE7E4B1"/>
    <w:rsid w:val="2FEE7472"/>
    <w:rsid w:val="30C34AD8"/>
    <w:rsid w:val="30FE437F"/>
    <w:rsid w:val="31314581"/>
    <w:rsid w:val="317B23A1"/>
    <w:rsid w:val="31B34BC4"/>
    <w:rsid w:val="33DD26D3"/>
    <w:rsid w:val="34D364B2"/>
    <w:rsid w:val="34DD74E5"/>
    <w:rsid w:val="355BDF68"/>
    <w:rsid w:val="35B71AE4"/>
    <w:rsid w:val="35EC5759"/>
    <w:rsid w:val="36421BED"/>
    <w:rsid w:val="36846352"/>
    <w:rsid w:val="36DD6A0B"/>
    <w:rsid w:val="375B3718"/>
    <w:rsid w:val="377D9C53"/>
    <w:rsid w:val="37B6BB89"/>
    <w:rsid w:val="381B27FE"/>
    <w:rsid w:val="38B8261C"/>
    <w:rsid w:val="38CD6ED0"/>
    <w:rsid w:val="38D33D94"/>
    <w:rsid w:val="390762B4"/>
    <w:rsid w:val="3940144F"/>
    <w:rsid w:val="3A5726AF"/>
    <w:rsid w:val="3A77E5CD"/>
    <w:rsid w:val="3B3F5374"/>
    <w:rsid w:val="3B5C2EC8"/>
    <w:rsid w:val="3BA566C9"/>
    <w:rsid w:val="3BE21884"/>
    <w:rsid w:val="3BE40F29"/>
    <w:rsid w:val="3BEF34C7"/>
    <w:rsid w:val="3BFE1F69"/>
    <w:rsid w:val="3CB7066A"/>
    <w:rsid w:val="3D1B55CA"/>
    <w:rsid w:val="3D2F534A"/>
    <w:rsid w:val="3D6DCE93"/>
    <w:rsid w:val="3DBE7C91"/>
    <w:rsid w:val="3E1EDCCD"/>
    <w:rsid w:val="3E9873F6"/>
    <w:rsid w:val="3EA42E21"/>
    <w:rsid w:val="3EAB55CA"/>
    <w:rsid w:val="3EB01F06"/>
    <w:rsid w:val="3EBBDDA7"/>
    <w:rsid w:val="3EFFFD37"/>
    <w:rsid w:val="3F4361F5"/>
    <w:rsid w:val="3F440405"/>
    <w:rsid w:val="3F6CD501"/>
    <w:rsid w:val="3F6FE8F8"/>
    <w:rsid w:val="3F8A6D84"/>
    <w:rsid w:val="3F9D4DED"/>
    <w:rsid w:val="3FBA01C5"/>
    <w:rsid w:val="3FBBE60C"/>
    <w:rsid w:val="3FD197FC"/>
    <w:rsid w:val="3FFD41B6"/>
    <w:rsid w:val="4153125A"/>
    <w:rsid w:val="41570B91"/>
    <w:rsid w:val="41B853E2"/>
    <w:rsid w:val="41B854BA"/>
    <w:rsid w:val="41D7082C"/>
    <w:rsid w:val="428664BC"/>
    <w:rsid w:val="42C04F55"/>
    <w:rsid w:val="42DA14C0"/>
    <w:rsid w:val="43595F7C"/>
    <w:rsid w:val="43AF00A9"/>
    <w:rsid w:val="44B70B63"/>
    <w:rsid w:val="44CA460B"/>
    <w:rsid w:val="45BE9E07"/>
    <w:rsid w:val="45FBF5E0"/>
    <w:rsid w:val="46027C62"/>
    <w:rsid w:val="46BA414B"/>
    <w:rsid w:val="47380424"/>
    <w:rsid w:val="47EE792B"/>
    <w:rsid w:val="47FB7DAA"/>
    <w:rsid w:val="482B6283"/>
    <w:rsid w:val="48703EBB"/>
    <w:rsid w:val="49560077"/>
    <w:rsid w:val="4A0D449E"/>
    <w:rsid w:val="4A1602CD"/>
    <w:rsid w:val="4A3E296C"/>
    <w:rsid w:val="4AB541DA"/>
    <w:rsid w:val="4B3853B6"/>
    <w:rsid w:val="4B9962B2"/>
    <w:rsid w:val="4BE05DD5"/>
    <w:rsid w:val="4C1D6393"/>
    <w:rsid w:val="4CF55F71"/>
    <w:rsid w:val="4DE3B08E"/>
    <w:rsid w:val="4DE3D06E"/>
    <w:rsid w:val="4E79160D"/>
    <w:rsid w:val="4ED982FA"/>
    <w:rsid w:val="4F4669EE"/>
    <w:rsid w:val="4F830828"/>
    <w:rsid w:val="4F835A6C"/>
    <w:rsid w:val="4FDAB3D3"/>
    <w:rsid w:val="4FFE6BFA"/>
    <w:rsid w:val="501F0A03"/>
    <w:rsid w:val="502A78B4"/>
    <w:rsid w:val="510749D5"/>
    <w:rsid w:val="515B4FFB"/>
    <w:rsid w:val="530B7C66"/>
    <w:rsid w:val="534D2725"/>
    <w:rsid w:val="553B12E4"/>
    <w:rsid w:val="554712DC"/>
    <w:rsid w:val="55AB4FD8"/>
    <w:rsid w:val="55D57255"/>
    <w:rsid w:val="567B0820"/>
    <w:rsid w:val="5697709C"/>
    <w:rsid w:val="56981066"/>
    <w:rsid w:val="56FFB6AD"/>
    <w:rsid w:val="570B1B01"/>
    <w:rsid w:val="57342654"/>
    <w:rsid w:val="574944A7"/>
    <w:rsid w:val="578CBCC8"/>
    <w:rsid w:val="579578F7"/>
    <w:rsid w:val="57FF89C9"/>
    <w:rsid w:val="58074243"/>
    <w:rsid w:val="58214780"/>
    <w:rsid w:val="58C44B36"/>
    <w:rsid w:val="58FF1FC6"/>
    <w:rsid w:val="596C4382"/>
    <w:rsid w:val="5994028E"/>
    <w:rsid w:val="59C22A5D"/>
    <w:rsid w:val="59DF7091"/>
    <w:rsid w:val="5A010F47"/>
    <w:rsid w:val="5A0A2ADD"/>
    <w:rsid w:val="5A266B75"/>
    <w:rsid w:val="5A707D74"/>
    <w:rsid w:val="5BF7FDFE"/>
    <w:rsid w:val="5C603110"/>
    <w:rsid w:val="5CA67A98"/>
    <w:rsid w:val="5CAB2DE7"/>
    <w:rsid w:val="5D394431"/>
    <w:rsid w:val="5DAF53D7"/>
    <w:rsid w:val="5E3F1056"/>
    <w:rsid w:val="5E7FC910"/>
    <w:rsid w:val="5E8F0FA0"/>
    <w:rsid w:val="5EC63E60"/>
    <w:rsid w:val="5F0243FA"/>
    <w:rsid w:val="5F240D0F"/>
    <w:rsid w:val="5F3A050C"/>
    <w:rsid w:val="5F66276F"/>
    <w:rsid w:val="5F7F6CC8"/>
    <w:rsid w:val="5F83B103"/>
    <w:rsid w:val="5F9964D5"/>
    <w:rsid w:val="5F997A34"/>
    <w:rsid w:val="5FBF872E"/>
    <w:rsid w:val="5FC567EA"/>
    <w:rsid w:val="5FD246C0"/>
    <w:rsid w:val="5FDB754A"/>
    <w:rsid w:val="5FFFFBB5"/>
    <w:rsid w:val="60017C7C"/>
    <w:rsid w:val="600A055B"/>
    <w:rsid w:val="607B5D50"/>
    <w:rsid w:val="60AE1152"/>
    <w:rsid w:val="61E46E4D"/>
    <w:rsid w:val="61F24DAA"/>
    <w:rsid w:val="620A3CD1"/>
    <w:rsid w:val="62B10136"/>
    <w:rsid w:val="63041144"/>
    <w:rsid w:val="63A112BE"/>
    <w:rsid w:val="63ADC883"/>
    <w:rsid w:val="63FC4310"/>
    <w:rsid w:val="649213E7"/>
    <w:rsid w:val="64BBA23C"/>
    <w:rsid w:val="66023C55"/>
    <w:rsid w:val="67D76C2E"/>
    <w:rsid w:val="67FF0F2C"/>
    <w:rsid w:val="684C15C9"/>
    <w:rsid w:val="687E553A"/>
    <w:rsid w:val="688F305E"/>
    <w:rsid w:val="6894358F"/>
    <w:rsid w:val="69AF1BC2"/>
    <w:rsid w:val="69DC6C2A"/>
    <w:rsid w:val="69EF16AF"/>
    <w:rsid w:val="6A232066"/>
    <w:rsid w:val="6A9440CC"/>
    <w:rsid w:val="6ABA52BC"/>
    <w:rsid w:val="6B0E2F01"/>
    <w:rsid w:val="6C33298B"/>
    <w:rsid w:val="6C6B4D74"/>
    <w:rsid w:val="6C7B432A"/>
    <w:rsid w:val="6C9B6733"/>
    <w:rsid w:val="6CB7B3B8"/>
    <w:rsid w:val="6CFFD78F"/>
    <w:rsid w:val="6D553FE5"/>
    <w:rsid w:val="6D7B6FE9"/>
    <w:rsid w:val="6DA557E3"/>
    <w:rsid w:val="6DC57FEA"/>
    <w:rsid w:val="6DDD7130"/>
    <w:rsid w:val="6DE946F9"/>
    <w:rsid w:val="6DF38B31"/>
    <w:rsid w:val="6E3326AF"/>
    <w:rsid w:val="6E371423"/>
    <w:rsid w:val="6E5D1AB1"/>
    <w:rsid w:val="6E7AA874"/>
    <w:rsid w:val="6EFF3CE3"/>
    <w:rsid w:val="6F1815B6"/>
    <w:rsid w:val="6F6A19DE"/>
    <w:rsid w:val="6FAB8D28"/>
    <w:rsid w:val="6FAECC62"/>
    <w:rsid w:val="6FDB739C"/>
    <w:rsid w:val="6FEF7E0C"/>
    <w:rsid w:val="707C4063"/>
    <w:rsid w:val="70BFB712"/>
    <w:rsid w:val="70CC5DB8"/>
    <w:rsid w:val="7110241F"/>
    <w:rsid w:val="71360B66"/>
    <w:rsid w:val="71CC01D7"/>
    <w:rsid w:val="71E36A2A"/>
    <w:rsid w:val="71F72C8D"/>
    <w:rsid w:val="729E7E25"/>
    <w:rsid w:val="72DF6946"/>
    <w:rsid w:val="736B1B84"/>
    <w:rsid w:val="73794402"/>
    <w:rsid w:val="737ACFFA"/>
    <w:rsid w:val="73840550"/>
    <w:rsid w:val="75574608"/>
    <w:rsid w:val="75BFB56C"/>
    <w:rsid w:val="75D70B5E"/>
    <w:rsid w:val="75DD2F73"/>
    <w:rsid w:val="75FF67F2"/>
    <w:rsid w:val="76477669"/>
    <w:rsid w:val="76717602"/>
    <w:rsid w:val="76FB7C8D"/>
    <w:rsid w:val="774358FC"/>
    <w:rsid w:val="775BDBD1"/>
    <w:rsid w:val="779D469A"/>
    <w:rsid w:val="77CB272A"/>
    <w:rsid w:val="77D26A54"/>
    <w:rsid w:val="77D742A4"/>
    <w:rsid w:val="77F63B21"/>
    <w:rsid w:val="77FEF0B1"/>
    <w:rsid w:val="77FF5C4E"/>
    <w:rsid w:val="78022DAD"/>
    <w:rsid w:val="783C4FE2"/>
    <w:rsid w:val="788D2B80"/>
    <w:rsid w:val="78C02EAC"/>
    <w:rsid w:val="78EB4DD1"/>
    <w:rsid w:val="794C2FA7"/>
    <w:rsid w:val="797F19EC"/>
    <w:rsid w:val="79E47AD1"/>
    <w:rsid w:val="79E952B4"/>
    <w:rsid w:val="7A630F30"/>
    <w:rsid w:val="7A9C1B3E"/>
    <w:rsid w:val="7AE535A5"/>
    <w:rsid w:val="7AF342B1"/>
    <w:rsid w:val="7AFECF6D"/>
    <w:rsid w:val="7AFF974F"/>
    <w:rsid w:val="7BDFD8E3"/>
    <w:rsid w:val="7BFA35D4"/>
    <w:rsid w:val="7BFDBBDB"/>
    <w:rsid w:val="7BFF69DB"/>
    <w:rsid w:val="7CDBDB24"/>
    <w:rsid w:val="7CFA6C23"/>
    <w:rsid w:val="7CFF133C"/>
    <w:rsid w:val="7D0C7948"/>
    <w:rsid w:val="7D6104CC"/>
    <w:rsid w:val="7D89EB27"/>
    <w:rsid w:val="7DB952B6"/>
    <w:rsid w:val="7DBBC712"/>
    <w:rsid w:val="7DBD7FAA"/>
    <w:rsid w:val="7DDD7DD2"/>
    <w:rsid w:val="7E1519A6"/>
    <w:rsid w:val="7E86788B"/>
    <w:rsid w:val="7EB730DE"/>
    <w:rsid w:val="7EBD12A5"/>
    <w:rsid w:val="7ED7AA2D"/>
    <w:rsid w:val="7EDF7B89"/>
    <w:rsid w:val="7EEF0B3D"/>
    <w:rsid w:val="7EFF60B5"/>
    <w:rsid w:val="7EFF7207"/>
    <w:rsid w:val="7F173E9C"/>
    <w:rsid w:val="7F181F08"/>
    <w:rsid w:val="7F1D6957"/>
    <w:rsid w:val="7F2D9976"/>
    <w:rsid w:val="7F3E6ED5"/>
    <w:rsid w:val="7F462FFB"/>
    <w:rsid w:val="7F6FE852"/>
    <w:rsid w:val="7FBF69AF"/>
    <w:rsid w:val="7FF5FE6F"/>
    <w:rsid w:val="7FF62DE0"/>
    <w:rsid w:val="7FFB6DFA"/>
    <w:rsid w:val="7FFE5039"/>
    <w:rsid w:val="7FFE79E7"/>
    <w:rsid w:val="8F3E1E94"/>
    <w:rsid w:val="9327B6A3"/>
    <w:rsid w:val="93460557"/>
    <w:rsid w:val="96FDFF20"/>
    <w:rsid w:val="9D9DE210"/>
    <w:rsid w:val="9DFEBF23"/>
    <w:rsid w:val="A5F706BE"/>
    <w:rsid w:val="AD3C1BD2"/>
    <w:rsid w:val="ADBF6744"/>
    <w:rsid w:val="ADFE6DE8"/>
    <w:rsid w:val="AF7EA5B7"/>
    <w:rsid w:val="AFBFFDB5"/>
    <w:rsid w:val="B3ABEA46"/>
    <w:rsid w:val="B3E1CDDD"/>
    <w:rsid w:val="B6D7D20E"/>
    <w:rsid w:val="B7CE2A47"/>
    <w:rsid w:val="B7EF975A"/>
    <w:rsid w:val="B7FB3242"/>
    <w:rsid w:val="B8BFA634"/>
    <w:rsid w:val="B9D961D0"/>
    <w:rsid w:val="BA36D05D"/>
    <w:rsid w:val="BABF0F45"/>
    <w:rsid w:val="BD393CC8"/>
    <w:rsid w:val="BDBD987B"/>
    <w:rsid w:val="BFBD664A"/>
    <w:rsid w:val="BFC76A11"/>
    <w:rsid w:val="BFEFD13C"/>
    <w:rsid w:val="C5EDE48C"/>
    <w:rsid w:val="CEDB2757"/>
    <w:rsid w:val="CFD76E04"/>
    <w:rsid w:val="CFE5DFFE"/>
    <w:rsid w:val="CFFFD1DC"/>
    <w:rsid w:val="D5E7B8AD"/>
    <w:rsid w:val="D6FD5F60"/>
    <w:rsid w:val="D7BFD26F"/>
    <w:rsid w:val="D7EBE723"/>
    <w:rsid w:val="D9FFE9DD"/>
    <w:rsid w:val="DB4D237C"/>
    <w:rsid w:val="DB7AB8DD"/>
    <w:rsid w:val="DD7FF473"/>
    <w:rsid w:val="DDFBDEF0"/>
    <w:rsid w:val="DFCF32BF"/>
    <w:rsid w:val="DFEF2313"/>
    <w:rsid w:val="DFFB5E96"/>
    <w:rsid w:val="DFFEFA7E"/>
    <w:rsid w:val="DFFF74E2"/>
    <w:rsid w:val="E7BF68E2"/>
    <w:rsid w:val="E7C4EA37"/>
    <w:rsid w:val="E8FF966B"/>
    <w:rsid w:val="EA36169A"/>
    <w:rsid w:val="EB9F79EC"/>
    <w:rsid w:val="EBDF84F3"/>
    <w:rsid w:val="EBFB2BD9"/>
    <w:rsid w:val="EBFD7A01"/>
    <w:rsid w:val="EDEFDFF5"/>
    <w:rsid w:val="EEB9B04A"/>
    <w:rsid w:val="EF28C81D"/>
    <w:rsid w:val="EF60DC72"/>
    <w:rsid w:val="EF7FD878"/>
    <w:rsid w:val="EF9771F2"/>
    <w:rsid w:val="EFBD1902"/>
    <w:rsid w:val="EFBD6897"/>
    <w:rsid w:val="EFBEECA3"/>
    <w:rsid w:val="EFD20BEC"/>
    <w:rsid w:val="EFDEDDB4"/>
    <w:rsid w:val="EFF7E670"/>
    <w:rsid w:val="EFFDD1FE"/>
    <w:rsid w:val="EFFF0A9C"/>
    <w:rsid w:val="EFFF0A9D"/>
    <w:rsid w:val="EFFFEDCC"/>
    <w:rsid w:val="F45EEB44"/>
    <w:rsid w:val="F4B6B2B6"/>
    <w:rsid w:val="F55FE4D9"/>
    <w:rsid w:val="F5DE8B7D"/>
    <w:rsid w:val="F79F474A"/>
    <w:rsid w:val="F82F0B6E"/>
    <w:rsid w:val="F83DB4C9"/>
    <w:rsid w:val="F8BC5426"/>
    <w:rsid w:val="F954EE08"/>
    <w:rsid w:val="F9DDC9FF"/>
    <w:rsid w:val="FA339D96"/>
    <w:rsid w:val="FAFFC76B"/>
    <w:rsid w:val="FB6B028F"/>
    <w:rsid w:val="FB7D51A3"/>
    <w:rsid w:val="FBDBC1D2"/>
    <w:rsid w:val="FBDF4D3C"/>
    <w:rsid w:val="FCFDB700"/>
    <w:rsid w:val="FD67D24D"/>
    <w:rsid w:val="FD7CA95B"/>
    <w:rsid w:val="FDFF788E"/>
    <w:rsid w:val="FEAE8BD7"/>
    <w:rsid w:val="FECE8FF0"/>
    <w:rsid w:val="FEEF1EF9"/>
    <w:rsid w:val="FEFEE7B4"/>
    <w:rsid w:val="FEFF18E2"/>
    <w:rsid w:val="FF4B58F7"/>
    <w:rsid w:val="FF5F4230"/>
    <w:rsid w:val="FF6A911C"/>
    <w:rsid w:val="FF7B27CB"/>
    <w:rsid w:val="FF7D19F0"/>
    <w:rsid w:val="FFCC0302"/>
    <w:rsid w:val="FFCF9371"/>
    <w:rsid w:val="FFD93CC0"/>
    <w:rsid w:val="FFDB88BF"/>
    <w:rsid w:val="FFF5030F"/>
    <w:rsid w:val="FFF51EAB"/>
    <w:rsid w:val="FFF6F952"/>
    <w:rsid w:val="FFF7D425"/>
    <w:rsid w:val="FFFBF28B"/>
    <w:rsid w:val="FFFCB84D"/>
    <w:rsid w:val="FFFD8623"/>
    <w:rsid w:val="FFFD9F22"/>
    <w:rsid w:val="FFFF0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2">
    <w:name w:val="heading 1"/>
    <w:basedOn w:val="3"/>
    <w:next w:val="1"/>
    <w:qFormat/>
    <w:uiPriority w:val="9"/>
    <w:pPr>
      <w:keepNext/>
      <w:keepLines/>
      <w:spacing w:before="340" w:after="330" w:line="578" w:lineRule="auto"/>
      <w:outlineLvl w:val="0"/>
    </w:pPr>
    <w:rPr>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Arial" w:hAnsi="Arial" w:cs="Arial"/>
      <w:b/>
      <w:bCs/>
    </w:rPr>
  </w:style>
  <w:style w:type="paragraph" w:styleId="4">
    <w:name w:val="Body Text"/>
    <w:basedOn w:val="1"/>
    <w:qFormat/>
    <w:uiPriority w:val="1"/>
    <w:rPr>
      <w:rFonts w:ascii="宋体" w:hAnsi="宋体" w:eastAsia="宋体" w:cs="宋体"/>
      <w:sz w:val="30"/>
      <w:szCs w:val="30"/>
      <w:lang w:val="zh-CN" w:eastAsia="zh-CN" w:bidi="zh-CN"/>
    </w:rPr>
  </w:style>
  <w:style w:type="paragraph" w:styleId="5">
    <w:name w:val="Body Text Indent 2"/>
    <w:basedOn w:val="1"/>
    <w:qFormat/>
    <w:uiPriority w:val="0"/>
    <w:pPr>
      <w:snapToGrid w:val="0"/>
      <w:spacing w:line="360" w:lineRule="auto"/>
      <w:ind w:firstLine="630"/>
    </w:pPr>
    <w:rPr>
      <w:rFonts w:ascii="Times New Roman" w:hAnsi="Times New Roman" w:eastAsia="仿宋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w:basedOn w:val="4"/>
    <w:qFormat/>
    <w:uiPriority w:val="0"/>
    <w:pPr>
      <w:ind w:firstLine="420" w:firstLineChars="100"/>
    </w:pPr>
  </w:style>
  <w:style w:type="paragraph" w:customStyle="1" w:styleId="13">
    <w:name w:val="Default"/>
    <w:next w:val="1"/>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customStyle="1" w:styleId="14">
    <w:name w:val="Heading #2|1"/>
    <w:basedOn w:val="1"/>
    <w:qFormat/>
    <w:uiPriority w:val="0"/>
    <w:pPr>
      <w:widowControl w:val="0"/>
      <w:shd w:val="clear" w:color="auto" w:fill="auto"/>
      <w:spacing w:after="40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89" w:lineRule="auto"/>
      <w:ind w:firstLine="1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12</Pages>
  <Words>5734</Words>
  <Characters>6234</Characters>
  <Lines>0</Lines>
  <Paragraphs>0</Paragraphs>
  <TotalTime>1</TotalTime>
  <ScaleCrop>false</ScaleCrop>
  <LinksUpToDate>false</LinksUpToDate>
  <CharactersWithSpaces>6238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2021-02-23T05:27:00Z</dcterms:created>
  <dc:creator>旁观者</dc:creator>
  <cp:lastModifiedBy>春風~~say bye again~</cp:lastModifiedBy>
  <cp:lastPrinted>2024-05-30T09:45:00Z</cp:lastPrinted>
  <dcterms:modified xsi:type="dcterms:W3CDTF">2025-07-31T02:23:49Z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85B1D5105B4443D2B778E51C6D0E10B7</vt:lpwstr>
  </property>
  <property fmtid="{D5CDD505-2E9C-101B-9397-08002B2CF9AE}" pid="4" name="KSOTemplateDocerSaveRecord">
    <vt:lpwstr>eyJoZGlkIjoiMDk0ZDgwZjMwMWQ2YjEwYmE3MWU0NTkwNTRjNThlNjciLCJ1c2VySWQiOiIxMTUyNDg1MzA4In0=</vt:lpwstr>
  </property>
</Properties>
</file>