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line="240" w:lineRule="auto"/>
        <w:jc w:val="center"/>
        <w:rPr>
          <w:rFonts w:hint="eastAsia" w:ascii="SimSun, STSong" w:hAnsi="SimSun, STSong" w:eastAsia="SimSun, STSong"/>
          <w:color w:val="000000"/>
          <w:sz w:val="28"/>
        </w:rPr>
      </w:pPr>
      <w:r>
        <w:rPr>
          <w:rFonts w:hint="eastAsia" w:ascii="SimSun, STSong" w:hAnsi="SimSun, STSong" w:eastAsia="SimSun, STSong"/>
          <w:color w:val="000000"/>
          <w:sz w:val="28"/>
        </w:rPr>
        <w:t>政府采购评分表及说明</w:t>
      </w:r>
    </w:p>
    <w:tbl>
      <w:tblPr>
        <w:tblStyle w:val="11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4"/>
        <w:gridCol w:w="1019"/>
        <w:gridCol w:w="579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SimHei, STHeiti" w:hAnsi="SimHei, STHeiti" w:eastAsia="SimHei, STHeiti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SimHei, STHeiti" w:hAnsi="SimHei, STHeiti" w:eastAsia="SimHei, STHeiti"/>
                <w:b/>
                <w:bCs/>
                <w:color w:val="000000"/>
                <w:sz w:val="20"/>
              </w:rPr>
              <w:t>评审项目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SimHei, STHeiti" w:hAnsi="SimHei, STHeiti" w:eastAsia="SimHei, STHeiti"/>
                <w:b/>
                <w:bCs/>
                <w:color w:val="000000"/>
                <w:sz w:val="20"/>
              </w:rPr>
              <w:t>标准分</w:t>
            </w:r>
          </w:p>
        </w:tc>
        <w:tc>
          <w:tcPr>
            <w:tcW w:w="5795" w:type="dxa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SimHei, STHeiti" w:hAnsi="SimHei, STHeiti" w:eastAsia="SimHei, STHeiti"/>
                <w:b/>
                <w:bCs/>
                <w:color w:val="000000"/>
                <w:sz w:val="20"/>
              </w:rPr>
              <w:t>评分标准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 w:ascii="SimHei, STHeiti" w:hAnsi="SimHei, STHeiti" w:eastAsia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SimHei, STHeiti" w:hAnsi="SimHei, STHeiti" w:eastAsia="宋体"/>
                <w:b/>
                <w:bCs/>
                <w:color w:val="000000"/>
                <w:sz w:val="20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05" w:type="dxa"/>
          </w:tcPr>
          <w:p>
            <w:pPr>
              <w:spacing w:line="240" w:lineRule="auto"/>
              <w:ind w:left="0" w:leftChars="0"/>
              <w:jc w:val="center"/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投标报价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795" w:type="dxa"/>
          </w:tcPr>
          <w:p>
            <w:pPr>
              <w:spacing w:line="240" w:lineRule="auto"/>
              <w:jc w:val="left"/>
            </w:pPr>
            <w:r>
              <w:rPr>
                <w:rFonts w:hint="eastAsia"/>
                <w:color w:val="000000"/>
                <w:sz w:val="20"/>
              </w:rPr>
              <w:t>综合评分法中的价格分统一采用低价优先法计算，即满足招标文件要求且投标价格最低的投标报价为评标基准价，其价格分为满分。其他投标人的价格分统一按照下列公式计算：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spacing w:line="240" w:lineRule="auto"/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投标报价得分=（评标基准价/投标报价）×价格权值×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705" w:type="dxa"/>
          </w:tcPr>
          <w:p>
            <w:pPr>
              <w:spacing w:line="240" w:lineRule="auto"/>
              <w:jc w:val="center"/>
              <w:rPr>
                <w:rFonts w:hint="eastAsia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技术方案评审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5795" w:type="dxa"/>
          </w:tcPr>
          <w:p>
            <w:pPr>
              <w:spacing w:line="240" w:lineRule="auto"/>
              <w:jc w:val="left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针对本项目方案合理且针对性和可行性强，内容完整、规范，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得16-25分；针对本项目方案较为合理且具有较强针对性和可行性，内容较完整、规范，得11-15分；针对本项目方案针对性和可行性一般，能基本满足采购要求的，得6-10分；针对本项目方案针对性和可行性较一般，难以满足采购要求的，得1-5分。未提供技术方案不得分。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705" w:type="dxa"/>
          </w:tcPr>
          <w:p>
            <w:pPr>
              <w:spacing w:line="240" w:lineRule="auto"/>
              <w:jc w:val="center"/>
              <w:rPr>
                <w:rFonts w:hint="eastAsia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服务保障措施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5795" w:type="dxa"/>
          </w:tcPr>
          <w:p>
            <w:pPr>
              <w:spacing w:line="240" w:lineRule="auto"/>
              <w:jc w:val="left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针对本项目提出的服务保障措施完整、全面、具体、详细，针对性强，可行性强的，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得15-20</w:t>
            </w:r>
            <w:r>
              <w:rPr>
                <w:rFonts w:hint="eastAsia"/>
                <w:color w:val="000000"/>
                <w:sz w:val="20"/>
              </w:rPr>
              <w:t>分；针对本项目提出的服务保障措施基本完整，具有较强的针对性和可行性的，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得11-15分；针对本项目提出的服务保障措施基本完整，具有简单的针对性和可行性但实施力度较弱的，得6-10分；针对本项目提出的服务保障措施有缺漏，缺乏针对性以及可行性的，得1-5分。未提供不得分。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705" w:type="dxa"/>
          </w:tcPr>
          <w:p>
            <w:pPr>
              <w:spacing w:line="240" w:lineRule="auto"/>
              <w:jc w:val="center"/>
              <w:rPr>
                <w:rFonts w:hint="eastAsia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违约责任承诺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5795" w:type="dxa"/>
          </w:tcPr>
          <w:p>
            <w:pPr>
              <w:spacing w:line="240" w:lineRule="auto"/>
              <w:jc w:val="left"/>
              <w:rPr>
                <w:rFonts w:hint="default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针对本项目提出的违约责任承诺内容详细、科学、合理，针对性强，具有较强的可操作性的，得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11-15</w:t>
            </w:r>
            <w:r>
              <w:rPr>
                <w:rFonts w:hint="eastAsia"/>
                <w:color w:val="000000"/>
                <w:sz w:val="20"/>
              </w:rPr>
              <w:t>分；针对本项目提出的违约责任承诺内容基本完整，有一定的针对性、可操作性的，得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6-10</w:t>
            </w:r>
            <w:r>
              <w:rPr>
                <w:rFonts w:hint="eastAsia"/>
                <w:color w:val="000000"/>
                <w:sz w:val="20"/>
              </w:rPr>
              <w:t>分；针对本项目提出的违约责任承诺内容不完整，针对性欠佳、无可操作性的，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得1-5分。未提供不得分。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5" w:type="dxa"/>
          </w:tcPr>
          <w:p>
            <w:pPr>
              <w:spacing w:line="240" w:lineRule="auto"/>
              <w:jc w:val="center"/>
              <w:rPr>
                <w:rFonts w:hint="eastAsia" w:eastAsia="等线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144" w:type="dxa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业绩评审</w:t>
            </w:r>
          </w:p>
        </w:tc>
        <w:tc>
          <w:tcPr>
            <w:tcW w:w="1019" w:type="dxa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5795" w:type="dxa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</w:rPr>
              <w:t>年1月1日至今每完成过一项类似项目业绩得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</w:rPr>
              <w:t>分，该项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最多可得</w:t>
            </w:r>
            <w:r>
              <w:rPr>
                <w:rFonts w:hint="eastAsia"/>
                <w:color w:val="000000"/>
                <w:sz w:val="20"/>
              </w:rPr>
              <w:t>10分。</w:t>
            </w:r>
          </w:p>
        </w:tc>
        <w:tc>
          <w:tcPr>
            <w:tcW w:w="994" w:type="dxa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0"/>
              </w:rPr>
            </w:pPr>
          </w:p>
        </w:tc>
      </w:tr>
    </w:tbl>
    <w:p>
      <w:pPr>
        <w:spacing w:line="240" w:lineRule="auto"/>
        <w:jc w:val="center"/>
      </w:pPr>
    </w:p>
    <w:tbl>
      <w:tblPr>
        <w:tblStyle w:val="11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038"/>
        <w:gridCol w:w="583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合计</w:t>
            </w:r>
          </w:p>
        </w:tc>
        <w:tc>
          <w:tcPr>
            <w:tcW w:w="1038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IOO分</w:t>
            </w:r>
          </w:p>
        </w:tc>
        <w:tc>
          <w:tcPr>
            <w:tcW w:w="5837" w:type="dxa"/>
          </w:tcPr>
          <w:p>
            <w:pPr>
              <w:spacing w:line="240" w:lineRule="auto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最终得分</w:t>
            </w:r>
          </w:p>
        </w:tc>
        <w:tc>
          <w:tcPr>
            <w:tcW w:w="988" w:type="dxa"/>
          </w:tcPr>
          <w:p>
            <w:pPr>
              <w:spacing w:line="240" w:lineRule="auto"/>
              <w:jc w:val="center"/>
            </w:pPr>
          </w:p>
        </w:tc>
      </w:tr>
    </w:tbl>
    <w:p>
      <w:pPr>
        <w:spacing w:line="240" w:lineRule="auto"/>
      </w:pPr>
    </w:p>
    <w:sectPr>
      <w:pgSz w:w="11906" w:h="16838"/>
      <w:pgMar w:top="1440" w:right="1134" w:bottom="1440" w:left="1134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,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TI0OTZjYmM3MGVlOTBkZjRjMzc0OTBlNDVjOWI3NTMifQ=="/>
    <w:docVar w:name="KSO_WPS_MARK_KEY" w:val="d7ef26b2-1573-4354-81cd-6eb72492d818"/>
  </w:docVars>
  <w:rsids>
    <w:rsidRoot w:val="00000000"/>
    <w:rsid w:val="01E213F0"/>
    <w:rsid w:val="030B47EA"/>
    <w:rsid w:val="0A2D217F"/>
    <w:rsid w:val="11DF7B02"/>
    <w:rsid w:val="19D10487"/>
    <w:rsid w:val="335B23DB"/>
    <w:rsid w:val="4B200C2B"/>
    <w:rsid w:val="546406A5"/>
    <w:rsid w:val="563F1955"/>
    <w:rsid w:val="5E542DFA"/>
    <w:rsid w:val="747F1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752</Words>
  <Characters>774</Characters>
  <TotalTime>15</TotalTime>
  <ScaleCrop>false</ScaleCrop>
  <LinksUpToDate>false</LinksUpToDate>
  <CharactersWithSpaces>774</CharactersWithSpaces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2024-07-18T02:52:00Z</dcterms:created>
  <dc:creator>李二两</dc:creator>
  <cp:lastModifiedBy>.。o0</cp:lastModifiedBy>
  <dcterms:modified xsi:type="dcterms:W3CDTF">2025-06-18T06:23:57Z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CE5D383F318D486EB8F971CD95AE6A50_13</vt:lpwstr>
  </property>
  <property fmtid="{D5CDD505-2E9C-101B-9397-08002B2CF9AE}" pid="4" name="KSOTemplateDocerSaveRecord">
    <vt:lpwstr>eyJoZGlkIjoiNGE1YmFhMmJlNzA0YTBkNTk3MjNjYWE5NDIxNjRiN2MiLCJ1c2VySWQiOiI3MjIwMTk5MzIifQ==</vt:lpwstr>
  </property>
</Properties>
</file>