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361C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 w:color="000000"/>
          <w:lang w:val="en-US" w:eastAsia="zh-CN" w:bidi="ar-SA"/>
        </w:rPr>
        <w:t>附件1</w:t>
      </w:r>
    </w:p>
    <w:p w14:paraId="558CA9E7">
      <w:pPr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供应商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告知书</w:t>
      </w:r>
    </w:p>
    <w:bookmarkEnd w:id="0"/>
    <w:p w14:paraId="00BDB6D9">
      <w:pPr>
        <w:spacing w:line="56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CB17D1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现将五华区司法局公开购买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村（居）法律顾问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相关事项告知如下：</w:t>
      </w:r>
    </w:p>
    <w:p w14:paraId="2B0E81EC">
      <w:pPr>
        <w:spacing w:line="56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一、采购遵循的原则</w:t>
      </w:r>
    </w:p>
    <w:p w14:paraId="467DD09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采购遵循公开透明、公平竞争、公正和诚实信用原则。</w:t>
      </w:r>
    </w:p>
    <w:p w14:paraId="4BB9E98D">
      <w:pPr>
        <w:spacing w:line="56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二、采购方式</w:t>
      </w:r>
    </w:p>
    <w:p w14:paraId="576F412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根据昆明市财政局印发的《昆明市市本级政府购买服务指导性目录（2022年版）》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的规定，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属于政府购买服务项目，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单项或批量金额在60万元（不含）以下的项目，不属于政府采购范围，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按照《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昆明市五华区司法局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采购管理办法》的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制度执行。</w:t>
      </w:r>
    </w:p>
    <w:p w14:paraId="0A7188E5">
      <w:pPr>
        <w:spacing w:line="56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三、回避</w:t>
      </w:r>
    </w:p>
    <w:p w14:paraId="0320C93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在采购活动中，采购人员及相关人员与供应商有利害关系的，必须回避。供应商认为采购人员及相关人员与其他供应商有利害关系的，可以申请回避。</w:t>
      </w:r>
    </w:p>
    <w:p w14:paraId="418D192B">
      <w:pPr>
        <w:spacing w:line="56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四、保密</w:t>
      </w:r>
    </w:p>
    <w:p w14:paraId="36CD2C0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参与本次选聘</w:t>
      </w:r>
      <w:r>
        <w:rPr>
          <w:rFonts w:hint="eastAsia" w:ascii="仿宋_GB2312" w:eastAsia="仿宋_GB2312"/>
          <w:sz w:val="32"/>
          <w:szCs w:val="32"/>
        </w:rPr>
        <w:t>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任何一方不得透露与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本次购买服务</w:t>
      </w:r>
      <w:r>
        <w:rPr>
          <w:rFonts w:hint="eastAsia" w:ascii="仿宋_GB2312" w:eastAsia="仿宋_GB2312"/>
          <w:sz w:val="32"/>
          <w:szCs w:val="32"/>
        </w:rPr>
        <w:t>有关的其他供应商技术资料、价格和其他信息。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购买服务选聘</w:t>
      </w:r>
      <w:r>
        <w:rPr>
          <w:rFonts w:hint="eastAsia" w:ascii="仿宋_GB2312" w:eastAsia="仿宋_GB2312"/>
          <w:sz w:val="32"/>
          <w:szCs w:val="32"/>
        </w:rPr>
        <w:t>开始后，直到签署采购服务合同止，凡是属于审查、澄清、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选聘</w:t>
      </w:r>
      <w:r>
        <w:rPr>
          <w:rFonts w:hint="eastAsia" w:ascii="仿宋_GB2312" w:eastAsia="仿宋_GB2312"/>
          <w:sz w:val="32"/>
          <w:szCs w:val="32"/>
        </w:rPr>
        <w:t>和比较有关的资料及成交建议等属保密信息，知悉人不向其他人员透露。</w:t>
      </w:r>
    </w:p>
    <w:p w14:paraId="5B55F6BD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五、禁止性规定</w:t>
      </w:r>
    </w:p>
    <w:p w14:paraId="637B17F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供应商不得相互串通损害国家利益、社会公共利益和其他当事人的合法权益；不得以任何手段排斥其他供应商参与竞争；不得以向采购人及评审人员行贿或者采取其他不正当手段谋取成交。</w:t>
      </w:r>
    </w:p>
    <w:p w14:paraId="23FD419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4DE0D45">
      <w:pPr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 w14:paraId="076252E1"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 w14:paraId="6072C7D9"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 w14:paraId="2B6AE0A1"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 w14:paraId="7321E0EB"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 w14:paraId="4E467303"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 w14:paraId="2841F4F0"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 w14:paraId="14578D34"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 w14:paraId="70E05C12"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 w14:paraId="3E6C92B5"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 w14:paraId="11EB8CED"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 w14:paraId="0F9ECECE"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 w14:paraId="118738EE"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 w14:paraId="44BE3023">
      <w:pPr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供应商名称：                </w:t>
      </w:r>
    </w:p>
    <w:p w14:paraId="1A9380B1">
      <w:pPr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法定代表人（授权代理人）签字：          </w:t>
      </w:r>
    </w:p>
    <w:p w14:paraId="336F9A59">
      <w:pPr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签字日期：    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p w14:paraId="1B53CA6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4848DB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FA941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44F00"/>
    <w:rsid w:val="3AD44F00"/>
    <w:rsid w:val="796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宋体" w:hAnsi="宋体" w:eastAsia="宋体" w:cs="宋体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2025-06-17T08:08:00Z</dcterms:created>
  <dc:creator>花儿小姐张娜娜</dc:creator>
  <cp:lastModifiedBy>花儿小姐张娜娜</cp:lastModifiedBy>
  <dcterms:modified xsi:type="dcterms:W3CDTF">2025-06-17T08:09:03Z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E6D3F5D1E76D4E14892B787D42AE7562_13</vt:lpwstr>
  </property>
  <property fmtid="{D5CDD505-2E9C-101B-9397-08002B2CF9AE}" pid="4" name="KSOTemplateDocerSaveRecord">
    <vt:lpwstr>eyJoZGlkIjoiNDE4NTE0Nzk2OGVlMjJhNjIwOTYxYjc0NWIyZjc3MTAiLCJ1c2VySWQiOiI0Mjk4MTA0ODMifQ==</vt:lpwstr>
  </property>
</Properties>
</file>