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3C09B">
      <w:pPr>
        <w:pStyle w:val="3"/>
        <w:spacing w:before="139" w:line="219" w:lineRule="auto"/>
        <w:jc w:val="center"/>
        <w:rPr>
          <w:sz w:val="43"/>
          <w:szCs w:val="43"/>
        </w:rPr>
      </w:pPr>
      <w:bookmarkStart w:id="0" w:name="_GoBack"/>
      <w:bookmarkEnd w:id="0"/>
      <w:r>
        <w:rPr>
          <w:rFonts w:hint="eastAsia"/>
          <w:b/>
          <w:bCs/>
          <w:spacing w:val="-4"/>
          <w:sz w:val="43"/>
          <w:szCs w:val="43"/>
          <w:lang w:val="en-US" w:eastAsia="zh-CN"/>
        </w:rPr>
        <w:t>五华区教育体育局2025</w:t>
      </w:r>
      <w:r>
        <w:rPr>
          <w:b/>
          <w:bCs/>
          <w:spacing w:val="-4"/>
          <w:sz w:val="43"/>
          <w:szCs w:val="43"/>
        </w:rPr>
        <w:t>年度涉企行政检查计划</w:t>
      </w:r>
    </w:p>
    <w:p w14:paraId="3464F809">
      <w:pPr>
        <w:spacing w:before="41"/>
      </w:pPr>
    </w:p>
    <w:tbl>
      <w:tblPr>
        <w:tblStyle w:val="6"/>
        <w:tblW w:w="10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829"/>
        <w:gridCol w:w="979"/>
        <w:gridCol w:w="969"/>
        <w:gridCol w:w="909"/>
        <w:gridCol w:w="799"/>
        <w:gridCol w:w="759"/>
        <w:gridCol w:w="739"/>
        <w:gridCol w:w="829"/>
        <w:gridCol w:w="1239"/>
        <w:gridCol w:w="1543"/>
      </w:tblGrid>
      <w:tr w14:paraId="7ACF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525" w:type="dxa"/>
            <w:textDirection w:val="tbRlV"/>
            <w:vAlign w:val="top"/>
          </w:tcPr>
          <w:p w14:paraId="4C5E5FA8">
            <w:pPr>
              <w:spacing w:before="174" w:line="199" w:lineRule="auto"/>
              <w:ind w:left="492"/>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99"/>
                <w:sz w:val="24"/>
                <w:szCs w:val="24"/>
              </w:rPr>
              <w:t xml:space="preserve"> </w:t>
            </w:r>
            <w:r>
              <w:rPr>
                <w:rFonts w:ascii="宋体" w:hAnsi="宋体" w:eastAsia="宋体" w:cs="宋体"/>
                <w:sz w:val="24"/>
                <w:szCs w:val="24"/>
              </w:rPr>
              <w:t>号</w:t>
            </w:r>
          </w:p>
        </w:tc>
        <w:tc>
          <w:tcPr>
            <w:tcW w:w="829" w:type="dxa"/>
            <w:vAlign w:val="top"/>
          </w:tcPr>
          <w:p w14:paraId="5DBC13AD">
            <w:pPr>
              <w:pStyle w:val="7"/>
              <w:spacing w:line="241" w:lineRule="auto"/>
            </w:pPr>
          </w:p>
          <w:p w14:paraId="4AC14C24">
            <w:pPr>
              <w:pStyle w:val="7"/>
              <w:spacing w:line="242" w:lineRule="auto"/>
            </w:pPr>
          </w:p>
          <w:p w14:paraId="366C7D01">
            <w:pPr>
              <w:spacing w:before="78" w:line="219" w:lineRule="auto"/>
              <w:ind w:left="160"/>
              <w:rPr>
                <w:rFonts w:ascii="宋体" w:hAnsi="宋体" w:eastAsia="宋体" w:cs="宋体"/>
                <w:sz w:val="24"/>
                <w:szCs w:val="24"/>
              </w:rPr>
            </w:pPr>
            <w:r>
              <w:rPr>
                <w:rFonts w:ascii="宋体" w:hAnsi="宋体" w:eastAsia="宋体" w:cs="宋体"/>
                <w:spacing w:val="6"/>
                <w:sz w:val="24"/>
                <w:szCs w:val="24"/>
              </w:rPr>
              <w:t>检查</w:t>
            </w:r>
          </w:p>
          <w:p w14:paraId="08ACB1E0">
            <w:pPr>
              <w:spacing w:before="126" w:line="221" w:lineRule="auto"/>
              <w:ind w:left="160"/>
              <w:rPr>
                <w:rFonts w:ascii="宋体" w:hAnsi="宋体" w:eastAsia="宋体" w:cs="宋体"/>
                <w:sz w:val="24"/>
                <w:szCs w:val="24"/>
              </w:rPr>
            </w:pPr>
            <w:r>
              <w:rPr>
                <w:rFonts w:ascii="宋体" w:hAnsi="宋体" w:eastAsia="宋体" w:cs="宋体"/>
                <w:spacing w:val="5"/>
                <w:sz w:val="24"/>
                <w:szCs w:val="24"/>
              </w:rPr>
              <w:t>主体</w:t>
            </w:r>
          </w:p>
        </w:tc>
        <w:tc>
          <w:tcPr>
            <w:tcW w:w="979" w:type="dxa"/>
            <w:vAlign w:val="top"/>
          </w:tcPr>
          <w:p w14:paraId="2033AEB9">
            <w:pPr>
              <w:pStyle w:val="7"/>
              <w:spacing w:line="247" w:lineRule="auto"/>
            </w:pPr>
          </w:p>
          <w:p w14:paraId="7A11444D">
            <w:pPr>
              <w:pStyle w:val="7"/>
              <w:spacing w:line="247" w:lineRule="auto"/>
            </w:pPr>
          </w:p>
          <w:p w14:paraId="50F16C65">
            <w:pPr>
              <w:spacing w:before="78" w:line="219" w:lineRule="auto"/>
              <w:ind w:left="241"/>
              <w:rPr>
                <w:rFonts w:ascii="宋体" w:hAnsi="宋体" w:eastAsia="宋体" w:cs="宋体"/>
                <w:sz w:val="24"/>
                <w:szCs w:val="24"/>
              </w:rPr>
            </w:pPr>
            <w:r>
              <w:rPr>
                <w:rFonts w:ascii="宋体" w:hAnsi="宋体" w:eastAsia="宋体" w:cs="宋体"/>
                <w:spacing w:val="6"/>
                <w:sz w:val="24"/>
                <w:szCs w:val="24"/>
              </w:rPr>
              <w:t>检查</w:t>
            </w:r>
          </w:p>
          <w:p w14:paraId="32384DC2">
            <w:pPr>
              <w:spacing w:before="95" w:line="220" w:lineRule="auto"/>
              <w:ind w:left="241"/>
              <w:rPr>
                <w:rFonts w:ascii="宋体" w:hAnsi="宋体" w:eastAsia="宋体" w:cs="宋体"/>
                <w:sz w:val="24"/>
                <w:szCs w:val="24"/>
              </w:rPr>
            </w:pPr>
            <w:r>
              <w:rPr>
                <w:rFonts w:ascii="宋体" w:hAnsi="宋体" w:eastAsia="宋体" w:cs="宋体"/>
                <w:spacing w:val="7"/>
                <w:sz w:val="24"/>
                <w:szCs w:val="24"/>
              </w:rPr>
              <w:t>事项</w:t>
            </w:r>
          </w:p>
        </w:tc>
        <w:tc>
          <w:tcPr>
            <w:tcW w:w="969" w:type="dxa"/>
            <w:vAlign w:val="top"/>
          </w:tcPr>
          <w:p w14:paraId="7B803DE7">
            <w:pPr>
              <w:pStyle w:val="7"/>
              <w:spacing w:line="247" w:lineRule="auto"/>
            </w:pPr>
          </w:p>
          <w:p w14:paraId="4A1F4DA1">
            <w:pPr>
              <w:pStyle w:val="7"/>
              <w:spacing w:line="247" w:lineRule="auto"/>
            </w:pPr>
          </w:p>
          <w:p w14:paraId="6E414EA8">
            <w:pPr>
              <w:spacing w:before="78" w:line="219" w:lineRule="auto"/>
              <w:ind w:left="231"/>
              <w:rPr>
                <w:rFonts w:ascii="宋体" w:hAnsi="宋体" w:eastAsia="宋体" w:cs="宋体"/>
                <w:sz w:val="24"/>
                <w:szCs w:val="24"/>
              </w:rPr>
            </w:pPr>
            <w:r>
              <w:rPr>
                <w:rFonts w:ascii="宋体" w:hAnsi="宋体" w:eastAsia="宋体" w:cs="宋体"/>
                <w:spacing w:val="6"/>
                <w:sz w:val="24"/>
                <w:szCs w:val="24"/>
              </w:rPr>
              <w:t>检查</w:t>
            </w:r>
          </w:p>
          <w:p w14:paraId="54D5AF98">
            <w:pPr>
              <w:spacing w:before="103" w:line="219" w:lineRule="auto"/>
              <w:ind w:left="231"/>
              <w:rPr>
                <w:rFonts w:ascii="宋体" w:hAnsi="宋体" w:eastAsia="宋体" w:cs="宋体"/>
                <w:sz w:val="24"/>
                <w:szCs w:val="24"/>
              </w:rPr>
            </w:pPr>
            <w:r>
              <w:rPr>
                <w:rFonts w:ascii="宋体" w:hAnsi="宋体" w:eastAsia="宋体" w:cs="宋体"/>
                <w:spacing w:val="7"/>
                <w:sz w:val="24"/>
                <w:szCs w:val="24"/>
              </w:rPr>
              <w:t>依据</w:t>
            </w:r>
          </w:p>
        </w:tc>
        <w:tc>
          <w:tcPr>
            <w:tcW w:w="909" w:type="dxa"/>
            <w:vAlign w:val="top"/>
          </w:tcPr>
          <w:p w14:paraId="18F5586C">
            <w:pPr>
              <w:pStyle w:val="7"/>
              <w:spacing w:line="246" w:lineRule="auto"/>
            </w:pPr>
          </w:p>
          <w:p w14:paraId="7187139C">
            <w:pPr>
              <w:pStyle w:val="7"/>
              <w:spacing w:line="247" w:lineRule="auto"/>
            </w:pPr>
          </w:p>
          <w:p w14:paraId="6DBF65BE">
            <w:pPr>
              <w:spacing w:before="78" w:line="310" w:lineRule="auto"/>
              <w:ind w:left="202" w:right="203"/>
              <w:rPr>
                <w:rFonts w:ascii="宋体" w:hAnsi="宋体" w:eastAsia="宋体" w:cs="宋体"/>
                <w:sz w:val="24"/>
                <w:szCs w:val="24"/>
              </w:rPr>
            </w:pPr>
            <w:r>
              <w:rPr>
                <w:rFonts w:ascii="宋体" w:hAnsi="宋体" w:eastAsia="宋体" w:cs="宋体"/>
                <w:spacing w:val="6"/>
                <w:sz w:val="24"/>
                <w:szCs w:val="24"/>
              </w:rPr>
              <w:t>检查</w:t>
            </w:r>
            <w:r>
              <w:rPr>
                <w:rFonts w:ascii="宋体" w:hAnsi="宋体" w:eastAsia="宋体" w:cs="宋体"/>
                <w:sz w:val="24"/>
                <w:szCs w:val="24"/>
              </w:rPr>
              <w:t xml:space="preserve"> </w:t>
            </w:r>
            <w:r>
              <w:rPr>
                <w:rFonts w:ascii="宋体" w:hAnsi="宋体" w:eastAsia="宋体" w:cs="宋体"/>
                <w:spacing w:val="-3"/>
                <w:sz w:val="24"/>
                <w:szCs w:val="24"/>
              </w:rPr>
              <w:t>对象</w:t>
            </w:r>
          </w:p>
        </w:tc>
        <w:tc>
          <w:tcPr>
            <w:tcW w:w="799" w:type="dxa"/>
            <w:vAlign w:val="top"/>
          </w:tcPr>
          <w:p w14:paraId="5D3EAF3F">
            <w:pPr>
              <w:pStyle w:val="7"/>
              <w:spacing w:line="284" w:lineRule="auto"/>
            </w:pPr>
          </w:p>
          <w:p w14:paraId="2CAF0D50">
            <w:pPr>
              <w:spacing w:before="78" w:line="313" w:lineRule="auto"/>
              <w:ind w:left="94" w:right="85" w:firstLine="59"/>
              <w:jc w:val="both"/>
              <w:rPr>
                <w:rFonts w:ascii="宋体" w:hAnsi="宋体" w:eastAsia="宋体" w:cs="宋体"/>
                <w:sz w:val="24"/>
                <w:szCs w:val="24"/>
              </w:rPr>
            </w:pPr>
            <w:r>
              <w:rPr>
                <w:rFonts w:ascii="宋体" w:hAnsi="宋体" w:eastAsia="宋体" w:cs="宋体"/>
                <w:spacing w:val="6"/>
                <w:sz w:val="24"/>
                <w:szCs w:val="24"/>
              </w:rPr>
              <w:t>检查</w:t>
            </w:r>
            <w:r>
              <w:rPr>
                <w:rFonts w:ascii="宋体" w:hAnsi="宋体" w:eastAsia="宋体" w:cs="宋体"/>
                <w:sz w:val="24"/>
                <w:szCs w:val="24"/>
              </w:rPr>
              <w:t xml:space="preserve"> </w:t>
            </w:r>
            <w:r>
              <w:rPr>
                <w:rFonts w:ascii="宋体" w:hAnsi="宋体" w:eastAsia="宋体" w:cs="宋体"/>
                <w:spacing w:val="3"/>
                <w:sz w:val="24"/>
                <w:szCs w:val="24"/>
              </w:rPr>
              <w:t>比例/</w:t>
            </w:r>
            <w:r>
              <w:rPr>
                <w:rFonts w:ascii="宋体" w:hAnsi="宋体" w:eastAsia="宋体" w:cs="宋体"/>
                <w:sz w:val="24"/>
                <w:szCs w:val="24"/>
              </w:rPr>
              <w:t xml:space="preserve"> </w:t>
            </w:r>
            <w:r>
              <w:rPr>
                <w:rFonts w:ascii="宋体" w:hAnsi="宋体" w:eastAsia="宋体" w:cs="宋体"/>
                <w:spacing w:val="34"/>
                <w:sz w:val="24"/>
                <w:szCs w:val="24"/>
              </w:rPr>
              <w:t>数量</w:t>
            </w:r>
          </w:p>
        </w:tc>
        <w:tc>
          <w:tcPr>
            <w:tcW w:w="759" w:type="dxa"/>
            <w:vAlign w:val="top"/>
          </w:tcPr>
          <w:p w14:paraId="765A3FD1">
            <w:pPr>
              <w:spacing w:before="176" w:line="291" w:lineRule="auto"/>
              <w:ind w:left="74" w:right="84" w:firstLine="60"/>
              <w:jc w:val="both"/>
              <w:rPr>
                <w:rFonts w:ascii="宋体" w:hAnsi="宋体" w:eastAsia="宋体" w:cs="宋体"/>
                <w:sz w:val="24"/>
                <w:szCs w:val="24"/>
              </w:rPr>
            </w:pPr>
            <w:r>
              <w:rPr>
                <w:rFonts w:ascii="宋体" w:hAnsi="宋体" w:eastAsia="宋体" w:cs="宋体"/>
                <w:spacing w:val="6"/>
                <w:sz w:val="24"/>
                <w:szCs w:val="24"/>
              </w:rPr>
              <w:t>检查</w:t>
            </w:r>
            <w:r>
              <w:rPr>
                <w:rFonts w:ascii="宋体" w:hAnsi="宋体" w:eastAsia="宋体" w:cs="宋体"/>
                <w:sz w:val="24"/>
                <w:szCs w:val="24"/>
              </w:rPr>
              <w:t xml:space="preserve"> </w:t>
            </w:r>
            <w:r>
              <w:rPr>
                <w:rFonts w:ascii="宋体" w:hAnsi="宋体" w:eastAsia="宋体" w:cs="宋体"/>
                <w:spacing w:val="-4"/>
                <w:sz w:val="24"/>
                <w:szCs w:val="24"/>
              </w:rPr>
              <w:t>频次/</w:t>
            </w:r>
            <w:r>
              <w:rPr>
                <w:rFonts w:ascii="宋体" w:hAnsi="宋体" w:eastAsia="宋体" w:cs="宋体"/>
                <w:sz w:val="24"/>
                <w:szCs w:val="24"/>
              </w:rPr>
              <w:t xml:space="preserve"> </w:t>
            </w:r>
            <w:r>
              <w:rPr>
                <w:rFonts w:ascii="宋体" w:hAnsi="宋体" w:eastAsia="宋体" w:cs="宋体"/>
                <w:spacing w:val="24"/>
                <w:sz w:val="24"/>
                <w:szCs w:val="24"/>
              </w:rPr>
              <w:t>频次</w:t>
            </w:r>
            <w:r>
              <w:rPr>
                <w:rFonts w:ascii="宋体" w:hAnsi="宋体" w:eastAsia="宋体" w:cs="宋体"/>
                <w:sz w:val="24"/>
                <w:szCs w:val="24"/>
              </w:rPr>
              <w:t xml:space="preserve"> </w:t>
            </w:r>
            <w:r>
              <w:rPr>
                <w:rFonts w:ascii="宋体" w:hAnsi="宋体" w:eastAsia="宋体" w:cs="宋体"/>
                <w:spacing w:val="36"/>
                <w:sz w:val="24"/>
                <w:szCs w:val="24"/>
              </w:rPr>
              <w:t>上限</w:t>
            </w:r>
          </w:p>
        </w:tc>
        <w:tc>
          <w:tcPr>
            <w:tcW w:w="739" w:type="dxa"/>
            <w:vAlign w:val="top"/>
          </w:tcPr>
          <w:p w14:paraId="51642888">
            <w:pPr>
              <w:pStyle w:val="7"/>
              <w:spacing w:line="247" w:lineRule="auto"/>
            </w:pPr>
          </w:p>
          <w:p w14:paraId="092120E4">
            <w:pPr>
              <w:pStyle w:val="7"/>
              <w:spacing w:line="247" w:lineRule="auto"/>
            </w:pPr>
          </w:p>
          <w:p w14:paraId="3A4AB77D">
            <w:pPr>
              <w:spacing w:before="78" w:line="304" w:lineRule="auto"/>
              <w:ind w:left="126" w:right="110"/>
              <w:rPr>
                <w:rFonts w:ascii="宋体" w:hAnsi="宋体" w:eastAsia="宋体" w:cs="宋体"/>
                <w:sz w:val="24"/>
                <w:szCs w:val="24"/>
              </w:rPr>
            </w:pPr>
            <w:r>
              <w:rPr>
                <w:rFonts w:ascii="宋体" w:hAnsi="宋体" w:eastAsia="宋体" w:cs="宋体"/>
                <w:spacing w:val="6"/>
                <w:sz w:val="24"/>
                <w:szCs w:val="24"/>
              </w:rPr>
              <w:t>检查</w:t>
            </w:r>
            <w:r>
              <w:rPr>
                <w:rFonts w:ascii="宋体" w:hAnsi="宋体" w:eastAsia="宋体" w:cs="宋体"/>
                <w:sz w:val="24"/>
                <w:szCs w:val="24"/>
              </w:rPr>
              <w:t xml:space="preserve"> </w:t>
            </w:r>
            <w:r>
              <w:rPr>
                <w:rFonts w:ascii="宋体" w:hAnsi="宋体" w:eastAsia="宋体" w:cs="宋体"/>
                <w:spacing w:val="-3"/>
                <w:sz w:val="24"/>
                <w:szCs w:val="24"/>
              </w:rPr>
              <w:t>方式</w:t>
            </w:r>
          </w:p>
        </w:tc>
        <w:tc>
          <w:tcPr>
            <w:tcW w:w="829" w:type="dxa"/>
            <w:vAlign w:val="top"/>
          </w:tcPr>
          <w:p w14:paraId="4DDF5844">
            <w:pPr>
              <w:pStyle w:val="7"/>
              <w:spacing w:line="241" w:lineRule="auto"/>
            </w:pPr>
          </w:p>
          <w:p w14:paraId="631930D5">
            <w:pPr>
              <w:pStyle w:val="7"/>
              <w:spacing w:line="242" w:lineRule="auto"/>
            </w:pPr>
          </w:p>
          <w:p w14:paraId="72385D55">
            <w:pPr>
              <w:spacing w:before="78" w:line="219" w:lineRule="auto"/>
              <w:ind w:left="166"/>
              <w:rPr>
                <w:rFonts w:ascii="宋体" w:hAnsi="宋体" w:eastAsia="宋体" w:cs="宋体"/>
                <w:sz w:val="24"/>
                <w:szCs w:val="24"/>
              </w:rPr>
            </w:pPr>
            <w:r>
              <w:rPr>
                <w:rFonts w:ascii="宋体" w:hAnsi="宋体" w:eastAsia="宋体" w:cs="宋体"/>
                <w:spacing w:val="6"/>
                <w:sz w:val="24"/>
                <w:szCs w:val="24"/>
              </w:rPr>
              <w:t>检查</w:t>
            </w:r>
          </w:p>
          <w:p w14:paraId="1E395D28">
            <w:pPr>
              <w:spacing w:before="118" w:line="221" w:lineRule="auto"/>
              <w:ind w:left="166"/>
              <w:rPr>
                <w:rFonts w:ascii="宋体" w:hAnsi="宋体" w:eastAsia="宋体" w:cs="宋体"/>
                <w:sz w:val="24"/>
                <w:szCs w:val="24"/>
              </w:rPr>
            </w:pPr>
            <w:r>
              <w:rPr>
                <w:rFonts w:ascii="宋体" w:hAnsi="宋体" w:eastAsia="宋体" w:cs="宋体"/>
                <w:spacing w:val="11"/>
                <w:sz w:val="24"/>
                <w:szCs w:val="24"/>
              </w:rPr>
              <w:t>时间</w:t>
            </w:r>
          </w:p>
        </w:tc>
        <w:tc>
          <w:tcPr>
            <w:tcW w:w="1239" w:type="dxa"/>
            <w:vAlign w:val="top"/>
          </w:tcPr>
          <w:p w14:paraId="1A0068D8">
            <w:pPr>
              <w:pStyle w:val="7"/>
              <w:spacing w:line="247" w:lineRule="auto"/>
            </w:pPr>
          </w:p>
          <w:p w14:paraId="1DA81384">
            <w:pPr>
              <w:pStyle w:val="7"/>
              <w:spacing w:line="247" w:lineRule="auto"/>
            </w:pPr>
          </w:p>
          <w:p w14:paraId="7DE2EC67">
            <w:pPr>
              <w:spacing w:before="78" w:line="219" w:lineRule="auto"/>
              <w:ind w:left="138"/>
              <w:rPr>
                <w:rFonts w:ascii="宋体" w:hAnsi="宋体" w:eastAsia="宋体" w:cs="宋体"/>
                <w:sz w:val="24"/>
                <w:szCs w:val="24"/>
              </w:rPr>
            </w:pPr>
            <w:r>
              <w:rPr>
                <w:rFonts w:ascii="宋体" w:hAnsi="宋体" w:eastAsia="宋体" w:cs="宋体"/>
                <w:spacing w:val="2"/>
                <w:sz w:val="24"/>
                <w:szCs w:val="24"/>
              </w:rPr>
              <w:t>合并或者</w:t>
            </w:r>
          </w:p>
          <w:p w14:paraId="451D5D9E">
            <w:pPr>
              <w:spacing w:before="115" w:line="220" w:lineRule="auto"/>
              <w:ind w:left="138"/>
              <w:rPr>
                <w:rFonts w:ascii="宋体" w:hAnsi="宋体" w:eastAsia="宋体" w:cs="宋体"/>
                <w:sz w:val="24"/>
                <w:szCs w:val="24"/>
              </w:rPr>
            </w:pPr>
            <w:r>
              <w:rPr>
                <w:rFonts w:ascii="宋体" w:hAnsi="宋体" w:eastAsia="宋体" w:cs="宋体"/>
                <w:spacing w:val="2"/>
                <w:sz w:val="24"/>
                <w:szCs w:val="24"/>
              </w:rPr>
              <w:t>联合建议</w:t>
            </w:r>
          </w:p>
        </w:tc>
        <w:tc>
          <w:tcPr>
            <w:tcW w:w="1543" w:type="dxa"/>
            <w:vAlign w:val="top"/>
          </w:tcPr>
          <w:p w14:paraId="3280FA7D">
            <w:pPr>
              <w:pStyle w:val="7"/>
              <w:spacing w:line="327" w:lineRule="auto"/>
            </w:pPr>
          </w:p>
          <w:p w14:paraId="321476C5">
            <w:pPr>
              <w:pStyle w:val="7"/>
              <w:spacing w:line="327" w:lineRule="auto"/>
            </w:pPr>
          </w:p>
          <w:p w14:paraId="4E054B9A">
            <w:pPr>
              <w:spacing w:before="78" w:line="221" w:lineRule="auto"/>
              <w:ind w:left="538"/>
              <w:rPr>
                <w:rFonts w:ascii="宋体" w:hAnsi="宋体" w:eastAsia="宋体" w:cs="宋体"/>
                <w:sz w:val="24"/>
                <w:szCs w:val="24"/>
              </w:rPr>
            </w:pPr>
            <w:r>
              <w:rPr>
                <w:rFonts w:ascii="宋体" w:hAnsi="宋体" w:eastAsia="宋体" w:cs="宋体"/>
                <w:spacing w:val="6"/>
                <w:sz w:val="24"/>
                <w:szCs w:val="24"/>
              </w:rPr>
              <w:t>备注</w:t>
            </w:r>
          </w:p>
        </w:tc>
      </w:tr>
      <w:tr w14:paraId="4567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525" w:type="dxa"/>
            <w:vAlign w:val="center"/>
          </w:tcPr>
          <w:p w14:paraId="540FEA16">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29" w:type="dxa"/>
            <w:vAlign w:val="center"/>
          </w:tcPr>
          <w:p w14:paraId="018DEC22">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五华区教育体育局</w:t>
            </w:r>
          </w:p>
        </w:tc>
        <w:tc>
          <w:tcPr>
            <w:tcW w:w="979" w:type="dxa"/>
            <w:vAlign w:val="center"/>
          </w:tcPr>
          <w:p w14:paraId="2BE762E6">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shd w:val="clear" w:fill="FFFFFF"/>
              </w:rPr>
              <w:t>校外培训机构办学情况检查</w:t>
            </w:r>
          </w:p>
        </w:tc>
        <w:tc>
          <w:tcPr>
            <w:tcW w:w="969" w:type="dxa"/>
            <w:vAlign w:val="center"/>
          </w:tcPr>
          <w:p w14:paraId="22FEAF97">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《校外培训行政处罚暂行办法》</w:t>
            </w:r>
          </w:p>
        </w:tc>
        <w:tc>
          <w:tcPr>
            <w:tcW w:w="909" w:type="dxa"/>
            <w:vAlign w:val="center"/>
          </w:tcPr>
          <w:p w14:paraId="154B4CF9">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五华区校外培训机构</w:t>
            </w:r>
          </w:p>
        </w:tc>
        <w:tc>
          <w:tcPr>
            <w:tcW w:w="799" w:type="dxa"/>
            <w:vAlign w:val="center"/>
          </w:tcPr>
          <w:p w14:paraId="52518E87">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不定</w:t>
            </w:r>
          </w:p>
        </w:tc>
        <w:tc>
          <w:tcPr>
            <w:tcW w:w="759" w:type="dxa"/>
            <w:vAlign w:val="center"/>
          </w:tcPr>
          <w:p w14:paraId="6E583D97">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739" w:type="dxa"/>
            <w:vAlign w:val="center"/>
          </w:tcPr>
          <w:p w14:paraId="49E307EF">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现场检查</w:t>
            </w:r>
          </w:p>
        </w:tc>
        <w:tc>
          <w:tcPr>
            <w:tcW w:w="829" w:type="dxa"/>
            <w:vAlign w:val="center"/>
          </w:tcPr>
          <w:p w14:paraId="2BEDDF53">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不定期</w:t>
            </w:r>
          </w:p>
        </w:tc>
        <w:tc>
          <w:tcPr>
            <w:tcW w:w="1239" w:type="dxa"/>
            <w:vAlign w:val="center"/>
          </w:tcPr>
          <w:p w14:paraId="5C0C26BF">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联合市场监管、文旅、科工信、公安、消防救援大队进行检查</w:t>
            </w:r>
          </w:p>
        </w:tc>
        <w:tc>
          <w:tcPr>
            <w:tcW w:w="1543" w:type="dxa"/>
            <w:vAlign w:val="center"/>
          </w:tcPr>
          <w:p w14:paraId="7A149A63">
            <w:pPr>
              <w:pStyle w:val="7"/>
              <w:jc w:val="center"/>
              <w:rPr>
                <w:rFonts w:hint="eastAsia" w:ascii="仿宋_GB2312" w:hAnsi="仿宋_GB2312" w:eastAsia="仿宋_GB2312" w:cs="仿宋_GB2312"/>
                <w:sz w:val="24"/>
                <w:szCs w:val="24"/>
              </w:rPr>
            </w:pPr>
          </w:p>
        </w:tc>
      </w:tr>
      <w:tr w14:paraId="3DFE9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525" w:type="dxa"/>
            <w:vAlign w:val="center"/>
          </w:tcPr>
          <w:p w14:paraId="13C5B188">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29" w:type="dxa"/>
            <w:vAlign w:val="center"/>
          </w:tcPr>
          <w:p w14:paraId="7F56F460">
            <w:pPr>
              <w:pStyle w:val="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五华区教育体育局</w:t>
            </w:r>
          </w:p>
        </w:tc>
        <w:tc>
          <w:tcPr>
            <w:tcW w:w="979" w:type="dxa"/>
            <w:vAlign w:val="center"/>
          </w:tcPr>
          <w:p w14:paraId="0ED9FF53">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对经营高危险性体育项目的抽查检查</w:t>
            </w:r>
          </w:p>
        </w:tc>
        <w:tc>
          <w:tcPr>
            <w:tcW w:w="969" w:type="dxa"/>
            <w:vAlign w:val="center"/>
          </w:tcPr>
          <w:p w14:paraId="44835D03">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i w:val="0"/>
                <w:iCs w:val="0"/>
                <w:caps w:val="0"/>
                <w:color w:val="333333"/>
                <w:spacing w:val="0"/>
                <w:sz w:val="24"/>
                <w:szCs w:val="24"/>
                <w:shd w:val="clear" w:fill="FFFFFF"/>
              </w:rPr>
              <w:t>中华人民共和国体育法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i w:val="0"/>
                <w:iCs w:val="0"/>
                <w:caps w:val="0"/>
                <w:color w:val="333333"/>
                <w:spacing w:val="0"/>
                <w:sz w:val="24"/>
                <w:szCs w:val="24"/>
                <w:shd w:val="clear" w:fill="FFFFFF"/>
              </w:rPr>
              <w:t>《全民健身条例》《经营高危险性体育项目许可管理办法》</w:t>
            </w:r>
          </w:p>
        </w:tc>
        <w:tc>
          <w:tcPr>
            <w:tcW w:w="909" w:type="dxa"/>
            <w:vAlign w:val="center"/>
          </w:tcPr>
          <w:p w14:paraId="2D8B0DD6">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shd w:val="clear" w:fill="FFFFFF"/>
                <w:lang w:val="en-US" w:eastAsia="zh-CN"/>
              </w:rPr>
              <w:t>五华区</w:t>
            </w:r>
            <w:r>
              <w:rPr>
                <w:rFonts w:hint="eastAsia" w:ascii="仿宋_GB2312" w:hAnsi="仿宋_GB2312" w:eastAsia="仿宋_GB2312" w:cs="仿宋_GB2312"/>
                <w:i w:val="0"/>
                <w:iCs w:val="0"/>
                <w:caps w:val="0"/>
                <w:color w:val="333333"/>
                <w:spacing w:val="0"/>
                <w:sz w:val="24"/>
                <w:szCs w:val="24"/>
                <w:shd w:val="clear" w:fill="FFFFFF"/>
              </w:rPr>
              <w:t>经营高危险性体育项目市场主体</w:t>
            </w:r>
          </w:p>
        </w:tc>
        <w:tc>
          <w:tcPr>
            <w:tcW w:w="799" w:type="dxa"/>
            <w:vAlign w:val="center"/>
          </w:tcPr>
          <w:p w14:paraId="6E8BCDF7">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不定</w:t>
            </w:r>
          </w:p>
        </w:tc>
        <w:tc>
          <w:tcPr>
            <w:tcW w:w="759" w:type="dxa"/>
            <w:vAlign w:val="center"/>
          </w:tcPr>
          <w:p w14:paraId="188C7833">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739" w:type="dxa"/>
            <w:vAlign w:val="center"/>
          </w:tcPr>
          <w:p w14:paraId="6A9A3B75">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现场检查</w:t>
            </w:r>
          </w:p>
        </w:tc>
        <w:tc>
          <w:tcPr>
            <w:tcW w:w="829" w:type="dxa"/>
            <w:vAlign w:val="center"/>
          </w:tcPr>
          <w:p w14:paraId="18CB181F">
            <w:pPr>
              <w:pStyle w:val="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不定期</w:t>
            </w:r>
          </w:p>
        </w:tc>
        <w:tc>
          <w:tcPr>
            <w:tcW w:w="1239" w:type="dxa"/>
            <w:vAlign w:val="center"/>
          </w:tcPr>
          <w:p w14:paraId="1A2E284F">
            <w:pPr>
              <w:pStyle w:val="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联合市场监管检查</w:t>
            </w:r>
          </w:p>
        </w:tc>
        <w:tc>
          <w:tcPr>
            <w:tcW w:w="1543" w:type="dxa"/>
            <w:vAlign w:val="center"/>
          </w:tcPr>
          <w:p w14:paraId="17AEA6EE">
            <w:pPr>
              <w:pStyle w:val="7"/>
              <w:jc w:val="center"/>
              <w:rPr>
                <w:rFonts w:hint="eastAsia" w:ascii="仿宋_GB2312" w:hAnsi="仿宋_GB2312" w:eastAsia="仿宋_GB2312" w:cs="仿宋_GB2312"/>
                <w:sz w:val="24"/>
                <w:szCs w:val="24"/>
              </w:rPr>
            </w:pPr>
          </w:p>
        </w:tc>
      </w:tr>
    </w:tbl>
    <w:p w14:paraId="53C37045">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填表说明：</w:t>
      </w:r>
    </w:p>
    <w:p w14:paraId="1BB3DFFC">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表填报行政执法部门年度内未纳入“双随机、一公开”监管的涉企行政检查事项的检查计划，纳入“双随机、一公开”监管涉企行政检查事项的检查计划制定、报备工作按照《云南省涉企行政检查计划备案管理办法(试行)》和“双随机、一公开”监管工作要求进行。</w:t>
      </w:r>
    </w:p>
    <w:p w14:paraId="6999DD07">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2.“检查主体”指计划实施行政检查的具体行政执法主体。</w:t>
      </w:r>
    </w:p>
    <w:p w14:paraId="04E8333C">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3.“检查对象”“检查事项”“检查依据”可以在部门涉企行政检查事项清单基础上进一步明确。</w:t>
      </w:r>
    </w:p>
    <w:p w14:paraId="50F18703">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4.“检查数量/比例”指计划检查的具体户数或者检查数量占行政执法部门同类监管对象的比例。</w:t>
      </w:r>
    </w:p>
    <w:p w14:paraId="0CFB9EB8">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5.“检查频次/频次上限”一栏中应当明确年内检查次数，不能确定具体次数需要明确次数上限。</w:t>
      </w:r>
    </w:p>
    <w:p w14:paraId="55B791C1">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6.“检查方式”包括现场检查、书面检查、网络监测等。</w:t>
      </w:r>
    </w:p>
    <w:p w14:paraId="7AC231AD">
      <w:pPr>
        <w:bidi w:val="0"/>
        <w:ind w:firstLine="66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7.“合并或者联合检查建议”一栏中填写与内部其他检查事项合并检查情 况、与其他行政执法部门检查事项联合检查建议。</w:t>
      </w:r>
    </w:p>
    <w:sectPr>
      <w:pgSz w:w="11906" w:h="16838"/>
      <w:pgMar w:top="2098" w:right="1020" w:bottom="1984" w:left="1020" w:header="851" w:footer="1077" w:gutter="0"/>
      <w:cols w:space="0" w:num="1"/>
      <w:rtlGutter w:val="0"/>
      <w:docGrid w:type="linesAndChars" w:linePitch="32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zVhYmFiOTkzMjdlMTdiMzU4MTI4ZWI0Yzk2NWEifQ=="/>
  </w:docVars>
  <w:rsids>
    <w:rsidRoot w:val="34C7718D"/>
    <w:rsid w:val="21023AA8"/>
    <w:rsid w:val="34C7718D"/>
    <w:rsid w:val="63BB2A9C"/>
    <w:rsid w:val="6DBF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74"/>
      <w:szCs w:val="7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622</Characters>
  <Lines>0</Lines>
  <Paragraphs>0</Paragraphs>
  <TotalTime>3</TotalTime>
  <ScaleCrop>false</ScaleCrop>
  <LinksUpToDate>false</LinksUpToDate>
  <CharactersWithSpaces>631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2025-04-18T08:00:00Z</dcterms:created>
  <dc:creator>Iiwds</dc:creator>
  <cp:lastModifiedBy>赵敏</cp:lastModifiedBy>
  <dcterms:modified xsi:type="dcterms:W3CDTF">2025-04-22T06:48:44Z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9A8A245200BC4DE68FDF8EE6AB31D1AC_11</vt:lpwstr>
  </property>
  <property fmtid="{D5CDD505-2E9C-101B-9397-08002B2CF9AE}" pid="4" name="KSOTemplateDocerSaveRecord">
    <vt:lpwstr>eyJoZGlkIjoiYWFhOWQyZDY5OTE5M2M3MmQxYzExOWYyNDczOGI1ZjciLCJ1c2VySWQiOiIyOTE3MDM5MDgifQ==</vt:lpwstr>
  </property>
</Properties>
</file>