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8F867">
      <w:pPr>
        <w:spacing w:line="640" w:lineRule="exact"/>
        <w:jc w:val="both"/>
        <w:rPr>
          <w:rFonts w:hint="eastAsia"/>
          <w:lang w:val="en-US" w:eastAsia="zh-CN"/>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color w:val="000000"/>
          <w:sz w:val="32"/>
          <w:szCs w:val="32"/>
          <w:lang w:val="en-US" w:eastAsia="zh-CN"/>
        </w:rPr>
        <w:t>1：</w:t>
      </w:r>
    </w:p>
    <w:p w14:paraId="0B9AB75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44"/>
          <w:szCs w:val="44"/>
          <w:lang w:eastAsia="zh-CN"/>
        </w:rPr>
      </w:pPr>
      <w:r>
        <w:rPr>
          <w:rFonts w:hint="eastAsia" w:ascii="方正小标宋简体" w:hAnsi="黑体" w:eastAsia="方正小标宋简体" w:cs="Times New Roman"/>
          <w:color w:val="000000"/>
          <w:sz w:val="44"/>
          <w:szCs w:val="44"/>
          <w:lang w:eastAsia="zh-CN"/>
        </w:rPr>
        <w:t>五华区区级预算支出部门评价表</w:t>
      </w:r>
    </w:p>
    <w:p w14:paraId="656C6A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32"/>
          <w:szCs w:val="32"/>
          <w:lang w:eastAsia="zh-CN"/>
        </w:rPr>
      </w:pPr>
      <w:r>
        <w:rPr>
          <w:rFonts w:hint="eastAsia" w:ascii="方正小标宋简体" w:hAnsi="黑体" w:eastAsia="方正小标宋简体" w:cs="Times New Roman"/>
          <w:color w:val="000000"/>
          <w:sz w:val="32"/>
          <w:szCs w:val="32"/>
          <w:lang w:eastAsia="zh-CN"/>
        </w:rPr>
        <w:t>（</w:t>
      </w:r>
      <w:r>
        <w:rPr>
          <w:rFonts w:hint="eastAsia" w:ascii="方正小标宋简体" w:hAnsi="黑体" w:eastAsia="方正小标宋简体" w:cs="Times New Roman"/>
          <w:color w:val="000000"/>
          <w:sz w:val="32"/>
          <w:szCs w:val="32"/>
          <w:lang w:val="en-US" w:eastAsia="zh-CN"/>
        </w:rPr>
        <w:t xml:space="preserve">  2023  </w:t>
      </w:r>
      <w:r>
        <w:rPr>
          <w:rFonts w:hint="eastAsia" w:ascii="方正小标宋简体" w:hAnsi="黑体" w:eastAsia="方正小标宋简体" w:cs="Times New Roman"/>
          <w:color w:val="000000"/>
          <w:sz w:val="32"/>
          <w:szCs w:val="32"/>
          <w:lang w:eastAsia="zh-CN"/>
        </w:rPr>
        <w:t>）年度</w:t>
      </w:r>
    </w:p>
    <w:tbl>
      <w:tblPr>
        <w:tblStyle w:val="18"/>
        <w:tblpPr w:leftFromText="180" w:rightFromText="180" w:vertAnchor="text" w:horzAnchor="page" w:tblpXSpec="center" w:tblpY="258"/>
        <w:tblOverlap w:val="never"/>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6"/>
        <w:gridCol w:w="188"/>
        <w:gridCol w:w="374"/>
        <w:gridCol w:w="1597"/>
        <w:gridCol w:w="621"/>
        <w:gridCol w:w="447"/>
        <w:gridCol w:w="546"/>
        <w:gridCol w:w="1218"/>
        <w:gridCol w:w="305"/>
        <w:gridCol w:w="1334"/>
        <w:gridCol w:w="790"/>
      </w:tblGrid>
      <w:tr w14:paraId="0DD6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95" w:hRule="atLeast"/>
          <w:jc w:val="center"/>
        </w:trPr>
        <w:tc>
          <w:tcPr>
            <w:tcW w:w="1787" w:type="dxa"/>
            <w:gridSpan w:val="3"/>
            <w:noWrap w:val="0"/>
            <w:vAlign w:val="center"/>
          </w:tcPr>
          <w:p w14:paraId="0A6AC7F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sz w:val="18"/>
                <w:szCs w:val="18"/>
              </w:rPr>
            </w:pPr>
            <w:r>
              <w:rPr>
                <w:rFonts w:hint="eastAsia" w:ascii="宋体" w:hAnsi="宋体" w:eastAsia="宋体"/>
                <w:sz w:val="18"/>
                <w:szCs w:val="18"/>
              </w:rPr>
              <w:t>项目名称</w:t>
            </w:r>
          </w:p>
        </w:tc>
        <w:tc>
          <w:tcPr>
            <w:tcW w:w="7232" w:type="dxa"/>
            <w:gridSpan w:val="9"/>
            <w:noWrap w:val="0"/>
            <w:vAlign w:val="center"/>
          </w:tcPr>
          <w:p w14:paraId="463C2FE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宋体" w:hAnsi="宋体" w:eastAsia="宋体"/>
                <w:sz w:val="18"/>
                <w:szCs w:val="18"/>
              </w:rPr>
            </w:pPr>
            <w:r>
              <w:rPr>
                <w:rFonts w:hint="eastAsia" w:ascii="宋体" w:hAnsi="宋体" w:eastAsia="宋体"/>
                <w:sz w:val="18"/>
                <w:szCs w:val="18"/>
              </w:rPr>
              <w:t>群众文化项目经费</w:t>
            </w:r>
          </w:p>
        </w:tc>
      </w:tr>
      <w:tr w14:paraId="787B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5519C677">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主管部门</w:t>
            </w:r>
          </w:p>
        </w:tc>
        <w:tc>
          <w:tcPr>
            <w:tcW w:w="3039" w:type="dxa"/>
            <w:gridSpan w:val="4"/>
            <w:noWrap w:val="0"/>
            <w:vAlign w:val="center"/>
          </w:tcPr>
          <w:p w14:paraId="6380D2F2">
            <w:pPr>
              <w:spacing w:line="300" w:lineRule="exact"/>
              <w:ind w:left="0" w:leftChars="0" w:right="0" w:rightChars="0" w:firstLine="0" w:firstLineChars="0"/>
              <w:jc w:val="left"/>
              <w:rPr>
                <w:rFonts w:hint="default" w:ascii="宋体" w:hAnsi="宋体" w:eastAsia="宋体"/>
                <w:sz w:val="18"/>
                <w:szCs w:val="18"/>
                <w:lang w:val="en-US" w:eastAsia="zh-CN"/>
              </w:rPr>
            </w:pPr>
            <w:r>
              <w:rPr>
                <w:rFonts w:hint="eastAsia" w:ascii="宋体" w:hAnsi="宋体"/>
                <w:sz w:val="18"/>
                <w:szCs w:val="18"/>
                <w:lang w:val="en-US" w:eastAsia="zh-CN"/>
              </w:rPr>
              <w:t>昆明市五华区财政局</w:t>
            </w:r>
          </w:p>
        </w:tc>
        <w:tc>
          <w:tcPr>
            <w:tcW w:w="2069" w:type="dxa"/>
            <w:gridSpan w:val="3"/>
            <w:noWrap w:val="0"/>
            <w:vAlign w:val="center"/>
          </w:tcPr>
          <w:p w14:paraId="7EC9835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项目实施单位</w:t>
            </w:r>
          </w:p>
        </w:tc>
        <w:tc>
          <w:tcPr>
            <w:tcW w:w="2124" w:type="dxa"/>
            <w:gridSpan w:val="2"/>
            <w:noWrap w:val="0"/>
            <w:vAlign w:val="center"/>
          </w:tcPr>
          <w:p w14:paraId="77D5F312">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昆明市五华区文化馆</w:t>
            </w:r>
          </w:p>
        </w:tc>
      </w:tr>
      <w:tr w14:paraId="6B61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6834C9E8">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项目负责人</w:t>
            </w:r>
          </w:p>
        </w:tc>
        <w:tc>
          <w:tcPr>
            <w:tcW w:w="3039" w:type="dxa"/>
            <w:gridSpan w:val="4"/>
            <w:noWrap w:val="0"/>
            <w:vAlign w:val="center"/>
          </w:tcPr>
          <w:p w14:paraId="7CD7D11F">
            <w:pPr>
              <w:spacing w:line="300" w:lineRule="exact"/>
              <w:ind w:left="0" w:leftChars="0" w:right="0" w:rightChars="0" w:firstLine="0" w:firstLineChars="0"/>
              <w:jc w:val="both"/>
              <w:rPr>
                <w:rFonts w:hint="default" w:ascii="宋体" w:hAnsi="宋体" w:eastAsia="宋体"/>
                <w:sz w:val="18"/>
                <w:szCs w:val="18"/>
                <w:lang w:val="en-US" w:eastAsia="zh-CN"/>
              </w:rPr>
            </w:pPr>
            <w:r>
              <w:rPr>
                <w:rFonts w:hint="eastAsia" w:ascii="宋体" w:hAnsi="宋体"/>
                <w:sz w:val="18"/>
                <w:szCs w:val="18"/>
                <w:lang w:val="en-US" w:eastAsia="zh-CN"/>
              </w:rPr>
              <w:t>周赤东</w:t>
            </w:r>
          </w:p>
        </w:tc>
        <w:tc>
          <w:tcPr>
            <w:tcW w:w="2069" w:type="dxa"/>
            <w:gridSpan w:val="3"/>
            <w:noWrap w:val="0"/>
            <w:vAlign w:val="center"/>
          </w:tcPr>
          <w:p w14:paraId="6098ED7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联系电话</w:t>
            </w:r>
          </w:p>
        </w:tc>
        <w:tc>
          <w:tcPr>
            <w:tcW w:w="2124" w:type="dxa"/>
            <w:gridSpan w:val="2"/>
            <w:noWrap w:val="0"/>
            <w:vAlign w:val="center"/>
          </w:tcPr>
          <w:p w14:paraId="01B5450C">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0871-64143291</w:t>
            </w:r>
          </w:p>
        </w:tc>
      </w:tr>
      <w:tr w14:paraId="1EDB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4D0B5059">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项目类型</w:t>
            </w:r>
          </w:p>
        </w:tc>
        <w:tc>
          <w:tcPr>
            <w:tcW w:w="7232" w:type="dxa"/>
            <w:gridSpan w:val="9"/>
            <w:noWrap w:val="0"/>
            <w:vAlign w:val="center"/>
          </w:tcPr>
          <w:p w14:paraId="6F3C721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 xml:space="preserve">经常性项目（ </w:t>
            </w:r>
            <w:r>
              <w:rPr>
                <w:rFonts w:hint="default" w:ascii="Arial" w:hAnsi="Arial" w:eastAsia="宋体" w:cs="Arial"/>
                <w:sz w:val="18"/>
                <w:szCs w:val="18"/>
              </w:rPr>
              <w:t>√</w:t>
            </w:r>
            <w:r>
              <w:rPr>
                <w:rFonts w:hint="eastAsia" w:ascii="宋体" w:hAnsi="宋体" w:eastAsia="宋体"/>
                <w:sz w:val="18"/>
                <w:szCs w:val="18"/>
              </w:rPr>
              <w:t xml:space="preserve">  ）       一次性项目（  ）</w:t>
            </w:r>
          </w:p>
        </w:tc>
      </w:tr>
      <w:tr w14:paraId="4862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restart"/>
            <w:noWrap w:val="0"/>
            <w:vAlign w:val="center"/>
          </w:tcPr>
          <w:p w14:paraId="542A4F7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项目资金</w:t>
            </w:r>
            <w:r>
              <w:rPr>
                <w:rFonts w:hint="eastAsia" w:ascii="宋体" w:hAnsi="宋体" w:eastAsia="宋体"/>
                <w:sz w:val="18"/>
                <w:szCs w:val="18"/>
              </w:rPr>
              <w:t>（万元）</w:t>
            </w:r>
          </w:p>
        </w:tc>
        <w:tc>
          <w:tcPr>
            <w:tcW w:w="1971" w:type="dxa"/>
            <w:gridSpan w:val="2"/>
            <w:noWrap w:val="0"/>
            <w:vAlign w:val="center"/>
          </w:tcPr>
          <w:p w14:paraId="42086C9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项目支出明细内容</w:t>
            </w:r>
          </w:p>
        </w:tc>
        <w:tc>
          <w:tcPr>
            <w:tcW w:w="1614" w:type="dxa"/>
            <w:gridSpan w:val="3"/>
            <w:noWrap w:val="0"/>
            <w:vAlign w:val="center"/>
          </w:tcPr>
          <w:p w14:paraId="61495C4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年初预算数</w:t>
            </w:r>
          </w:p>
        </w:tc>
        <w:tc>
          <w:tcPr>
            <w:tcW w:w="1523" w:type="dxa"/>
            <w:gridSpan w:val="2"/>
            <w:noWrap w:val="0"/>
            <w:vAlign w:val="center"/>
          </w:tcPr>
          <w:p w14:paraId="6C15EC7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实际到位数</w:t>
            </w:r>
          </w:p>
        </w:tc>
        <w:tc>
          <w:tcPr>
            <w:tcW w:w="1334" w:type="dxa"/>
            <w:noWrap w:val="0"/>
            <w:vAlign w:val="center"/>
          </w:tcPr>
          <w:p w14:paraId="5B3607B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实际</w:t>
            </w:r>
            <w:r>
              <w:rPr>
                <w:rFonts w:hint="eastAsia" w:ascii="宋体" w:hAnsi="宋体"/>
                <w:sz w:val="18"/>
                <w:szCs w:val="18"/>
                <w:lang w:eastAsia="zh-CN"/>
              </w:rPr>
              <w:t>支出数</w:t>
            </w:r>
          </w:p>
        </w:tc>
        <w:tc>
          <w:tcPr>
            <w:tcW w:w="790" w:type="dxa"/>
            <w:noWrap w:val="0"/>
            <w:vAlign w:val="center"/>
          </w:tcPr>
          <w:p w14:paraId="1049F76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执行率</w:t>
            </w:r>
          </w:p>
        </w:tc>
      </w:tr>
      <w:tr w14:paraId="2F80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76ED764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535F87F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default" w:ascii="宋体" w:hAnsi="宋体" w:eastAsia="宋体"/>
                <w:sz w:val="18"/>
                <w:szCs w:val="18"/>
                <w:lang w:val="en-US" w:eastAsia="zh-CN"/>
              </w:rPr>
              <w:t>线上线下培训</w:t>
            </w:r>
            <w:r>
              <w:rPr>
                <w:rFonts w:hint="eastAsia" w:ascii="宋体" w:hAnsi="宋体"/>
                <w:sz w:val="18"/>
                <w:szCs w:val="18"/>
                <w:lang w:val="en-US" w:eastAsia="zh-CN"/>
              </w:rPr>
              <w:t>、精品文艺创作经费、五华区红色舞台文化阵地群众文艺演出、翠湖博物馆群管弦乐小型演奏会、昆明市广场舞大赛五华区选拔赛经费、《在那高高山顶上》制作费、《哈尼拍手》音乐制作费、沙朗少年合唱团打造、非遗进校园、非遗数字化保护及展示相关费用、花灯培训、云南省歌舞乐展演节目创作经费、文化馆数字化平台建设及运营费用、区级免开经费、戏曲进校园费用</w:t>
            </w:r>
          </w:p>
        </w:tc>
        <w:tc>
          <w:tcPr>
            <w:tcW w:w="1614" w:type="dxa"/>
            <w:gridSpan w:val="3"/>
            <w:noWrap w:val="0"/>
            <w:vAlign w:val="center"/>
          </w:tcPr>
          <w:p w14:paraId="1A6E6E5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184.56</w:t>
            </w:r>
          </w:p>
        </w:tc>
        <w:tc>
          <w:tcPr>
            <w:tcW w:w="1523" w:type="dxa"/>
            <w:gridSpan w:val="2"/>
            <w:noWrap w:val="0"/>
            <w:vAlign w:val="center"/>
          </w:tcPr>
          <w:p w14:paraId="54E976A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184.56</w:t>
            </w:r>
          </w:p>
        </w:tc>
        <w:tc>
          <w:tcPr>
            <w:tcW w:w="1334" w:type="dxa"/>
            <w:noWrap w:val="0"/>
            <w:vAlign w:val="center"/>
          </w:tcPr>
          <w:p w14:paraId="30E2799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0.54</w:t>
            </w:r>
          </w:p>
        </w:tc>
        <w:tc>
          <w:tcPr>
            <w:tcW w:w="790" w:type="dxa"/>
            <w:noWrap w:val="0"/>
            <w:vAlign w:val="center"/>
          </w:tcPr>
          <w:p w14:paraId="606882E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both"/>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0.29%</w:t>
            </w:r>
          </w:p>
        </w:tc>
      </w:tr>
      <w:tr w14:paraId="592E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41010DB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583FA2A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22EEA0B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244BFB5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43C510D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1C2575C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7F6E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0A40466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489EEC7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16233F7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14F2C85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0720B27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0A9D46B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7CAA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13F5B98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09A867F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4080DD7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62B8281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0DB6F13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09E56D8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549F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7370B2A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1335038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287DC61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737252A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10A5E3F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2A864AD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123A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30B5DFA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lang w:eastAsia="zh-CN"/>
              </w:rPr>
            </w:pPr>
            <w:r>
              <w:rPr>
                <w:rFonts w:hint="eastAsia" w:ascii="宋体" w:hAnsi="宋体"/>
                <w:b/>
                <w:bCs/>
                <w:sz w:val="18"/>
                <w:szCs w:val="18"/>
                <w:lang w:eastAsia="zh-CN"/>
              </w:rPr>
              <w:t>合</w:t>
            </w:r>
            <w:r>
              <w:rPr>
                <w:rFonts w:hint="eastAsia" w:ascii="宋体" w:hAnsi="宋体"/>
                <w:b/>
                <w:bCs/>
                <w:sz w:val="18"/>
                <w:szCs w:val="18"/>
                <w:lang w:val="en-US" w:eastAsia="zh-CN"/>
              </w:rPr>
              <w:t xml:space="preserve">      </w:t>
            </w:r>
            <w:r>
              <w:rPr>
                <w:rFonts w:hint="eastAsia" w:ascii="宋体" w:hAnsi="宋体"/>
                <w:b/>
                <w:bCs/>
                <w:sz w:val="18"/>
                <w:szCs w:val="18"/>
                <w:lang w:eastAsia="zh-CN"/>
              </w:rPr>
              <w:t>计</w:t>
            </w:r>
          </w:p>
        </w:tc>
        <w:tc>
          <w:tcPr>
            <w:tcW w:w="1614" w:type="dxa"/>
            <w:gridSpan w:val="3"/>
            <w:noWrap w:val="0"/>
            <w:vAlign w:val="center"/>
          </w:tcPr>
          <w:p w14:paraId="531F00C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c>
          <w:tcPr>
            <w:tcW w:w="1523" w:type="dxa"/>
            <w:gridSpan w:val="2"/>
            <w:noWrap w:val="0"/>
            <w:vAlign w:val="center"/>
          </w:tcPr>
          <w:p w14:paraId="7E9F44B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c>
          <w:tcPr>
            <w:tcW w:w="1334" w:type="dxa"/>
            <w:noWrap w:val="0"/>
            <w:vAlign w:val="center"/>
          </w:tcPr>
          <w:p w14:paraId="7FB7E78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c>
          <w:tcPr>
            <w:tcW w:w="790" w:type="dxa"/>
            <w:noWrap w:val="0"/>
            <w:vAlign w:val="center"/>
          </w:tcPr>
          <w:p w14:paraId="0F80056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r>
      <w:tr w14:paraId="6A80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3758" w:type="dxa"/>
            <w:gridSpan w:val="5"/>
            <w:noWrap w:val="0"/>
            <w:vAlign w:val="center"/>
          </w:tcPr>
          <w:p w14:paraId="25460CD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rPr>
              <w:t>其中：中央财政</w:t>
            </w:r>
          </w:p>
        </w:tc>
        <w:tc>
          <w:tcPr>
            <w:tcW w:w="1614" w:type="dxa"/>
            <w:gridSpan w:val="3"/>
            <w:noWrap w:val="0"/>
            <w:vAlign w:val="center"/>
          </w:tcPr>
          <w:p w14:paraId="16F0648A">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74169FBF">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49A253BD">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0D4A04FB">
            <w:pPr>
              <w:spacing w:line="300" w:lineRule="exact"/>
              <w:ind w:left="0" w:leftChars="0" w:right="0" w:rightChars="0" w:firstLine="0" w:firstLineChars="0"/>
              <w:jc w:val="center"/>
              <w:rPr>
                <w:rFonts w:hint="eastAsia" w:ascii="宋体" w:hAnsi="宋体" w:eastAsia="宋体"/>
                <w:sz w:val="18"/>
                <w:szCs w:val="18"/>
              </w:rPr>
            </w:pPr>
          </w:p>
        </w:tc>
      </w:tr>
      <w:tr w14:paraId="3E7D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75BDD95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省</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261AEC29">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36495543">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43597295">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4C4AE463">
            <w:pPr>
              <w:spacing w:line="300" w:lineRule="exact"/>
              <w:ind w:left="0" w:leftChars="0" w:right="0" w:rightChars="0" w:firstLine="0" w:firstLineChars="0"/>
              <w:jc w:val="center"/>
              <w:rPr>
                <w:rFonts w:hint="eastAsia" w:ascii="宋体" w:hAnsi="宋体" w:eastAsia="宋体"/>
                <w:sz w:val="18"/>
                <w:szCs w:val="18"/>
              </w:rPr>
            </w:pPr>
          </w:p>
        </w:tc>
      </w:tr>
      <w:tr w14:paraId="3F41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743BA4EE">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市</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35418D32">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07503558">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04F9C690">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6101856F">
            <w:pPr>
              <w:spacing w:line="300" w:lineRule="exact"/>
              <w:ind w:left="0" w:leftChars="0" w:right="0" w:rightChars="0" w:firstLine="0" w:firstLineChars="0"/>
              <w:jc w:val="center"/>
              <w:rPr>
                <w:rFonts w:hint="eastAsia" w:ascii="宋体" w:hAnsi="宋体" w:eastAsia="宋体"/>
                <w:sz w:val="18"/>
                <w:szCs w:val="18"/>
              </w:rPr>
            </w:pPr>
          </w:p>
        </w:tc>
      </w:tr>
      <w:tr w14:paraId="56A3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0CF33E9C">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 xml:space="preserve">                      区级财政</w:t>
            </w:r>
          </w:p>
        </w:tc>
        <w:tc>
          <w:tcPr>
            <w:tcW w:w="1614" w:type="dxa"/>
            <w:gridSpan w:val="3"/>
            <w:noWrap w:val="0"/>
            <w:vAlign w:val="center"/>
          </w:tcPr>
          <w:p w14:paraId="71B76CB0">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184.56</w:t>
            </w:r>
          </w:p>
        </w:tc>
        <w:tc>
          <w:tcPr>
            <w:tcW w:w="1523" w:type="dxa"/>
            <w:gridSpan w:val="2"/>
            <w:noWrap w:val="0"/>
            <w:vAlign w:val="center"/>
          </w:tcPr>
          <w:p w14:paraId="2AFB0E10">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184.56</w:t>
            </w:r>
          </w:p>
        </w:tc>
        <w:tc>
          <w:tcPr>
            <w:tcW w:w="1334" w:type="dxa"/>
            <w:noWrap w:val="0"/>
            <w:vAlign w:val="center"/>
          </w:tcPr>
          <w:p w14:paraId="026961BB">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0.54</w:t>
            </w:r>
          </w:p>
        </w:tc>
        <w:tc>
          <w:tcPr>
            <w:tcW w:w="790" w:type="dxa"/>
            <w:noWrap w:val="0"/>
            <w:vAlign w:val="center"/>
          </w:tcPr>
          <w:p w14:paraId="2798C93C">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0.29%</w:t>
            </w:r>
          </w:p>
        </w:tc>
      </w:tr>
      <w:tr w14:paraId="5C98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3758" w:type="dxa"/>
            <w:gridSpan w:val="5"/>
            <w:noWrap w:val="0"/>
            <w:vAlign w:val="center"/>
          </w:tcPr>
          <w:p w14:paraId="165C0B4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其他</w:t>
            </w:r>
          </w:p>
        </w:tc>
        <w:tc>
          <w:tcPr>
            <w:tcW w:w="1614" w:type="dxa"/>
            <w:gridSpan w:val="3"/>
            <w:noWrap w:val="0"/>
            <w:vAlign w:val="center"/>
          </w:tcPr>
          <w:p w14:paraId="4F755A57">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4E0E8443">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2C40F30B">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7AFB070D">
            <w:pPr>
              <w:spacing w:line="300" w:lineRule="exact"/>
              <w:ind w:left="0" w:leftChars="0" w:right="0" w:rightChars="0" w:firstLine="0" w:firstLineChars="0"/>
              <w:jc w:val="center"/>
              <w:rPr>
                <w:rFonts w:hint="eastAsia" w:ascii="宋体" w:hAnsi="宋体" w:eastAsia="宋体"/>
                <w:sz w:val="18"/>
                <w:szCs w:val="18"/>
              </w:rPr>
            </w:pPr>
          </w:p>
        </w:tc>
      </w:tr>
      <w:tr w14:paraId="4B83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1787" w:type="dxa"/>
            <w:gridSpan w:val="3"/>
            <w:vMerge w:val="restart"/>
            <w:noWrap w:val="0"/>
            <w:vAlign w:val="center"/>
          </w:tcPr>
          <w:p w14:paraId="2530CDCE">
            <w:pPr>
              <w:spacing w:line="300" w:lineRule="exact"/>
              <w:ind w:left="0" w:leftChars="0" w:right="0" w:rightChars="0" w:firstLine="0" w:firstLineChars="0"/>
              <w:jc w:val="center"/>
              <w:rPr>
                <w:rFonts w:hint="eastAsia" w:ascii="宋体" w:hAnsi="宋体"/>
                <w:sz w:val="18"/>
                <w:szCs w:val="18"/>
                <w:lang w:val="en-US" w:eastAsia="zh-CN"/>
              </w:rPr>
            </w:pPr>
            <w:r>
              <w:rPr>
                <w:rFonts w:hint="eastAsia" w:ascii="宋体" w:hAnsi="宋体"/>
                <w:sz w:val="18"/>
                <w:szCs w:val="18"/>
                <w:lang w:val="en-US" w:eastAsia="zh-CN"/>
              </w:rPr>
              <w:t>年度总体目标</w:t>
            </w:r>
          </w:p>
        </w:tc>
        <w:tc>
          <w:tcPr>
            <w:tcW w:w="3585" w:type="dxa"/>
            <w:gridSpan w:val="5"/>
            <w:noWrap w:val="0"/>
            <w:vAlign w:val="center"/>
          </w:tcPr>
          <w:p w14:paraId="41970657">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预期目标</w:t>
            </w:r>
          </w:p>
        </w:tc>
        <w:tc>
          <w:tcPr>
            <w:tcW w:w="3647" w:type="dxa"/>
            <w:gridSpan w:val="4"/>
            <w:noWrap w:val="0"/>
            <w:vAlign w:val="center"/>
          </w:tcPr>
          <w:p w14:paraId="1EBBD327">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实际完成情况</w:t>
            </w:r>
          </w:p>
        </w:tc>
      </w:tr>
      <w:tr w14:paraId="7BA3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019" w:hRule="atLeast"/>
          <w:jc w:val="center"/>
        </w:trPr>
        <w:tc>
          <w:tcPr>
            <w:tcW w:w="1787" w:type="dxa"/>
            <w:gridSpan w:val="3"/>
            <w:vMerge w:val="continue"/>
            <w:noWrap w:val="0"/>
            <w:vAlign w:val="center"/>
          </w:tcPr>
          <w:p w14:paraId="4C02B9BB">
            <w:pPr>
              <w:spacing w:line="300" w:lineRule="exact"/>
              <w:ind w:left="0" w:leftChars="0" w:right="0" w:rightChars="0" w:firstLine="0" w:firstLineChars="0"/>
              <w:jc w:val="center"/>
              <w:rPr>
                <w:rFonts w:hint="eastAsia" w:ascii="宋体" w:hAnsi="宋体"/>
                <w:sz w:val="18"/>
                <w:szCs w:val="18"/>
                <w:lang w:val="en-US" w:eastAsia="zh-CN"/>
              </w:rPr>
            </w:pPr>
          </w:p>
        </w:tc>
        <w:tc>
          <w:tcPr>
            <w:tcW w:w="3585" w:type="dxa"/>
            <w:gridSpan w:val="5"/>
            <w:noWrap w:val="0"/>
            <w:vAlign w:val="center"/>
          </w:tcPr>
          <w:p w14:paraId="1EE4A640">
            <w:pPr>
              <w:pStyle w:val="16"/>
              <w:ind w:left="0" w:leftChars="0" w:firstLine="0" w:firstLineChars="0"/>
              <w:jc w:val="both"/>
              <w:rPr>
                <w:rFonts w:hint="eastAsia" w:ascii="宋体" w:hAnsi="宋体" w:eastAsia="宋体"/>
                <w:sz w:val="18"/>
                <w:szCs w:val="18"/>
              </w:rPr>
            </w:pPr>
            <w:r>
              <w:rPr>
                <w:rFonts w:hint="eastAsia" w:ascii="宋体" w:hAnsi="宋体" w:eastAsia="宋体"/>
                <w:sz w:val="18"/>
                <w:szCs w:val="18"/>
              </w:rPr>
              <w:t>最大化的宣传五华区非遗保护成果，将中国优秀传统文化传承下去。组织开展丰富多彩的群众文化活动及阵地活动；组织好文学、音乐、舞蹈、美术、书法、摄影、戏剧、曲艺、少儿等不同形式、不同规模、不同层次的群众创作活动和演出活动；组织开展各种比赛活动和宣传活动。树立精品意识，繁荣文艺创作，开展文化艺术理论研究和群众文化、社区文化的调研及理论研究；组织、辅导、指导社区文化站、室开展各种文化活动，以弘扬民族文化、繁荣文艺创作。具体为：1.为深入学习领会</w:t>
            </w:r>
            <w:bookmarkStart w:id="0" w:name="_GoBack"/>
            <w:bookmarkEnd w:id="0"/>
            <w:r>
              <w:rPr>
                <w:rFonts w:hint="eastAsia" w:ascii="宋体" w:hAnsi="宋体"/>
                <w:sz w:val="18"/>
                <w:szCs w:val="18"/>
                <w:lang w:eastAsia="zh-CN"/>
              </w:rPr>
              <w:t>习近平新时代中国特色社会主义思想精神</w:t>
            </w:r>
            <w:r>
              <w:rPr>
                <w:rFonts w:hint="eastAsia" w:ascii="宋体" w:hAnsi="宋体" w:eastAsia="宋体"/>
                <w:sz w:val="18"/>
                <w:szCs w:val="18"/>
              </w:rPr>
              <w:t>，坚持先进文化正确导向，坚持提升公共文化服务效能</w:t>
            </w:r>
          </w:p>
          <w:p w14:paraId="2F8FC237">
            <w:pPr>
              <w:pStyle w:val="16"/>
              <w:ind w:left="0" w:leftChars="0" w:firstLine="0" w:firstLineChars="0"/>
              <w:jc w:val="both"/>
              <w:rPr>
                <w:rFonts w:hint="eastAsia" w:ascii="宋体" w:hAnsi="宋体" w:eastAsia="宋体"/>
                <w:sz w:val="18"/>
                <w:szCs w:val="18"/>
              </w:rPr>
            </w:pPr>
            <w:r>
              <w:rPr>
                <w:rFonts w:hint="eastAsia" w:ascii="宋体" w:hAnsi="宋体" w:eastAsia="宋体"/>
                <w:sz w:val="18"/>
                <w:szCs w:val="18"/>
              </w:rPr>
              <w:t>着重对基层群众的文化培训,将文化渗透到机关、社区群众的日常生活中，进行线上线下培训10期；2.不断满足广满足人民群众日益增长的精神文化需求,推动群众文化活跃发展,根据2022 年五华区文化馆工作实际,开展精品文艺节目创作。计划创作音乐、舞蹈、和曲艺精品文艺作品 1-2 个；3.认真组织形式多样以歌颂共产党好、社会 主义好、改革开放好、伟大祖国好为主旋律的流动演出服务， 甄选优秀演出作品以现场演出方式为社区群众送上高品质 的文艺汇演。于春节、元旦、五一、中秋节日组织举办大型 文艺展演活动共四场。进社区小型文艺活动 20 场。4.举行翠湖博物馆群管弦乐小型演奏会；5.满足群众日益增长的文化需求五华区文化和旅游 局、五华区文化馆将举办 2023 年五华区“党建引领筑育红 色舞台 文化共享谱写百姓欢歌”群众广场舞大赛；6.在28中教授非遗课程；7.邀请省花灯歌舞剧院专业教师对五华区辖区内的业余团队进行花灯培训，全年共3期；8.文化馆数字化平台建设及运营，文化场馆内外维护费、消防器材更换以及安保设备的维护。9.在全区中小学开展“戏曲艺术进校园活动”23场次。</w:t>
            </w:r>
          </w:p>
        </w:tc>
        <w:tc>
          <w:tcPr>
            <w:tcW w:w="3647" w:type="dxa"/>
            <w:gridSpan w:val="4"/>
            <w:noWrap w:val="0"/>
            <w:vAlign w:val="center"/>
          </w:tcPr>
          <w:p w14:paraId="0616D0A9">
            <w:pPr>
              <w:ind w:firstLine="360" w:firstLineChars="200"/>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群众文艺精品创作2个，线上线下培训期数15期，进社区小型文艺活动5场，举办广场舞大赛1次，活动出勤率达到90%，培训合格率达到90%，提升基层群众的文化，提升公共文化服务效能，丰富群众文化生活。</w:t>
            </w:r>
          </w:p>
          <w:p w14:paraId="682CDFEF">
            <w:pPr>
              <w:spacing w:line="300" w:lineRule="exact"/>
              <w:ind w:left="0" w:leftChars="0" w:right="0" w:rightChars="0" w:firstLine="0" w:firstLineChars="0"/>
              <w:jc w:val="center"/>
              <w:rPr>
                <w:rFonts w:hint="default" w:ascii="宋体" w:hAnsi="宋体" w:eastAsia="宋体"/>
                <w:sz w:val="18"/>
                <w:szCs w:val="18"/>
                <w:lang w:val="en-US" w:eastAsia="zh-CN"/>
              </w:rPr>
            </w:pPr>
          </w:p>
        </w:tc>
      </w:tr>
      <w:tr w14:paraId="7088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9019" w:type="dxa"/>
            <w:gridSpan w:val="12"/>
            <w:noWrap w:val="0"/>
            <w:vAlign w:val="center"/>
          </w:tcPr>
          <w:p w14:paraId="016895AF">
            <w:pPr>
              <w:spacing w:line="300" w:lineRule="exact"/>
              <w:ind w:left="0" w:leftChars="0" w:right="0" w:rightChars="0" w:firstLine="0" w:firstLineChars="0"/>
              <w:rPr>
                <w:rFonts w:hint="eastAsia" w:ascii="宋体" w:hAnsi="宋体" w:eastAsia="宋体"/>
                <w:sz w:val="18"/>
                <w:szCs w:val="18"/>
              </w:rPr>
            </w:pPr>
            <w:r>
              <w:rPr>
                <w:rFonts w:hint="eastAsia" w:ascii="宋体" w:hAnsi="宋体" w:eastAsia="宋体"/>
                <w:b/>
                <w:bCs/>
                <w:sz w:val="18"/>
                <w:szCs w:val="18"/>
              </w:rPr>
              <w:t>二、</w:t>
            </w:r>
            <w:r>
              <w:rPr>
                <w:rFonts w:hint="eastAsia" w:ascii="宋体" w:hAnsi="宋体" w:eastAsia="宋体"/>
                <w:b/>
                <w:color w:val="000000"/>
                <w:sz w:val="18"/>
                <w:szCs w:val="18"/>
              </w:rPr>
              <w:t>绩效评价指标评分（参考）</w:t>
            </w:r>
          </w:p>
        </w:tc>
      </w:tr>
      <w:tr w14:paraId="12016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2C1F6D5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gridSpan w:val="3"/>
            <w:tcBorders>
              <w:top w:val="single" w:color="000000" w:sz="4" w:space="0"/>
              <w:left w:val="single" w:color="000000" w:sz="4" w:space="0"/>
              <w:right w:val="single" w:color="000000" w:sz="4" w:space="0"/>
            </w:tcBorders>
            <w:noWrap w:val="0"/>
            <w:vAlign w:val="center"/>
          </w:tcPr>
          <w:p w14:paraId="0CAAA822">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30EFE3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177AB2D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08511AD2">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CA08E82">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3D30A61">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68B2B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4DB40B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决策</w:t>
            </w:r>
          </w:p>
          <w:p w14:paraId="27A55D3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restart"/>
            <w:tcBorders>
              <w:top w:val="single" w:color="000000" w:sz="4" w:space="0"/>
              <w:left w:val="single" w:color="000000" w:sz="4" w:space="0"/>
              <w:right w:val="single" w:color="000000" w:sz="4" w:space="0"/>
            </w:tcBorders>
            <w:noWrap w:val="0"/>
            <w:vAlign w:val="center"/>
          </w:tcPr>
          <w:p w14:paraId="3A52C55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6DEB8D7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40BAB35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085EB05">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立项依据充分性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422937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9A696E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3C84D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35334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18F5953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7B71DF8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55CF20A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DC0A1E2">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立项程序规范性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47E7F2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816AB2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33B9E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3F928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21AC270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50C263F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绩效目标</w:t>
            </w:r>
          </w:p>
        </w:tc>
        <w:tc>
          <w:tcPr>
            <w:tcW w:w="621" w:type="dxa"/>
            <w:vMerge w:val="restart"/>
            <w:tcBorders>
              <w:left w:val="single" w:color="000000" w:sz="4" w:space="0"/>
              <w:right w:val="single" w:color="000000" w:sz="4" w:space="0"/>
            </w:tcBorders>
            <w:noWrap w:val="0"/>
            <w:vAlign w:val="center"/>
          </w:tcPr>
          <w:p w14:paraId="6AF132C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03958D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绩效目标合理性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AD1FFF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557AB7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45B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B09E7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7EEA2B9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256B00C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78F0BD7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468EAD40">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AFB114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CBCCEB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2D59F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E72E34">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4646A4D9">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5763914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596B30F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C9AD106">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3642EA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8827E1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7AFC3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2324B7C5">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auto" w:sz="4" w:space="0"/>
              <w:right w:val="single" w:color="000000" w:sz="4" w:space="0"/>
            </w:tcBorders>
            <w:noWrap w:val="0"/>
            <w:vAlign w:val="center"/>
          </w:tcPr>
          <w:p w14:paraId="237DCDF6">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6671B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4D3A3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CDD8ED1">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230FFF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F9261A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58AB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05EE257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gridSpan w:val="3"/>
            <w:vMerge w:val="continue"/>
            <w:tcBorders>
              <w:top w:val="single" w:color="auto" w:sz="4" w:space="0"/>
              <w:left w:val="single" w:color="000000" w:sz="4" w:space="0"/>
              <w:right w:val="single" w:color="000000" w:sz="4" w:space="0"/>
            </w:tcBorders>
            <w:noWrap w:val="0"/>
            <w:vAlign w:val="center"/>
          </w:tcPr>
          <w:p w14:paraId="3D61547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35126970">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6522D4F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0D0456B9">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3C745F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F5AE39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7011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511C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238C3FD6">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D36FF0">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037794">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222443F">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4E66F0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AFB4931">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0</w:t>
            </w:r>
          </w:p>
        </w:tc>
      </w:tr>
      <w:tr w14:paraId="37F14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86ED3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2450732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BD1F70C">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3A06FA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CF2A69D">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DE3CE4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A2A443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7</w:t>
            </w:r>
          </w:p>
        </w:tc>
      </w:tr>
      <w:tr w14:paraId="7BCF1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F5C4E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1C0E943F">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09F40979">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　</w:t>
            </w:r>
          </w:p>
        </w:tc>
        <w:tc>
          <w:tcPr>
            <w:tcW w:w="621" w:type="dxa"/>
            <w:vMerge w:val="restart"/>
            <w:tcBorders>
              <w:top w:val="single" w:color="000000" w:sz="4" w:space="0"/>
              <w:left w:val="single" w:color="000000" w:sz="4" w:space="0"/>
              <w:right w:val="single" w:color="000000" w:sz="4" w:space="0"/>
            </w:tcBorders>
            <w:noWrap w:val="0"/>
            <w:vAlign w:val="center"/>
          </w:tcPr>
          <w:p w14:paraId="59E85C66">
            <w:pPr>
              <w:autoSpaceDN w:val="0"/>
              <w:spacing w:line="300" w:lineRule="exact"/>
              <w:ind w:left="0" w:leftChars="0" w:right="0" w:rightChars="0" w:firstLine="0" w:firstLineChars="0"/>
              <w:jc w:val="center"/>
              <w:textAlignment w:val="center"/>
              <w:rPr>
                <w:rFonts w:hint="eastAsia" w:ascii="宋体" w:hAnsi="宋体" w:eastAsia="宋体"/>
                <w:sz w:val="18"/>
                <w:szCs w:val="18"/>
                <w:lang w:val="en-US" w:eastAsia="zh-CN"/>
              </w:rPr>
            </w:pPr>
            <w:r>
              <w:rPr>
                <w:rFonts w:hint="eastAsia" w:ascii="宋体" w:hAnsi="宋体"/>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17CB8B59">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ECCE5F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88CC15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25174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C1684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000000" w:sz="4" w:space="0"/>
              <w:right w:val="single" w:color="000000" w:sz="4" w:space="0"/>
            </w:tcBorders>
            <w:noWrap w:val="0"/>
            <w:vAlign w:val="center"/>
          </w:tcPr>
          <w:p w14:paraId="64927C23">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2763BB2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auto" w:sz="4" w:space="0"/>
              <w:right w:val="single" w:color="000000" w:sz="4" w:space="0"/>
            </w:tcBorders>
            <w:noWrap w:val="0"/>
            <w:vAlign w:val="center"/>
          </w:tcPr>
          <w:p w14:paraId="33B73F1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auto" w:sz="4" w:space="0"/>
              <w:right w:val="single" w:color="000000" w:sz="4" w:space="0"/>
            </w:tcBorders>
            <w:noWrap w:val="0"/>
            <w:vAlign w:val="center"/>
          </w:tcPr>
          <w:p w14:paraId="244102B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5856AA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EC3CF2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18FD9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2BB02E8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43C1C1A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3001FC1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restart"/>
            <w:tcBorders>
              <w:top w:val="single" w:color="auto" w:sz="4" w:space="0"/>
              <w:left w:val="single" w:color="auto" w:sz="4" w:space="0"/>
              <w:right w:val="single" w:color="auto" w:sz="4" w:space="0"/>
            </w:tcBorders>
            <w:noWrap w:val="0"/>
            <w:vAlign w:val="center"/>
          </w:tcPr>
          <w:p w14:paraId="7C9DCA7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16</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7CD90CBE">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群众文艺精品创作个数</w:t>
            </w:r>
          </w:p>
        </w:tc>
        <w:tc>
          <w:tcPr>
            <w:tcW w:w="1334" w:type="dxa"/>
            <w:tcBorders>
              <w:top w:val="single" w:color="000000" w:sz="4" w:space="0"/>
              <w:left w:val="single" w:color="auto" w:sz="4" w:space="0"/>
              <w:bottom w:val="single" w:color="auto" w:sz="4" w:space="0"/>
              <w:right w:val="single" w:color="000000" w:sz="4" w:space="0"/>
            </w:tcBorders>
            <w:noWrap w:val="0"/>
            <w:vAlign w:val="center"/>
          </w:tcPr>
          <w:p w14:paraId="638B699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w:t>
            </w:r>
          </w:p>
        </w:tc>
        <w:tc>
          <w:tcPr>
            <w:tcW w:w="790" w:type="dxa"/>
            <w:tcBorders>
              <w:top w:val="single" w:color="000000" w:sz="4" w:space="0"/>
              <w:left w:val="single" w:color="000000" w:sz="4" w:space="0"/>
              <w:bottom w:val="single" w:color="auto" w:sz="4" w:space="0"/>
              <w:right w:val="single" w:color="000000" w:sz="4" w:space="0"/>
            </w:tcBorders>
            <w:noWrap w:val="0"/>
            <w:vAlign w:val="center"/>
          </w:tcPr>
          <w:p w14:paraId="5BB56E0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w:t>
            </w:r>
          </w:p>
        </w:tc>
      </w:tr>
      <w:tr w14:paraId="32599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73AEB0A9">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5460BF2">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440B4D2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39C7FF4B">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E92563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线上线下培训期数</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4EFC23CF">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E1E637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w:t>
            </w:r>
          </w:p>
        </w:tc>
      </w:tr>
      <w:tr w14:paraId="11A6C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7948258C">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69347A3">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79678E2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5CB6F5DE">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7D0CECB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进社区小型文艺活动</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3A673D1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4EE6C00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w:t>
            </w:r>
          </w:p>
        </w:tc>
      </w:tr>
      <w:tr w14:paraId="34A4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29880703">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D0B0229">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3D90149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5DBD7647">
            <w:pPr>
              <w:spacing w:line="300" w:lineRule="exact"/>
              <w:ind w:left="0" w:leftChars="0" w:right="0" w:rightChars="0" w:firstLine="0" w:firstLineChars="0"/>
              <w:jc w:val="both"/>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3B5D105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小型演奏会地点数</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592C4A0C">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1</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BDF6F6B">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0</w:t>
            </w:r>
          </w:p>
        </w:tc>
      </w:tr>
      <w:tr w14:paraId="4F1B3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5F4CD6E">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377337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29CD516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7E5D6AE5">
            <w:pPr>
              <w:spacing w:line="300" w:lineRule="exact"/>
              <w:ind w:left="0" w:leftChars="0" w:right="0" w:rightChars="0" w:firstLine="0" w:firstLineChars="0"/>
              <w:jc w:val="both"/>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5BD051C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举办广场舞大赛次数</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F249C69">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5B514FD">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r>
      <w:tr w14:paraId="2DA3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29E8AEC">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668142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3D700A7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51060ABF">
            <w:pPr>
              <w:spacing w:line="300" w:lineRule="exact"/>
              <w:ind w:left="0" w:leftChars="0" w:right="0" w:rightChars="0" w:firstLine="0" w:firstLineChars="0"/>
              <w:jc w:val="both"/>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611275B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非遗传承人授课人数</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41AC3A92">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1</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46BA99F4">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0</w:t>
            </w:r>
          </w:p>
        </w:tc>
      </w:tr>
      <w:tr w14:paraId="7B95C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4342ED8">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2DDFD85">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7B49216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56223700">
            <w:pPr>
              <w:spacing w:line="300" w:lineRule="exact"/>
              <w:ind w:left="0" w:leftChars="0" w:right="0" w:rightChars="0" w:firstLine="0" w:firstLineChars="0"/>
              <w:jc w:val="both"/>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175757B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非遗工坊传数量</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D33EA9B">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1</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28C8015">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0</w:t>
            </w:r>
          </w:p>
        </w:tc>
      </w:tr>
      <w:tr w14:paraId="64F6D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D4F47B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EFC315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7AAEFDC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3856F1AE">
            <w:pPr>
              <w:spacing w:line="300" w:lineRule="exact"/>
              <w:ind w:left="0" w:leftChars="0" w:right="0" w:rightChars="0" w:firstLine="0" w:firstLineChars="0"/>
              <w:jc w:val="both"/>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3FD3EBA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五华区非物质文化遗产宣传片拍摄数量</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21C1E3D4">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1</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580AC0F">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0</w:t>
            </w:r>
          </w:p>
        </w:tc>
      </w:tr>
      <w:tr w14:paraId="756F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7939D728">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2400F50">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04F50A4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3FDDB946">
            <w:pPr>
              <w:spacing w:line="300" w:lineRule="exact"/>
              <w:ind w:left="0" w:leftChars="0" w:right="0" w:rightChars="0" w:firstLine="0" w:firstLineChars="0"/>
              <w:jc w:val="both"/>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4AC110E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花灯培训期数</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5E158FAE">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1</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84F8C6F">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0</w:t>
            </w:r>
          </w:p>
        </w:tc>
      </w:tr>
      <w:tr w14:paraId="06F3E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DF77274">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BB2C53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64A7448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57C70180">
            <w:pPr>
              <w:spacing w:line="300" w:lineRule="exact"/>
              <w:ind w:left="0" w:leftChars="0" w:right="0" w:rightChars="0" w:firstLine="0" w:firstLineChars="0"/>
              <w:jc w:val="both"/>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84D22A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戏曲艺术进校园活动数</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50ECC9C3">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1</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E59511D">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0</w:t>
            </w:r>
          </w:p>
        </w:tc>
      </w:tr>
      <w:tr w14:paraId="72352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804C162">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9C45CAA">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4726296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质</w:t>
            </w:r>
            <w:r>
              <w:rPr>
                <w:rFonts w:hint="eastAsia" w:ascii="宋体" w:hAnsi="宋体" w:eastAsia="宋体"/>
                <w:color w:val="000000"/>
                <w:sz w:val="18"/>
                <w:szCs w:val="18"/>
              </w:rPr>
              <w:t>量</w:t>
            </w:r>
          </w:p>
        </w:tc>
        <w:tc>
          <w:tcPr>
            <w:tcW w:w="621" w:type="dxa"/>
            <w:vMerge w:val="restart"/>
            <w:tcBorders>
              <w:top w:val="single" w:color="auto" w:sz="4" w:space="0"/>
              <w:left w:val="single" w:color="auto" w:sz="4" w:space="0"/>
              <w:right w:val="single" w:color="auto" w:sz="4" w:space="0"/>
            </w:tcBorders>
            <w:noWrap w:val="0"/>
            <w:vAlign w:val="center"/>
          </w:tcPr>
          <w:p w14:paraId="00FF7ECF">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6EF9D66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培训合格率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543F2DE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123D112">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w:t>
            </w:r>
          </w:p>
        </w:tc>
      </w:tr>
      <w:tr w14:paraId="15E12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91BF36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41D0EF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12DABD2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质</w:t>
            </w:r>
            <w:r>
              <w:rPr>
                <w:rFonts w:hint="eastAsia" w:ascii="宋体" w:hAnsi="宋体" w:eastAsia="宋体"/>
                <w:color w:val="000000"/>
                <w:sz w:val="18"/>
                <w:szCs w:val="18"/>
              </w:rPr>
              <w:t>量</w:t>
            </w:r>
          </w:p>
        </w:tc>
        <w:tc>
          <w:tcPr>
            <w:tcW w:w="621" w:type="dxa"/>
            <w:vMerge w:val="continue"/>
            <w:tcBorders>
              <w:left w:val="single" w:color="auto" w:sz="4" w:space="0"/>
              <w:right w:val="single" w:color="auto" w:sz="4" w:space="0"/>
            </w:tcBorders>
            <w:noWrap w:val="0"/>
            <w:vAlign w:val="center"/>
          </w:tcPr>
          <w:p w14:paraId="486AEEF3">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CAB3C1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活动出勤率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38EB020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664F7D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w:t>
            </w:r>
          </w:p>
        </w:tc>
      </w:tr>
      <w:tr w14:paraId="499D2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C6FC747">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0AC9C44">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756AE12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质</w:t>
            </w:r>
            <w:r>
              <w:rPr>
                <w:rFonts w:hint="eastAsia" w:ascii="宋体" w:hAnsi="宋体" w:eastAsia="宋体"/>
                <w:color w:val="000000"/>
                <w:sz w:val="18"/>
                <w:szCs w:val="18"/>
              </w:rPr>
              <w:t>量</w:t>
            </w:r>
          </w:p>
        </w:tc>
        <w:tc>
          <w:tcPr>
            <w:tcW w:w="621" w:type="dxa"/>
            <w:tcBorders>
              <w:left w:val="single" w:color="auto" w:sz="4" w:space="0"/>
              <w:right w:val="single" w:color="auto" w:sz="4" w:space="0"/>
            </w:tcBorders>
            <w:noWrap w:val="0"/>
            <w:vAlign w:val="center"/>
          </w:tcPr>
          <w:p w14:paraId="18CF9FDD">
            <w:pPr>
              <w:spacing w:line="300" w:lineRule="exact"/>
              <w:ind w:left="0" w:leftChars="0" w:right="0" w:rightChars="0" w:firstLine="0" w:firstLineChars="0"/>
              <w:jc w:val="center"/>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36C353A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文艺作品创作验收合格率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36283051">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4CF5982A">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2</w:t>
            </w:r>
          </w:p>
        </w:tc>
      </w:tr>
      <w:tr w14:paraId="1C70E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DC00DA8">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EC60CE5">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603377D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时效</w:t>
            </w:r>
          </w:p>
        </w:tc>
        <w:tc>
          <w:tcPr>
            <w:tcW w:w="621" w:type="dxa"/>
            <w:vMerge w:val="restart"/>
            <w:tcBorders>
              <w:top w:val="single" w:color="auto" w:sz="4" w:space="0"/>
              <w:left w:val="single" w:color="auto" w:sz="4" w:space="0"/>
              <w:right w:val="single" w:color="auto" w:sz="4" w:space="0"/>
            </w:tcBorders>
            <w:noWrap w:val="0"/>
            <w:vAlign w:val="center"/>
          </w:tcPr>
          <w:p w14:paraId="5885F2B0">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4</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29BDBAD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全年预算执行进度</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79C119C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7D0F434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0</w:t>
            </w:r>
          </w:p>
        </w:tc>
      </w:tr>
      <w:tr w14:paraId="23C24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48FF20E">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2AB690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1272EF5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时效</w:t>
            </w:r>
          </w:p>
        </w:tc>
        <w:tc>
          <w:tcPr>
            <w:tcW w:w="621" w:type="dxa"/>
            <w:vMerge w:val="continue"/>
            <w:tcBorders>
              <w:left w:val="single" w:color="auto" w:sz="4" w:space="0"/>
              <w:bottom w:val="single" w:color="auto" w:sz="4" w:space="0"/>
              <w:right w:val="single" w:color="auto" w:sz="4" w:space="0"/>
            </w:tcBorders>
            <w:noWrap w:val="0"/>
            <w:vAlign w:val="center"/>
          </w:tcPr>
          <w:p w14:paraId="41DBD80A">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4D6F352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组织活动及时率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60BE4AC6">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72B464A8">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1</w:t>
            </w:r>
          </w:p>
        </w:tc>
      </w:tr>
      <w:tr w14:paraId="1ABFE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71D83FE">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C523BD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245B90F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产出成本</w:t>
            </w:r>
          </w:p>
        </w:tc>
        <w:tc>
          <w:tcPr>
            <w:tcW w:w="621" w:type="dxa"/>
            <w:tcBorders>
              <w:top w:val="single" w:color="auto" w:sz="4" w:space="0"/>
              <w:left w:val="single" w:color="auto" w:sz="4" w:space="0"/>
              <w:bottom w:val="single" w:color="auto" w:sz="4" w:space="0"/>
              <w:right w:val="single" w:color="auto" w:sz="4" w:space="0"/>
            </w:tcBorders>
            <w:noWrap w:val="0"/>
            <w:vAlign w:val="center"/>
          </w:tcPr>
          <w:p w14:paraId="11E0C5C5">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4</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2393F88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成本节约率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4B06D58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49ED2F9D">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7F4F0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2C4961A2">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4B04FD9">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F9302B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经济效益</w:t>
            </w:r>
          </w:p>
        </w:tc>
        <w:tc>
          <w:tcPr>
            <w:tcW w:w="621" w:type="dxa"/>
            <w:tcBorders>
              <w:top w:val="single" w:color="auto" w:sz="4" w:space="0"/>
              <w:left w:val="single" w:color="000000" w:sz="4" w:space="0"/>
              <w:bottom w:val="single" w:color="000000" w:sz="4" w:space="0"/>
              <w:right w:val="single" w:color="000000" w:sz="4" w:space="0"/>
            </w:tcBorders>
            <w:noWrap w:val="0"/>
            <w:vAlign w:val="center"/>
          </w:tcPr>
          <w:p w14:paraId="7F1C93A6">
            <w:pPr>
              <w:autoSpaceDN w:val="0"/>
              <w:spacing w:line="300" w:lineRule="exact"/>
              <w:ind w:left="0" w:leftChars="0" w:right="0" w:rightChars="0" w:firstLine="0" w:firstLineChars="0"/>
              <w:jc w:val="center"/>
              <w:textAlignment w:val="center"/>
              <w:rPr>
                <w:rFonts w:hint="eastAsia" w:ascii="宋体" w:hAnsi="宋体"/>
                <w:sz w:val="18"/>
                <w:szCs w:val="18"/>
                <w:lang w:val="en-US" w:eastAsia="zh-CN"/>
              </w:rPr>
            </w:pP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2F9EB015">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0B27A893">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0937C062">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p>
        </w:tc>
      </w:tr>
      <w:tr w14:paraId="0EE14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EA5F985">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830F600">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DE52B4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社会效益</w:t>
            </w:r>
          </w:p>
        </w:tc>
        <w:tc>
          <w:tcPr>
            <w:tcW w:w="621" w:type="dxa"/>
            <w:vMerge w:val="restart"/>
            <w:tcBorders>
              <w:top w:val="single" w:color="auto" w:sz="4" w:space="0"/>
              <w:left w:val="single" w:color="000000" w:sz="4" w:space="0"/>
              <w:right w:val="single" w:color="000000" w:sz="4" w:space="0"/>
            </w:tcBorders>
            <w:noWrap w:val="0"/>
            <w:vAlign w:val="center"/>
          </w:tcPr>
          <w:p w14:paraId="18A31A19">
            <w:pPr>
              <w:autoSpaceDN w:val="0"/>
              <w:spacing w:line="300" w:lineRule="exact"/>
              <w:ind w:left="0" w:leftChars="0" w:right="0" w:rightChars="0" w:firstLine="0" w:firstLineChars="0"/>
              <w:jc w:val="center"/>
              <w:textAlignment w:val="center"/>
              <w:rPr>
                <w:rFonts w:hint="default" w:ascii="宋体" w:hAnsi="宋体"/>
                <w:sz w:val="18"/>
                <w:szCs w:val="18"/>
                <w:lang w:val="en-US" w:eastAsia="zh-CN"/>
              </w:rPr>
            </w:pPr>
            <w:r>
              <w:rPr>
                <w:rFonts w:hint="eastAsia" w:ascii="宋体" w:hAnsi="宋体"/>
                <w:sz w:val="18"/>
                <w:szCs w:val="18"/>
                <w:lang w:val="en-US" w:eastAsia="zh-CN"/>
              </w:rPr>
              <w:t>16</w:t>
            </w: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6BDCD16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丰富群众文化生活</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68E69CA2">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4405F604">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3</w:t>
            </w:r>
          </w:p>
        </w:tc>
      </w:tr>
      <w:tr w14:paraId="32193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DB7EA8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BE59C6E">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32001D4">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社会效益</w:t>
            </w:r>
          </w:p>
        </w:tc>
        <w:tc>
          <w:tcPr>
            <w:tcW w:w="621" w:type="dxa"/>
            <w:vMerge w:val="continue"/>
            <w:tcBorders>
              <w:left w:val="single" w:color="000000" w:sz="4" w:space="0"/>
              <w:right w:val="single" w:color="000000" w:sz="4" w:space="0"/>
            </w:tcBorders>
            <w:noWrap w:val="0"/>
            <w:vAlign w:val="center"/>
          </w:tcPr>
          <w:p w14:paraId="3EEF03F2">
            <w:pPr>
              <w:autoSpaceDN w:val="0"/>
              <w:spacing w:line="300" w:lineRule="exact"/>
              <w:ind w:left="0" w:leftChars="0" w:right="0" w:rightChars="0" w:firstLine="0" w:firstLineChars="0"/>
              <w:jc w:val="center"/>
              <w:textAlignment w:val="center"/>
              <w:rPr>
                <w:rFonts w:hint="default" w:ascii="宋体" w:hAnsi="宋体"/>
                <w:sz w:val="18"/>
                <w:szCs w:val="18"/>
                <w:lang w:val="en-US" w:eastAsia="zh-CN"/>
              </w:rPr>
            </w:pP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086D533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宣传内容知晓率</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5CFCF157">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6668E5E0">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3</w:t>
            </w:r>
          </w:p>
        </w:tc>
      </w:tr>
      <w:tr w14:paraId="77933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9EC5203">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6F6D53E">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3100D06">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社会效益</w:t>
            </w:r>
          </w:p>
        </w:tc>
        <w:tc>
          <w:tcPr>
            <w:tcW w:w="621" w:type="dxa"/>
            <w:vMerge w:val="continue"/>
            <w:tcBorders>
              <w:left w:val="single" w:color="000000" w:sz="4" w:space="0"/>
              <w:right w:val="single" w:color="000000" w:sz="4" w:space="0"/>
            </w:tcBorders>
            <w:noWrap w:val="0"/>
            <w:vAlign w:val="center"/>
          </w:tcPr>
          <w:p w14:paraId="5C1339B0">
            <w:pPr>
              <w:autoSpaceDN w:val="0"/>
              <w:spacing w:line="300" w:lineRule="exact"/>
              <w:ind w:left="0" w:leftChars="0" w:right="0" w:rightChars="0" w:firstLine="0" w:firstLineChars="0"/>
              <w:jc w:val="center"/>
              <w:textAlignment w:val="center"/>
              <w:rPr>
                <w:rFonts w:hint="default" w:ascii="宋体" w:hAnsi="宋体"/>
                <w:sz w:val="18"/>
                <w:szCs w:val="18"/>
                <w:lang w:val="en-US" w:eastAsia="zh-CN"/>
              </w:rPr>
            </w:pP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128693A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提升公共文化服务效能</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34D37642">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36988021">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3</w:t>
            </w:r>
          </w:p>
        </w:tc>
      </w:tr>
      <w:tr w14:paraId="2691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2FA92F8">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2352383">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B20E065">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社会效益</w:t>
            </w:r>
          </w:p>
        </w:tc>
        <w:tc>
          <w:tcPr>
            <w:tcW w:w="621" w:type="dxa"/>
            <w:vMerge w:val="continue"/>
            <w:tcBorders>
              <w:left w:val="single" w:color="000000" w:sz="4" w:space="0"/>
              <w:bottom w:val="single" w:color="000000" w:sz="4" w:space="0"/>
              <w:right w:val="single" w:color="000000" w:sz="4" w:space="0"/>
            </w:tcBorders>
            <w:noWrap w:val="0"/>
            <w:vAlign w:val="center"/>
          </w:tcPr>
          <w:p w14:paraId="681A1F4E">
            <w:pPr>
              <w:autoSpaceDN w:val="0"/>
              <w:spacing w:line="300" w:lineRule="exact"/>
              <w:ind w:left="0" w:leftChars="0" w:right="0" w:rightChars="0" w:firstLine="0" w:firstLineChars="0"/>
              <w:jc w:val="center"/>
              <w:textAlignment w:val="center"/>
              <w:rPr>
                <w:rFonts w:hint="default" w:ascii="宋体" w:hAnsi="宋体"/>
                <w:sz w:val="18"/>
                <w:szCs w:val="18"/>
                <w:lang w:val="en-US" w:eastAsia="zh-CN"/>
              </w:rPr>
            </w:pP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349C364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提升基层群众的文化</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14C0A631">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2E39414B">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4</w:t>
            </w:r>
          </w:p>
        </w:tc>
      </w:tr>
      <w:tr w14:paraId="705CE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18FC184">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14405FB">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BBB735E">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环境效益</w:t>
            </w:r>
          </w:p>
        </w:tc>
        <w:tc>
          <w:tcPr>
            <w:tcW w:w="621" w:type="dxa"/>
            <w:tcBorders>
              <w:top w:val="single" w:color="auto" w:sz="4" w:space="0"/>
              <w:left w:val="single" w:color="000000" w:sz="4" w:space="0"/>
              <w:bottom w:val="single" w:color="000000" w:sz="4" w:space="0"/>
              <w:right w:val="single" w:color="000000" w:sz="4" w:space="0"/>
            </w:tcBorders>
            <w:noWrap w:val="0"/>
            <w:vAlign w:val="center"/>
          </w:tcPr>
          <w:p w14:paraId="659E9C06">
            <w:pPr>
              <w:autoSpaceDN w:val="0"/>
              <w:spacing w:line="300" w:lineRule="exact"/>
              <w:ind w:left="0" w:leftChars="0" w:right="0" w:rightChars="0" w:firstLine="0" w:firstLineChars="0"/>
              <w:jc w:val="center"/>
              <w:textAlignment w:val="center"/>
              <w:rPr>
                <w:rFonts w:hint="eastAsia" w:ascii="宋体" w:hAnsi="宋体"/>
                <w:sz w:val="18"/>
                <w:szCs w:val="18"/>
                <w:lang w:val="en-US" w:eastAsia="zh-CN"/>
              </w:rPr>
            </w:pP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151CAED1">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不涉及</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54BABDC4">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09A5E972">
            <w:pPr>
              <w:autoSpaceDN w:val="0"/>
              <w:spacing w:line="300" w:lineRule="exact"/>
              <w:ind w:left="0" w:leftChars="0" w:right="0" w:rightChars="0" w:firstLine="0" w:firstLineChars="0"/>
              <w:jc w:val="center"/>
              <w:textAlignment w:val="center"/>
              <w:rPr>
                <w:rFonts w:hint="eastAsia" w:ascii="宋体" w:hAnsi="宋体"/>
                <w:color w:val="000000"/>
                <w:sz w:val="18"/>
                <w:szCs w:val="18"/>
                <w:lang w:val="en-US" w:eastAsia="zh-CN"/>
              </w:rPr>
            </w:pPr>
          </w:p>
        </w:tc>
      </w:tr>
      <w:tr w14:paraId="6DD19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ED91447">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16EEF43">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B371CE7">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可持续影响</w:t>
            </w:r>
          </w:p>
        </w:tc>
        <w:tc>
          <w:tcPr>
            <w:tcW w:w="621" w:type="dxa"/>
            <w:tcBorders>
              <w:top w:val="single" w:color="auto" w:sz="4" w:space="0"/>
              <w:left w:val="single" w:color="000000" w:sz="4" w:space="0"/>
              <w:bottom w:val="single" w:color="000000" w:sz="4" w:space="0"/>
              <w:right w:val="single" w:color="000000" w:sz="4" w:space="0"/>
            </w:tcBorders>
            <w:noWrap w:val="0"/>
            <w:vAlign w:val="center"/>
          </w:tcPr>
          <w:p w14:paraId="114EE8A4">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21D0937B">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不涉及</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4F16347D">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6B86C3F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p>
        </w:tc>
      </w:tr>
      <w:tr w14:paraId="1B19F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14:paraId="74F08E0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CA1709D">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D43C257">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7493C02">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C120376">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EC4CB2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647865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r>
      <w:tr w14:paraId="2A88C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14:paraId="05313050">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总分</w:t>
            </w:r>
          </w:p>
        </w:tc>
        <w:tc>
          <w:tcPr>
            <w:tcW w:w="748" w:type="dxa"/>
            <w:gridSpan w:val="3"/>
            <w:tcBorders>
              <w:top w:val="single" w:color="000000" w:sz="4" w:space="0"/>
              <w:left w:val="single" w:color="000000" w:sz="4" w:space="0"/>
              <w:bottom w:val="single" w:color="000000" w:sz="4" w:space="0"/>
              <w:right w:val="single" w:color="000000" w:sz="4" w:space="0"/>
            </w:tcBorders>
            <w:noWrap w:val="0"/>
            <w:vAlign w:val="center"/>
          </w:tcPr>
          <w:p w14:paraId="5A0A4BFB">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262A96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22E310D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E5ACA3C">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407107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A363027">
            <w:pPr>
              <w:autoSpaceDN w:val="0"/>
              <w:spacing w:line="300" w:lineRule="exact"/>
              <w:ind w:left="0" w:leftChars="0" w:right="0" w:rightChars="0" w:firstLine="0" w:firstLineChars="0"/>
              <w:jc w:val="center"/>
              <w:textAlignment w:val="center"/>
              <w:rPr>
                <w:rFonts w:hint="default" w:ascii="宋体" w:hAnsi="宋体" w:eastAsia="宋体"/>
                <w:bCs/>
                <w:color w:val="000000"/>
                <w:sz w:val="18"/>
                <w:szCs w:val="18"/>
                <w:lang w:val="en-US" w:eastAsia="zh-CN"/>
              </w:rPr>
            </w:pPr>
            <w:r>
              <w:rPr>
                <w:rFonts w:hint="eastAsia" w:ascii="宋体" w:hAnsi="宋体"/>
                <w:bCs/>
                <w:color w:val="000000"/>
                <w:sz w:val="18"/>
                <w:szCs w:val="18"/>
                <w:lang w:val="en-US" w:eastAsia="zh-CN"/>
              </w:rPr>
              <w:t>79</w:t>
            </w:r>
          </w:p>
        </w:tc>
      </w:tr>
      <w:tr w14:paraId="7F07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0DADEBB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606" w:type="dxa"/>
            <w:gridSpan w:val="11"/>
            <w:noWrap w:val="0"/>
            <w:vAlign w:val="center"/>
          </w:tcPr>
          <w:p w14:paraId="12011EE4">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rPr>
              <w:sym w:font="Wingdings 2" w:char="00A3"/>
            </w:r>
            <w:r>
              <w:rPr>
                <w:rFonts w:hint="eastAsia" w:ascii="宋体" w:hAnsi="宋体" w:eastAsia="宋体" w:cs="宋体"/>
                <w:color w:val="000000"/>
                <w:kern w:val="0"/>
                <w:sz w:val="18"/>
                <w:szCs w:val="18"/>
              </w:rPr>
              <w:t xml:space="preserve">        良</w:t>
            </w:r>
            <w:r>
              <w:rPr>
                <w:rFonts w:hint="eastAsia" w:ascii="宋体" w:hAnsi="宋体" w:cs="宋体"/>
                <w:color w:val="000000"/>
                <w:kern w:val="0"/>
                <w:sz w:val="18"/>
                <w:szCs w:val="18"/>
                <w:lang w:eastAsia="zh-CN"/>
              </w:rPr>
              <w:t>□</w:t>
            </w:r>
            <w:r>
              <w:rPr>
                <w:rFonts w:hint="eastAsia" w:ascii="宋体" w:hAnsi="宋体" w:eastAsia="宋体" w:cs="宋体"/>
                <w:color w:val="000000"/>
                <w:kern w:val="0"/>
                <w:sz w:val="18"/>
                <w:szCs w:val="18"/>
              </w:rPr>
              <w:t xml:space="preserve">       中 </w:t>
            </w:r>
            <w:r>
              <w:rPr>
                <w:rFonts w:hint="eastAsia" w:ascii="宋体" w:hAnsi="宋体" w:cs="宋体"/>
                <w:color w:val="000000"/>
                <w:kern w:val="0"/>
                <w:sz w:val="18"/>
                <w:szCs w:val="18"/>
                <w:lang w:eastAsia="zh-CN"/>
              </w:rPr>
              <w:t>☑</w:t>
            </w:r>
            <w:r>
              <w:rPr>
                <w:rFonts w:hint="eastAsia" w:ascii="宋体" w:hAnsi="宋体" w:eastAsia="宋体" w:cs="宋体"/>
                <w:color w:val="000000"/>
                <w:kern w:val="0"/>
                <w:sz w:val="18"/>
                <w:szCs w:val="18"/>
              </w:rPr>
              <w:t xml:space="preserve">       差□</w:t>
            </w:r>
          </w:p>
        </w:tc>
      </w:tr>
      <w:tr w14:paraId="4BBC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4D9457EC">
            <w:pPr>
              <w:spacing w:line="300" w:lineRule="exact"/>
              <w:ind w:left="0" w:leftChars="0" w:right="0" w:rightChars="0" w:firstLine="0" w:firstLineChars="0"/>
              <w:jc w:val="center"/>
              <w:rPr>
                <w:rFonts w:hint="eastAsia" w:ascii="宋体" w:hAnsi="宋体" w:eastAsia="宋体"/>
                <w:sz w:val="18"/>
                <w:szCs w:val="18"/>
              </w:rPr>
            </w:pPr>
          </w:p>
        </w:tc>
        <w:tc>
          <w:tcPr>
            <w:tcW w:w="7606" w:type="dxa"/>
            <w:gridSpan w:val="11"/>
            <w:noWrap w:val="0"/>
            <w:vAlign w:val="center"/>
          </w:tcPr>
          <w:p w14:paraId="1514577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r w14:paraId="0D27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413" w:type="dxa"/>
            <w:noWrap w:val="0"/>
            <w:vAlign w:val="center"/>
          </w:tcPr>
          <w:p w14:paraId="117732E9">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lang w:eastAsia="zh-CN"/>
              </w:rPr>
              <w:t>问题和建议</w:t>
            </w:r>
          </w:p>
        </w:tc>
        <w:tc>
          <w:tcPr>
            <w:tcW w:w="7606" w:type="dxa"/>
            <w:gridSpan w:val="11"/>
            <w:noWrap w:val="0"/>
            <w:vAlign w:val="top"/>
          </w:tcPr>
          <w:p w14:paraId="1585C5C5">
            <w:pPr>
              <w:pStyle w:val="16"/>
              <w:ind w:left="0" w:leftChars="0" w:firstLine="0" w:firstLineChars="0"/>
              <w:rPr>
                <w:rFonts w:hint="eastAsia" w:ascii="宋体" w:hAnsi="宋体" w:eastAsia="宋体" w:cs="宋体"/>
                <w:color w:val="000000"/>
                <w:kern w:val="0"/>
                <w:sz w:val="18"/>
                <w:szCs w:val="18"/>
                <w:lang w:val="en-US" w:eastAsia="zh-CN"/>
              </w:rPr>
            </w:pPr>
          </w:p>
          <w:p w14:paraId="48D3F38E">
            <w:pPr>
              <w:pStyle w:val="16"/>
              <w:ind w:firstLine="0" w:firstLineChars="0"/>
              <w:jc w:val="both"/>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问题：绩效管理认识不够</w:t>
            </w:r>
          </w:p>
          <w:p w14:paraId="4C915CE3">
            <w:pPr>
              <w:pStyle w:val="16"/>
              <w:ind w:firstLine="0" w:firstLineChars="0"/>
              <w:jc w:val="both"/>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建议：</w:t>
            </w:r>
            <w:r>
              <w:rPr>
                <w:rFonts w:hint="eastAsia" w:ascii="宋体" w:hAnsi="宋体" w:eastAsia="宋体" w:cs="宋体"/>
                <w:color w:val="000000"/>
                <w:kern w:val="0"/>
                <w:sz w:val="18"/>
                <w:szCs w:val="18"/>
                <w:lang w:val="en-US" w:eastAsia="zh-CN"/>
              </w:rPr>
              <w:t>进一步加强对预算绩效人才队伍的培养</w:t>
            </w:r>
          </w:p>
        </w:tc>
      </w:tr>
      <w:tr w14:paraId="23F5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019" w:type="dxa"/>
            <w:gridSpan w:val="12"/>
            <w:noWrap w:val="0"/>
            <w:vAlign w:val="center"/>
          </w:tcPr>
          <w:p w14:paraId="0D8940D2">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评价人员</w:t>
            </w:r>
          </w:p>
        </w:tc>
      </w:tr>
      <w:tr w14:paraId="685E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6720A5AA">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姓名</w:t>
            </w:r>
          </w:p>
        </w:tc>
        <w:tc>
          <w:tcPr>
            <w:tcW w:w="2159" w:type="dxa"/>
            <w:gridSpan w:val="3"/>
            <w:noWrap w:val="0"/>
            <w:vAlign w:val="center"/>
          </w:tcPr>
          <w:p w14:paraId="7B53BD6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职务/职称</w:t>
            </w:r>
          </w:p>
        </w:tc>
        <w:tc>
          <w:tcPr>
            <w:tcW w:w="2832" w:type="dxa"/>
            <w:gridSpan w:val="4"/>
            <w:noWrap w:val="0"/>
            <w:vAlign w:val="center"/>
          </w:tcPr>
          <w:p w14:paraId="1CE1252C">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单位</w:t>
            </w:r>
          </w:p>
        </w:tc>
        <w:tc>
          <w:tcPr>
            <w:tcW w:w="2429" w:type="dxa"/>
            <w:gridSpan w:val="3"/>
            <w:noWrap w:val="0"/>
            <w:vAlign w:val="center"/>
          </w:tcPr>
          <w:p w14:paraId="0C34E74F">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签字</w:t>
            </w:r>
          </w:p>
        </w:tc>
      </w:tr>
      <w:tr w14:paraId="6CD5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195036CF">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周赤东</w:t>
            </w:r>
          </w:p>
        </w:tc>
        <w:tc>
          <w:tcPr>
            <w:tcW w:w="2159" w:type="dxa"/>
            <w:gridSpan w:val="3"/>
            <w:noWrap w:val="0"/>
            <w:vAlign w:val="top"/>
          </w:tcPr>
          <w:p w14:paraId="6261B756">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馆长</w:t>
            </w:r>
          </w:p>
        </w:tc>
        <w:tc>
          <w:tcPr>
            <w:tcW w:w="2832" w:type="dxa"/>
            <w:gridSpan w:val="4"/>
            <w:noWrap w:val="0"/>
            <w:vAlign w:val="top"/>
          </w:tcPr>
          <w:p w14:paraId="1A856FA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 xml:space="preserve">      昆明是五华区文化馆</w:t>
            </w:r>
          </w:p>
        </w:tc>
        <w:tc>
          <w:tcPr>
            <w:tcW w:w="2429" w:type="dxa"/>
            <w:gridSpan w:val="3"/>
            <w:noWrap w:val="0"/>
            <w:vAlign w:val="top"/>
          </w:tcPr>
          <w:p w14:paraId="45F3686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周赤东</w:t>
            </w:r>
          </w:p>
        </w:tc>
      </w:tr>
      <w:tr w14:paraId="6F29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599" w:type="dxa"/>
            <w:gridSpan w:val="2"/>
            <w:noWrap w:val="0"/>
            <w:vAlign w:val="center"/>
          </w:tcPr>
          <w:p w14:paraId="7E06157A">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杨小鋂</w:t>
            </w:r>
          </w:p>
        </w:tc>
        <w:tc>
          <w:tcPr>
            <w:tcW w:w="2159" w:type="dxa"/>
            <w:gridSpan w:val="3"/>
            <w:noWrap w:val="0"/>
            <w:vAlign w:val="top"/>
          </w:tcPr>
          <w:p w14:paraId="05118999">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副馆长</w:t>
            </w:r>
          </w:p>
        </w:tc>
        <w:tc>
          <w:tcPr>
            <w:tcW w:w="2832" w:type="dxa"/>
            <w:gridSpan w:val="4"/>
            <w:noWrap w:val="0"/>
            <w:vAlign w:val="top"/>
          </w:tcPr>
          <w:p w14:paraId="20065F89">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昆明是五华区文化馆</w:t>
            </w:r>
          </w:p>
        </w:tc>
        <w:tc>
          <w:tcPr>
            <w:tcW w:w="2429" w:type="dxa"/>
            <w:gridSpan w:val="3"/>
            <w:noWrap w:val="0"/>
            <w:vAlign w:val="top"/>
          </w:tcPr>
          <w:p w14:paraId="6E3B00D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杨小鋂</w:t>
            </w:r>
          </w:p>
        </w:tc>
      </w:tr>
      <w:tr w14:paraId="01DA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7F15BAFA">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张颸寅</w:t>
            </w:r>
          </w:p>
        </w:tc>
        <w:tc>
          <w:tcPr>
            <w:tcW w:w="2159" w:type="dxa"/>
            <w:gridSpan w:val="3"/>
            <w:noWrap w:val="0"/>
            <w:vAlign w:val="top"/>
          </w:tcPr>
          <w:p w14:paraId="0D496E9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出纳</w:t>
            </w:r>
          </w:p>
        </w:tc>
        <w:tc>
          <w:tcPr>
            <w:tcW w:w="2832" w:type="dxa"/>
            <w:gridSpan w:val="4"/>
            <w:noWrap w:val="0"/>
            <w:vAlign w:val="top"/>
          </w:tcPr>
          <w:p w14:paraId="5E551CBC">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昆明是五华区文化馆</w:t>
            </w:r>
          </w:p>
        </w:tc>
        <w:tc>
          <w:tcPr>
            <w:tcW w:w="2429" w:type="dxa"/>
            <w:gridSpan w:val="3"/>
            <w:noWrap w:val="0"/>
            <w:vAlign w:val="top"/>
          </w:tcPr>
          <w:p w14:paraId="62C0C226">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张颸寅</w:t>
            </w:r>
          </w:p>
        </w:tc>
      </w:tr>
      <w:tr w14:paraId="7CAA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0B9B23A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4362FF0A">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6A827196">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7D43FE76">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04A2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9019" w:type="dxa"/>
            <w:gridSpan w:val="12"/>
            <w:noWrap w:val="0"/>
            <w:vAlign w:val="center"/>
          </w:tcPr>
          <w:p w14:paraId="592A806F">
            <w:pPr>
              <w:spacing w:line="400" w:lineRule="exact"/>
            </w:pPr>
            <w:r>
              <w:rPr>
                <w:rFonts w:hint="eastAsia"/>
              </w:rPr>
              <w:t xml:space="preserve">填报人（签字）： </w:t>
            </w:r>
            <w:r>
              <w:rPr>
                <w:rFonts w:hint="eastAsia"/>
                <w:lang w:val="en-US" w:eastAsia="zh-CN"/>
              </w:rPr>
              <w:t>付娜</w:t>
            </w:r>
            <w:r>
              <w:rPr>
                <w:rFonts w:hint="eastAsia"/>
              </w:rPr>
              <w:t xml:space="preserve">                                 </w:t>
            </w:r>
            <w:r>
              <w:rPr>
                <w:rFonts w:hint="eastAsia"/>
                <w:lang w:val="en-US" w:eastAsia="zh-CN"/>
              </w:rPr>
              <w:t xml:space="preserve">  2024  </w:t>
            </w:r>
            <w:r>
              <w:rPr>
                <w:rFonts w:hint="eastAsia"/>
              </w:rPr>
              <w:t xml:space="preserve">年  </w:t>
            </w:r>
            <w:r>
              <w:rPr>
                <w:rFonts w:hint="eastAsia"/>
                <w:lang w:val="en-US" w:eastAsia="zh-CN"/>
              </w:rPr>
              <w:t>5</w:t>
            </w:r>
            <w:r>
              <w:rPr>
                <w:rFonts w:hint="eastAsia"/>
              </w:rPr>
              <w:t xml:space="preserve"> 月   </w:t>
            </w:r>
            <w:r>
              <w:rPr>
                <w:rFonts w:hint="eastAsia"/>
                <w:lang w:val="en-US" w:eastAsia="zh-CN"/>
              </w:rPr>
              <w:t>27</w:t>
            </w:r>
            <w:r>
              <w:rPr>
                <w:rFonts w:hint="eastAsia"/>
              </w:rPr>
              <w:t xml:space="preserve">日                                        </w:t>
            </w:r>
          </w:p>
          <w:p w14:paraId="33DBDB8F">
            <w:pPr>
              <w:spacing w:line="400" w:lineRule="exact"/>
              <w:rPr>
                <w:rFonts w:hint="eastAsia" w:ascii="Times New Roman" w:hAnsi="Times New Roman" w:eastAsia="宋体" w:cs="Times New Roman"/>
              </w:rPr>
            </w:pPr>
            <w:r>
              <w:rPr>
                <w:rFonts w:hint="eastAsia" w:ascii="Times New Roman" w:hAnsi="Times New Roman" w:eastAsia="宋体" w:cs="Times New Roman"/>
                <w:lang w:val="en-US" w:eastAsia="zh-CN"/>
              </w:rPr>
              <w:t>评价组组长（签字）：</w:t>
            </w:r>
            <w:r>
              <w:rPr>
                <w:rFonts w:hint="eastAsia" w:ascii="Times New Roman" w:hAnsi="Times New Roman" w:cs="Times New Roman"/>
                <w:lang w:val="en-US" w:eastAsia="zh-CN"/>
              </w:rPr>
              <w:t>周赤东</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hint="eastAsia" w:ascii="Times New Roman" w:hAnsi="Times New Roman" w:cs="Times New Roman"/>
                <w:lang w:val="en-US" w:eastAsia="zh-CN"/>
              </w:rPr>
              <w:t>2024</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 xml:space="preserve">年  </w:t>
            </w:r>
            <w:r>
              <w:rPr>
                <w:rFonts w:hint="eastAsia" w:ascii="Times New Roman" w:hAnsi="Times New Roman" w:cs="Times New Roman"/>
                <w:lang w:val="en-US" w:eastAsia="zh-CN"/>
              </w:rPr>
              <w:t>5</w:t>
            </w:r>
            <w:r>
              <w:rPr>
                <w:rFonts w:hint="eastAsia" w:ascii="Times New Roman" w:hAnsi="Times New Roman" w:eastAsia="宋体" w:cs="Times New Roman"/>
              </w:rPr>
              <w:t xml:space="preserve"> 月  </w:t>
            </w:r>
            <w:r>
              <w:rPr>
                <w:rFonts w:hint="eastAsia" w:ascii="Times New Roman" w:hAnsi="Times New Roman" w:cs="Times New Roman"/>
                <w:lang w:val="en-US" w:eastAsia="zh-CN"/>
              </w:rPr>
              <w:t>27</w:t>
            </w:r>
            <w:r>
              <w:rPr>
                <w:rFonts w:hint="eastAsia" w:ascii="Times New Roman" w:hAnsi="Times New Roman" w:eastAsia="宋体" w:cs="Times New Roman"/>
              </w:rPr>
              <w:t xml:space="preserve"> 日</w:t>
            </w:r>
          </w:p>
          <w:p w14:paraId="1ACE23F7">
            <w:pPr>
              <w:spacing w:line="400" w:lineRule="exact"/>
              <w:rPr>
                <w:rFonts w:hint="eastAsia"/>
                <w:lang w:val="en-US" w:eastAsia="zh-CN"/>
              </w:rPr>
            </w:pPr>
            <w:r>
              <w:rPr>
                <w:rFonts w:hint="eastAsia" w:ascii="Times New Roman" w:hAnsi="Times New Roman" w:eastAsia="宋体" w:cs="Times New Roman"/>
              </w:rPr>
              <w:t>评</w:t>
            </w:r>
            <w:r>
              <w:rPr>
                <w:rFonts w:hint="eastAsia" w:ascii="Times New Roman" w:hAnsi="Times New Roman" w:eastAsia="宋体" w:cs="Times New Roman"/>
                <w:lang w:val="en-US" w:eastAsia="zh-CN"/>
              </w:rPr>
              <w:t>价部门负责人（签字并盖章）：</w:t>
            </w:r>
            <w:r>
              <w:rPr>
                <w:rFonts w:hint="eastAsia" w:ascii="Times New Roman" w:hAnsi="Times New Roman" w:cs="Times New Roman"/>
                <w:lang w:val="en-US" w:eastAsia="zh-CN"/>
              </w:rPr>
              <w:t>周赤东</w:t>
            </w:r>
            <w:r>
              <w:rPr>
                <w:rFonts w:hint="eastAsia" w:ascii="Times New Roman" w:hAnsi="Times New Roman" w:eastAsia="宋体" w:cs="Times New Roman"/>
                <w:lang w:val="en-US" w:eastAsia="zh-CN"/>
              </w:rPr>
              <w:t xml:space="preserve">                      </w:t>
            </w:r>
            <w:r>
              <w:rPr>
                <w:rFonts w:hint="eastAsia" w:ascii="Times New Roman" w:hAnsi="Times New Roman" w:cs="Times New Roman"/>
                <w:lang w:val="en-US" w:eastAsia="zh-CN"/>
              </w:rPr>
              <w:t>2024</w:t>
            </w:r>
            <w:r>
              <w:rPr>
                <w:rFonts w:hint="eastAsia" w:ascii="Times New Roman" w:hAnsi="Times New Roman" w:eastAsia="宋体" w:cs="Times New Roman"/>
                <w:lang w:val="en-US" w:eastAsia="zh-CN"/>
              </w:rPr>
              <w:t xml:space="preserve">  年 </w:t>
            </w:r>
            <w:r>
              <w:rPr>
                <w:rFonts w:hint="eastAsia" w:ascii="Times New Roman" w:hAnsi="Times New Roman" w:cs="Times New Roman"/>
                <w:lang w:val="en-US" w:eastAsia="zh-CN"/>
              </w:rPr>
              <w:t>5</w:t>
            </w:r>
            <w:r>
              <w:rPr>
                <w:rFonts w:hint="eastAsia" w:ascii="Times New Roman" w:hAnsi="Times New Roman" w:eastAsia="宋体" w:cs="Times New Roman"/>
                <w:lang w:val="en-US" w:eastAsia="zh-CN"/>
              </w:rPr>
              <w:t xml:space="preserve">  月  </w:t>
            </w:r>
            <w:r>
              <w:rPr>
                <w:rFonts w:hint="eastAsia" w:ascii="Times New Roman" w:hAnsi="Times New Roman" w:cs="Times New Roman"/>
                <w:lang w:val="en-US" w:eastAsia="zh-CN"/>
              </w:rPr>
              <w:t>27</w:t>
            </w:r>
            <w:r>
              <w:rPr>
                <w:rFonts w:hint="eastAsia" w:ascii="Times New Roman" w:hAnsi="Times New Roman" w:eastAsia="宋体" w:cs="Times New Roman"/>
                <w:lang w:val="en-US" w:eastAsia="zh-CN"/>
              </w:rPr>
              <w:t xml:space="preserve"> 日</w:t>
            </w:r>
          </w:p>
        </w:tc>
      </w:tr>
    </w:tbl>
    <w:p w14:paraId="3AB222FF">
      <w:pPr>
        <w:rPr>
          <w:rFonts w:hint="eastAsia" w:ascii="仿宋_GB2312" w:hAnsi="仿宋_GB2312" w:eastAsia="仿宋_GB2312" w:cs="仿宋_GB2312"/>
          <w:b/>
          <w:bCs/>
          <w:sz w:val="21"/>
          <w:szCs w:val="24"/>
          <w:lang w:val="en-US" w:eastAsia="zh-CN"/>
        </w:rPr>
      </w:pPr>
      <w:r>
        <w:rPr>
          <w:rFonts w:hint="eastAsia" w:ascii="仿宋_GB2312" w:hAnsi="仿宋_GB2312" w:eastAsia="仿宋_GB2312" w:cs="仿宋_GB2312"/>
          <w:b/>
          <w:bCs/>
          <w:sz w:val="21"/>
          <w:szCs w:val="24"/>
          <w:lang w:eastAsia="zh-CN"/>
        </w:rPr>
        <w:t>注：绩效评价指标可参考《云南省项目支出绩效评价管理办法》中附件</w:t>
      </w:r>
      <w:r>
        <w:rPr>
          <w:rFonts w:hint="eastAsia" w:ascii="仿宋_GB2312" w:hAnsi="仿宋_GB2312" w:eastAsia="仿宋_GB2312" w:cs="仿宋_GB2312"/>
          <w:b/>
          <w:bCs/>
          <w:sz w:val="21"/>
          <w:szCs w:val="24"/>
          <w:lang w:val="en-US" w:eastAsia="zh-CN"/>
        </w:rPr>
        <w:t>2：《项目支出绩效评价指标体系框架》</w:t>
      </w:r>
      <w:r>
        <w:rPr>
          <w:rFonts w:hint="eastAsia" w:ascii="仿宋_GB2312" w:hAnsi="仿宋_GB2312" w:eastAsia="仿宋_GB2312" w:cs="仿宋_GB2312"/>
          <w:b/>
          <w:bCs/>
          <w:sz w:val="21"/>
          <w:szCs w:val="24"/>
          <w:lang w:eastAsia="zh-CN"/>
        </w:rPr>
        <w:t>设置</w:t>
      </w:r>
      <w:r>
        <w:rPr>
          <w:rFonts w:hint="eastAsia" w:ascii="仿宋_GB2312" w:hAnsi="仿宋_GB2312" w:eastAsia="仿宋_GB2312" w:cs="仿宋_GB2312"/>
          <w:b/>
          <w:bCs/>
          <w:sz w:val="21"/>
          <w:szCs w:val="24"/>
          <w:lang w:val="en-US" w:eastAsia="zh-CN"/>
        </w:rPr>
        <w:t>。</w:t>
      </w:r>
    </w:p>
    <w:p w14:paraId="7622ED17">
      <w:pPr>
        <w:rPr>
          <w:rFonts w:hint="eastAsia" w:ascii="仿宋_GB2312" w:hAnsi="仿宋_GB2312" w:eastAsia="仿宋_GB2312" w:cs="仿宋_GB2312"/>
          <w:b/>
          <w:bCs/>
          <w:sz w:val="21"/>
          <w:szCs w:val="24"/>
          <w:lang w:val="en-US" w:eastAsia="zh-CN"/>
        </w:rPr>
      </w:pPr>
    </w:p>
    <w:p w14:paraId="2F2AA6A8">
      <w:pPr>
        <w:rPr>
          <w:rFonts w:hint="eastAsia" w:ascii="仿宋_GB2312" w:hAnsi="仿宋_GB2312" w:eastAsia="仿宋_GB2312" w:cs="仿宋_GB2312"/>
          <w:b/>
          <w:bCs/>
          <w:sz w:val="21"/>
          <w:szCs w:val="24"/>
          <w:lang w:val="en-US" w:eastAsia="zh-CN"/>
        </w:rPr>
      </w:pPr>
    </w:p>
    <w:p w14:paraId="1C03E10C">
      <w:pPr>
        <w:rPr>
          <w:rFonts w:hint="eastAsia" w:ascii="仿宋_GB2312" w:hAnsi="仿宋_GB2312" w:eastAsia="仿宋_GB2312" w:cs="仿宋_GB2312"/>
          <w:b/>
          <w:bCs/>
          <w:sz w:val="21"/>
          <w:szCs w:val="24"/>
          <w:lang w:val="en-US" w:eastAsia="zh-CN"/>
        </w:rPr>
      </w:pPr>
    </w:p>
    <w:p w14:paraId="3C378AA2">
      <w:pPr>
        <w:rPr>
          <w:rFonts w:hint="eastAsia" w:ascii="仿宋_GB2312" w:hAnsi="仿宋_GB2312" w:eastAsia="仿宋_GB2312" w:cs="仿宋_GB2312"/>
          <w:b/>
          <w:bCs/>
          <w:sz w:val="21"/>
          <w:szCs w:val="24"/>
          <w:lang w:val="en-US" w:eastAsia="zh-CN"/>
        </w:rPr>
      </w:pPr>
    </w:p>
    <w:p w14:paraId="312E80AD">
      <w:pPr>
        <w:rPr>
          <w:rFonts w:hint="eastAsia" w:ascii="仿宋_GB2312" w:hAnsi="仿宋_GB2312" w:eastAsia="仿宋_GB2312" w:cs="仿宋_GB2312"/>
          <w:b/>
          <w:bCs/>
          <w:sz w:val="21"/>
          <w:szCs w:val="24"/>
          <w:lang w:val="en-US" w:eastAsia="zh-CN"/>
        </w:rPr>
      </w:pPr>
    </w:p>
    <w:p w14:paraId="21658DA5">
      <w:pPr>
        <w:rPr>
          <w:rFonts w:hint="eastAsia" w:ascii="仿宋_GB2312" w:hAnsi="仿宋_GB2312" w:eastAsia="仿宋_GB2312" w:cs="仿宋_GB2312"/>
          <w:b/>
          <w:bCs/>
          <w:sz w:val="21"/>
          <w:szCs w:val="24"/>
          <w:lang w:val="en-US" w:eastAsia="zh-CN"/>
        </w:rPr>
      </w:pPr>
    </w:p>
    <w:p w14:paraId="7C9349E2">
      <w:pPr>
        <w:rPr>
          <w:rFonts w:hint="eastAsia" w:ascii="仿宋_GB2312" w:hAnsi="仿宋_GB2312" w:eastAsia="仿宋_GB2312" w:cs="仿宋_GB2312"/>
          <w:b/>
          <w:bCs/>
          <w:sz w:val="21"/>
          <w:szCs w:val="24"/>
          <w:lang w:val="en-US" w:eastAsia="zh-CN"/>
        </w:rPr>
      </w:pPr>
    </w:p>
    <w:p w14:paraId="0C020EDB">
      <w:pPr>
        <w:rPr>
          <w:rFonts w:hint="eastAsia" w:ascii="仿宋_GB2312" w:hAnsi="仿宋_GB2312" w:eastAsia="仿宋_GB2312" w:cs="仿宋_GB2312"/>
          <w:b/>
          <w:bCs/>
          <w:sz w:val="21"/>
          <w:szCs w:val="24"/>
          <w:lang w:val="en-US" w:eastAsia="zh-CN"/>
        </w:rPr>
      </w:pPr>
    </w:p>
    <w:p w14:paraId="6EA50A03">
      <w:pPr>
        <w:rPr>
          <w:rFonts w:hint="eastAsia" w:ascii="仿宋_GB2312" w:hAnsi="仿宋_GB2312" w:eastAsia="仿宋_GB2312" w:cs="仿宋_GB2312"/>
          <w:b/>
          <w:bCs/>
          <w:sz w:val="21"/>
          <w:szCs w:val="24"/>
          <w:lang w:val="en-US" w:eastAsia="zh-CN"/>
        </w:rPr>
      </w:pPr>
    </w:p>
    <w:p w14:paraId="4626ED48">
      <w:pPr>
        <w:rPr>
          <w:rFonts w:hint="eastAsia" w:ascii="仿宋_GB2312" w:hAnsi="仿宋_GB2312" w:eastAsia="仿宋_GB2312" w:cs="仿宋_GB2312"/>
          <w:b/>
          <w:bCs/>
          <w:sz w:val="21"/>
          <w:szCs w:val="24"/>
          <w:lang w:val="en-US" w:eastAsia="zh-CN"/>
        </w:rPr>
      </w:pPr>
    </w:p>
    <w:p w14:paraId="67C7B613">
      <w:pPr>
        <w:rPr>
          <w:rFonts w:hint="eastAsia" w:ascii="仿宋_GB2312" w:hAnsi="仿宋_GB2312" w:eastAsia="仿宋_GB2312" w:cs="仿宋_GB2312"/>
          <w:b/>
          <w:bCs/>
          <w:sz w:val="21"/>
          <w:szCs w:val="24"/>
          <w:lang w:val="en-US" w:eastAsia="zh-CN"/>
        </w:rPr>
      </w:pPr>
    </w:p>
    <w:p w14:paraId="2D3BE8BF">
      <w:pPr>
        <w:rPr>
          <w:rFonts w:hint="eastAsia" w:ascii="仿宋_GB2312" w:hAnsi="仿宋_GB2312" w:eastAsia="仿宋_GB2312" w:cs="仿宋_GB2312"/>
          <w:b/>
          <w:bCs/>
          <w:sz w:val="21"/>
          <w:szCs w:val="24"/>
          <w:lang w:val="en-US" w:eastAsia="zh-CN"/>
        </w:rPr>
      </w:pPr>
    </w:p>
    <w:p w14:paraId="4A349385">
      <w:pPr>
        <w:rPr>
          <w:rFonts w:hint="eastAsia" w:ascii="仿宋_GB2312" w:hAnsi="仿宋_GB2312" w:eastAsia="仿宋_GB2312" w:cs="仿宋_GB2312"/>
          <w:b/>
          <w:bCs/>
          <w:sz w:val="21"/>
          <w:szCs w:val="24"/>
          <w:lang w:val="en-US" w:eastAsia="zh-CN"/>
        </w:rPr>
      </w:pPr>
    </w:p>
    <w:p w14:paraId="7BA9C316">
      <w:pPr>
        <w:rPr>
          <w:rFonts w:hint="eastAsia" w:ascii="仿宋_GB2312" w:hAnsi="仿宋_GB2312" w:eastAsia="仿宋_GB2312" w:cs="仿宋_GB2312"/>
          <w:b/>
          <w:bCs/>
          <w:sz w:val="21"/>
          <w:szCs w:val="24"/>
          <w:lang w:val="en-US" w:eastAsia="zh-CN"/>
        </w:rPr>
      </w:pPr>
    </w:p>
    <w:p w14:paraId="4FE8B818">
      <w:pPr>
        <w:rPr>
          <w:rFonts w:hint="eastAsia" w:ascii="仿宋_GB2312" w:hAnsi="仿宋_GB2312" w:eastAsia="仿宋_GB2312" w:cs="仿宋_GB2312"/>
          <w:b/>
          <w:bCs/>
          <w:sz w:val="21"/>
          <w:szCs w:val="24"/>
          <w:lang w:val="en-US" w:eastAsia="zh-CN"/>
        </w:rPr>
      </w:pPr>
    </w:p>
    <w:p w14:paraId="067989F3">
      <w:pPr>
        <w:rPr>
          <w:rFonts w:hint="eastAsia" w:ascii="仿宋_GB2312" w:hAnsi="仿宋_GB2312" w:eastAsia="仿宋_GB2312" w:cs="仿宋_GB2312"/>
          <w:b/>
          <w:bCs/>
          <w:sz w:val="21"/>
          <w:szCs w:val="24"/>
          <w:lang w:val="en-US" w:eastAsia="zh-CN"/>
        </w:rPr>
      </w:pPr>
    </w:p>
    <w:p w14:paraId="3A372A4B">
      <w:pPr>
        <w:rPr>
          <w:rFonts w:hint="eastAsia" w:ascii="仿宋_GB2312" w:hAnsi="仿宋_GB2312" w:eastAsia="仿宋_GB2312" w:cs="仿宋_GB2312"/>
          <w:b/>
          <w:bCs/>
          <w:sz w:val="21"/>
          <w:szCs w:val="24"/>
          <w:lang w:val="en-US" w:eastAsia="zh-CN"/>
        </w:rPr>
      </w:pPr>
    </w:p>
    <w:p w14:paraId="573714F1">
      <w:pPr>
        <w:rPr>
          <w:rFonts w:hint="eastAsia" w:ascii="仿宋_GB2312" w:hAnsi="仿宋_GB2312" w:eastAsia="仿宋_GB2312" w:cs="仿宋_GB2312"/>
          <w:b/>
          <w:bCs/>
          <w:sz w:val="21"/>
          <w:szCs w:val="24"/>
          <w:lang w:val="en-US" w:eastAsia="zh-CN"/>
        </w:rPr>
      </w:pPr>
    </w:p>
    <w:p w14:paraId="47E69D45">
      <w:pPr>
        <w:rPr>
          <w:rFonts w:hint="eastAsia" w:ascii="仿宋_GB2312" w:hAnsi="仿宋_GB2312" w:eastAsia="仿宋_GB2312" w:cs="仿宋_GB2312"/>
          <w:b/>
          <w:bCs/>
          <w:sz w:val="21"/>
          <w:szCs w:val="24"/>
          <w:lang w:val="en-US" w:eastAsia="zh-CN"/>
        </w:rPr>
      </w:pPr>
    </w:p>
    <w:p w14:paraId="53DEACB6">
      <w:pPr>
        <w:rPr>
          <w:rFonts w:hint="eastAsia" w:ascii="仿宋_GB2312" w:hAnsi="仿宋_GB2312" w:eastAsia="仿宋_GB2312" w:cs="仿宋_GB2312"/>
          <w:b/>
          <w:bCs/>
          <w:sz w:val="21"/>
          <w:szCs w:val="24"/>
          <w:lang w:val="en-US" w:eastAsia="zh-CN"/>
        </w:rPr>
      </w:pPr>
    </w:p>
    <w:p w14:paraId="55998DD8">
      <w:pPr>
        <w:rPr>
          <w:rFonts w:hint="eastAsia" w:ascii="仿宋_GB2312" w:hAnsi="仿宋_GB2312" w:eastAsia="仿宋_GB2312" w:cs="仿宋_GB2312"/>
          <w:b/>
          <w:bCs/>
          <w:sz w:val="21"/>
          <w:szCs w:val="24"/>
          <w:lang w:val="en-US" w:eastAsia="zh-CN"/>
        </w:rPr>
      </w:pPr>
    </w:p>
    <w:p w14:paraId="455BAED3">
      <w:pPr>
        <w:rPr>
          <w:rFonts w:hint="eastAsia" w:ascii="仿宋_GB2312" w:hAnsi="仿宋_GB2312" w:eastAsia="仿宋_GB2312" w:cs="仿宋_GB2312"/>
          <w:b/>
          <w:bCs/>
          <w:sz w:val="21"/>
          <w:szCs w:val="24"/>
          <w:lang w:val="en-US" w:eastAsia="zh-CN"/>
        </w:rPr>
      </w:pPr>
    </w:p>
    <w:p w14:paraId="5D8A8854">
      <w:pPr>
        <w:pStyle w:val="2"/>
        <w:rPr>
          <w:rFonts w:hint="eastAsia" w:ascii="仿宋_GB2312" w:hAnsi="仿宋_GB2312" w:eastAsia="仿宋_GB2312" w:cs="仿宋_GB2312"/>
          <w:b/>
          <w:bCs/>
          <w:sz w:val="21"/>
          <w:szCs w:val="24"/>
          <w:lang w:val="en-US" w:eastAsia="zh-CN"/>
        </w:rPr>
      </w:pPr>
    </w:p>
    <w:p w14:paraId="6A4F1CB7">
      <w:pPr>
        <w:pStyle w:val="2"/>
        <w:rPr>
          <w:rFonts w:hint="eastAsia" w:ascii="仿宋_GB2312" w:hAnsi="仿宋_GB2312" w:eastAsia="仿宋_GB2312" w:cs="仿宋_GB2312"/>
          <w:b/>
          <w:bCs/>
          <w:sz w:val="21"/>
          <w:szCs w:val="24"/>
          <w:lang w:val="en-US" w:eastAsia="zh-CN"/>
        </w:rPr>
      </w:pPr>
    </w:p>
    <w:p w14:paraId="44987AE4">
      <w:pPr>
        <w:rPr>
          <w:rFonts w:hint="eastAsia" w:ascii="仿宋_GB2312" w:hAnsi="仿宋_GB2312" w:eastAsia="仿宋_GB2312" w:cs="仿宋_GB2312"/>
          <w:b/>
          <w:bCs/>
          <w:sz w:val="21"/>
          <w:szCs w:val="24"/>
          <w:lang w:val="en-US" w:eastAsia="zh-CN"/>
        </w:rPr>
      </w:pPr>
    </w:p>
    <w:p w14:paraId="0D195F86">
      <w:pPr>
        <w:rPr>
          <w:rFonts w:hint="eastAsia" w:ascii="仿宋_GB2312" w:hAnsi="仿宋_GB2312" w:eastAsia="仿宋_GB2312" w:cs="仿宋_GB2312"/>
          <w:b/>
          <w:bCs/>
          <w:sz w:val="21"/>
          <w:szCs w:val="24"/>
          <w:lang w:val="en-US" w:eastAsia="zh-CN"/>
        </w:rPr>
      </w:pPr>
    </w:p>
    <w:p w14:paraId="6FBEC30A">
      <w:pPr>
        <w:rPr>
          <w:rFonts w:hint="eastAsia" w:ascii="仿宋_GB2312" w:hAnsi="仿宋_GB2312" w:eastAsia="仿宋_GB2312" w:cs="仿宋_GB2312"/>
          <w:b/>
          <w:bCs/>
          <w:sz w:val="21"/>
          <w:szCs w:val="24"/>
          <w:lang w:val="en-US" w:eastAsia="zh-CN"/>
        </w:rPr>
      </w:pPr>
    </w:p>
    <w:p w14:paraId="5ECB6771">
      <w:pPr>
        <w:rPr>
          <w:rFonts w:hint="eastAsia" w:ascii="仿宋_GB2312" w:hAnsi="仿宋_GB2312" w:eastAsia="仿宋_GB2312" w:cs="仿宋_GB2312"/>
          <w:b/>
          <w:bCs/>
          <w:sz w:val="21"/>
          <w:szCs w:val="24"/>
          <w:lang w:val="en-US" w:eastAsia="zh-CN"/>
        </w:rPr>
      </w:pPr>
    </w:p>
    <w:p w14:paraId="1D36BD59">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p>
    <w:p w14:paraId="3F49F1E8">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14:paraId="12135C82">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351D72CE">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14:paraId="515D148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72B4B09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（一）项目概况</w:t>
      </w:r>
    </w:p>
    <w:p w14:paraId="66F16A4F">
      <w:pPr>
        <w:spacing w:line="580" w:lineRule="exact"/>
        <w:ind w:firstLine="627" w:firstLineChars="196"/>
        <w:rPr>
          <w:rFonts w:hint="eastAsia"/>
        </w:rPr>
      </w:pPr>
      <w:r>
        <w:rPr>
          <w:rFonts w:hint="eastAsia" w:ascii="仿宋_GB2312" w:eastAsia="仿宋_GB2312"/>
          <w:sz w:val="32"/>
          <w:szCs w:val="32"/>
          <w:lang w:val="en-US" w:eastAsia="zh-CN"/>
        </w:rPr>
        <w:t>单位根据</w:t>
      </w:r>
      <w:r>
        <w:rPr>
          <w:rFonts w:hint="eastAsia" w:ascii="仿宋_GB2312" w:eastAsia="仿宋_GB2312"/>
          <w:sz w:val="32"/>
          <w:szCs w:val="32"/>
        </w:rPr>
        <w:t>《中华人民共和国公共文化服务保障法》</w:t>
      </w:r>
      <w:r>
        <w:rPr>
          <w:rFonts w:hint="eastAsia" w:ascii="仿宋_GB2312" w:eastAsia="仿宋_GB2312"/>
          <w:sz w:val="32"/>
          <w:szCs w:val="32"/>
          <w:lang w:eastAsia="zh-CN"/>
        </w:rPr>
        <w:t>、</w:t>
      </w:r>
      <w:r>
        <w:rPr>
          <w:rFonts w:hint="eastAsia"/>
        </w:rPr>
        <w:t xml:space="preserve"> </w:t>
      </w:r>
      <w:r>
        <w:rPr>
          <w:rFonts w:hint="eastAsia" w:ascii="仿宋_GB2312" w:eastAsia="仿宋_GB2312"/>
          <w:sz w:val="32"/>
          <w:szCs w:val="32"/>
        </w:rPr>
        <w:t>2023年公共文化经费预分配表</w:t>
      </w:r>
      <w:r>
        <w:rPr>
          <w:rFonts w:hint="eastAsia" w:ascii="仿宋_GB2312" w:eastAsia="仿宋_GB2312"/>
          <w:sz w:val="32"/>
          <w:szCs w:val="32"/>
          <w:lang w:val="en-US" w:eastAsia="zh-CN"/>
        </w:rPr>
        <w:t>开展工作。</w:t>
      </w:r>
    </w:p>
    <w:p w14:paraId="7F7330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eastAsia="仿宋_GB2312"/>
          <w:sz w:val="32"/>
          <w:szCs w:val="32"/>
        </w:rPr>
        <w:t>经费</w:t>
      </w:r>
      <w:r>
        <w:rPr>
          <w:rFonts w:hint="eastAsia" w:ascii="仿宋_GB2312" w:hAnsi="仿宋_GB2312" w:eastAsia="仿宋_GB2312" w:cs="仿宋_GB2312"/>
          <w:sz w:val="32"/>
          <w:szCs w:val="32"/>
        </w:rPr>
        <w:t>来源于财政资金，全年预算数</w:t>
      </w:r>
      <w:r>
        <w:rPr>
          <w:rFonts w:hint="eastAsia" w:ascii="仿宋_GB2312" w:hAnsi="仿宋_GB2312" w:eastAsia="仿宋_GB2312" w:cs="仿宋_GB2312"/>
          <w:sz w:val="32"/>
          <w:szCs w:val="32"/>
          <w:lang w:val="en-US" w:eastAsia="zh-CN"/>
        </w:rPr>
        <w:t>为184.56</w:t>
      </w:r>
      <w:r>
        <w:rPr>
          <w:rFonts w:hint="eastAsia" w:ascii="仿宋_GB2312" w:hAnsi="仿宋_GB2312" w:eastAsia="仿宋_GB2312" w:cs="仿宋_GB2312"/>
          <w:sz w:val="32"/>
          <w:szCs w:val="32"/>
        </w:rPr>
        <w:t>万元，全年执行数为</w:t>
      </w:r>
      <w:r>
        <w:rPr>
          <w:rFonts w:hint="eastAsia" w:ascii="仿宋_GB2312" w:hAnsi="仿宋_GB2312" w:eastAsia="仿宋_GB2312" w:cs="仿宋_GB2312"/>
          <w:sz w:val="32"/>
          <w:szCs w:val="32"/>
          <w:lang w:val="en-US" w:eastAsia="zh-CN"/>
        </w:rPr>
        <w:t>0.54</w:t>
      </w:r>
      <w:r>
        <w:rPr>
          <w:rFonts w:hint="eastAsia" w:ascii="仿宋_GB2312" w:hAnsi="仿宋_GB2312" w:eastAsia="仿宋_GB2312" w:cs="仿宋_GB2312"/>
          <w:sz w:val="32"/>
          <w:szCs w:val="32"/>
        </w:rPr>
        <w:t>万元，执行率为</w:t>
      </w:r>
      <w:r>
        <w:rPr>
          <w:rFonts w:hint="eastAsia" w:ascii="仿宋_GB2312" w:hAnsi="仿宋_GB2312" w:eastAsia="仿宋_GB2312" w:cs="仿宋_GB2312"/>
          <w:sz w:val="32"/>
          <w:szCs w:val="32"/>
          <w:lang w:val="en-US" w:eastAsia="zh-CN"/>
        </w:rPr>
        <w:t>0.29</w:t>
      </w:r>
      <w:r>
        <w:rPr>
          <w:rFonts w:hint="eastAsia" w:ascii="仿宋_GB2312" w:hAnsi="仿宋_GB2312" w:eastAsia="仿宋_GB2312" w:cs="仿宋_GB2312"/>
          <w:sz w:val="32"/>
          <w:szCs w:val="32"/>
        </w:rPr>
        <w:t>%。资金使用具有安全性、规范性及有效性，支付标准、支付进度、支付依据合规合法、与预算相符。</w:t>
      </w:r>
      <w:r>
        <w:rPr>
          <w:rFonts w:hint="eastAsia" w:ascii="仿宋_GB2312" w:eastAsia="仿宋_GB2312"/>
          <w:sz w:val="32"/>
          <w:szCs w:val="32"/>
        </w:rPr>
        <w:t>经费</w:t>
      </w:r>
      <w:r>
        <w:rPr>
          <w:rFonts w:hint="eastAsia" w:ascii="仿宋_GB2312" w:hAnsi="仿宋_GB2312" w:eastAsia="仿宋_GB2312" w:cs="仿宋_GB2312"/>
          <w:sz w:val="32"/>
          <w:szCs w:val="32"/>
        </w:rPr>
        <w:t>到位数为</w:t>
      </w:r>
      <w:r>
        <w:rPr>
          <w:rFonts w:hint="eastAsia" w:ascii="仿宋_GB2312" w:hAnsi="仿宋_GB2312" w:eastAsia="仿宋_GB2312" w:cs="仿宋_GB2312"/>
          <w:sz w:val="32"/>
          <w:szCs w:val="32"/>
          <w:lang w:val="en-US" w:eastAsia="zh-CN"/>
        </w:rPr>
        <w:t>184.56</w:t>
      </w:r>
      <w:r>
        <w:rPr>
          <w:rFonts w:hint="eastAsia" w:ascii="仿宋_GB2312" w:hAnsi="仿宋_GB2312" w:eastAsia="仿宋_GB2312" w:cs="仿宋_GB2312"/>
          <w:sz w:val="32"/>
          <w:szCs w:val="32"/>
        </w:rPr>
        <w:t>万元、及时性高、到位率为100%。</w:t>
      </w:r>
    </w:p>
    <w:p w14:paraId="64D76FCB">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仿宋" w:hAnsi="仿宋" w:eastAsia="仿宋" w:cs="仿宋"/>
          <w:color w:val="000000"/>
          <w:kern w:val="0"/>
          <w:sz w:val="30"/>
          <w:szCs w:val="30"/>
        </w:rPr>
      </w:pPr>
      <w:r>
        <w:rPr>
          <w:rFonts w:hint="eastAsia" w:ascii="仿宋_GB2312" w:hAnsi="仿宋_GB2312" w:eastAsia="仿宋_GB2312" w:cs="仿宋_GB2312"/>
          <w:b w:val="0"/>
          <w:bCs w:val="0"/>
          <w:color w:val="auto"/>
          <w:sz w:val="32"/>
          <w:szCs w:val="32"/>
        </w:rPr>
        <w:t>项目绩效目标</w:t>
      </w:r>
      <w:r>
        <w:rPr>
          <w:rFonts w:hint="eastAsia" w:ascii="仿宋" w:hAnsi="仿宋" w:eastAsia="仿宋" w:cs="仿宋"/>
          <w:color w:val="000000"/>
          <w:kern w:val="0"/>
          <w:sz w:val="30"/>
          <w:szCs w:val="30"/>
        </w:rPr>
        <w:t xml:space="preserve"> </w:t>
      </w:r>
    </w:p>
    <w:p w14:paraId="078707B4">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textAlignment w:val="auto"/>
        <w:rPr>
          <w:rFonts w:hint="default"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 xml:space="preserve">    </w:t>
      </w:r>
      <w:r>
        <w:rPr>
          <w:rFonts w:hint="eastAsia" w:ascii="仿宋_GB2312" w:eastAsia="仿宋_GB2312" w:cs="Times New Roman"/>
          <w:sz w:val="32"/>
          <w:szCs w:val="32"/>
          <w:lang w:val="en-US" w:eastAsia="zh-CN"/>
        </w:rPr>
        <w:t xml:space="preserve"> 1.总体目标</w:t>
      </w:r>
    </w:p>
    <w:p w14:paraId="08685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Times New Roman"/>
          <w:sz w:val="32"/>
          <w:szCs w:val="32"/>
        </w:rPr>
      </w:pPr>
      <w:r>
        <w:rPr>
          <w:rFonts w:hint="eastAsia" w:ascii="仿宋_GB2312" w:eastAsia="仿宋_GB2312" w:cs="Times New Roman"/>
          <w:sz w:val="32"/>
          <w:szCs w:val="32"/>
        </w:rPr>
        <w:t xml:space="preserve">深入贯彻落实《关于加快构建现代公共文化服务体系的意见》，逐步建立便捷高效的群众文化服务体系，提升文化惠民服务、文艺精品创作服务、文化传承服务等方面，为基层公共文化“零距离”工程推波助澜，夯实数字文化馆建设与公共文化服务品牌建设基础，进一步深化群众文化体制改革，努力探索群众文化工作有效途径，使公共文化服务的内容和手段更加丰富，服务质量显著提升，积极推动我区群众文化事业的蓬勃发展。 </w:t>
      </w:r>
    </w:p>
    <w:p w14:paraId="0FDEDD17">
      <w:pPr>
        <w:spacing w:line="580" w:lineRule="exact"/>
        <w:ind w:firstLine="615"/>
        <w:rPr>
          <w:rFonts w:hint="eastAsia" w:ascii="仿宋_GB2312" w:hAnsi="仿宋" w:eastAsia="仿宋_GB2312" w:cs="Times New Roman"/>
          <w:sz w:val="32"/>
          <w:szCs w:val="32"/>
          <w:lang w:val="en-US" w:eastAsia="zh-CN"/>
        </w:rPr>
      </w:pPr>
      <w:r>
        <w:rPr>
          <w:rFonts w:hint="eastAsia" w:ascii="仿宋_GB2312" w:eastAsia="仿宋_GB2312" w:cs="Times New Roman"/>
          <w:sz w:val="32"/>
          <w:szCs w:val="32"/>
          <w:lang w:val="en-US" w:eastAsia="zh-CN"/>
        </w:rPr>
        <w:t>2.具体目标</w:t>
      </w:r>
    </w:p>
    <w:p w14:paraId="38EC16B0">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为深入学习领会</w:t>
      </w:r>
      <w:r>
        <w:rPr>
          <w:rFonts w:hint="eastAsia" w:ascii="仿宋_GB2312" w:hAnsi="仿宋" w:eastAsia="仿宋_GB2312" w:cs="Times New Roman"/>
          <w:sz w:val="32"/>
          <w:szCs w:val="32"/>
          <w:lang w:eastAsia="zh-CN"/>
        </w:rPr>
        <w:t>习近平新时代中国特色社会主义思想精神</w:t>
      </w:r>
      <w:r>
        <w:rPr>
          <w:rFonts w:hint="eastAsia" w:ascii="仿宋_GB2312" w:hAnsi="仿宋" w:eastAsia="仿宋_GB2312" w:cs="Times New Roman"/>
          <w:sz w:val="32"/>
          <w:szCs w:val="32"/>
        </w:rPr>
        <w:t>，坚持先进文化正确导向，坚持提升公共文化服务效能着重对基层群众的文化培训,将文化渗透到机关、社区群众的日常生活中，进行线上线下培训10期；</w:t>
      </w:r>
    </w:p>
    <w:p w14:paraId="155F53AA">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2</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不断满足广满足人民群众日益增长的精神文化需求,推动群众文化活跃发展,根据2022 年五华区文化馆工作实际,开展精品文艺节目创作。计划创作音乐、舞蹈、和曲艺精品文艺作品 1-2 个；</w:t>
      </w:r>
    </w:p>
    <w:p w14:paraId="144C63F9">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认真组织形式多样以歌颂共产党好、社会 主义好、改革开放好、伟大祖国好为主旋律的流动演出服务， 甄选优秀演出作品以现场演出方式为社区群众送上高品质 的文艺汇演。于春节、元旦、五一、中秋节日组织举办大型 文艺展演活动共四场。进社区小型文艺活动 20 场。</w:t>
      </w:r>
    </w:p>
    <w:p w14:paraId="6295F86D">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4</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举行翠湖博物馆群管弦乐小型演奏会；</w:t>
      </w:r>
    </w:p>
    <w:p w14:paraId="627891E5">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5</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满足群众日益增长的文化需求五华区文化和旅游 局、五华区文化馆将举办 2023 年五华区“党建引领筑育红 色舞台 文化共享谱写百姓欢歌”群众广场舞大赛；</w:t>
      </w:r>
    </w:p>
    <w:p w14:paraId="24FEA958">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6</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在28中教授非遗课程；</w:t>
      </w:r>
    </w:p>
    <w:p w14:paraId="2DC95C84">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7</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邀请省花灯歌舞剧院专业教师对五华区辖区内的业余团队进行花灯培训，全年共3期；</w:t>
      </w:r>
    </w:p>
    <w:p w14:paraId="0695BA78">
      <w:pPr>
        <w:spacing w:line="580" w:lineRule="exact"/>
        <w:ind w:firstLine="615"/>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8</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文化馆数字化平台建设及运营，文化场馆内外维护费、消防器材更换以及安保设备的维护</w:t>
      </w:r>
      <w:r>
        <w:rPr>
          <w:rFonts w:hint="eastAsia" w:ascii="仿宋_GB2312" w:hAnsi="仿宋" w:eastAsia="仿宋_GB2312" w:cs="Times New Roman"/>
          <w:sz w:val="32"/>
          <w:szCs w:val="32"/>
          <w:lang w:eastAsia="zh-CN"/>
        </w:rPr>
        <w:t>；</w:t>
      </w:r>
    </w:p>
    <w:p w14:paraId="284CF939">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9</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 xml:space="preserve">在全区中小学开展“戏曲艺术进校园活动”23场次。        </w:t>
      </w:r>
    </w:p>
    <w:p w14:paraId="62CD5194">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（三）项目组织管理情况</w:t>
      </w:r>
    </w:p>
    <w:p w14:paraId="5338BCEF">
      <w:pPr>
        <w:spacing w:line="580" w:lineRule="exact"/>
        <w:ind w:firstLine="615"/>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1.制度建设</w:t>
      </w:r>
    </w:p>
    <w:p w14:paraId="7F8D4D77">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为加强项目资金的管理，制定了《财务管理制度》《资金管理办法》《内部控制制度》财务管理制度健全具体，能够确保财政资金有效、合规的使用。严守财经纪律，按照量入为出、保障重点、规范运作的原则，严格控制各项开支，提高经费的使用效率。按照财政下达的年度预算和专项经费划拨需要，合理安排经费开支，保证专款专用。项目资金使用监督岗由部办公室履行监督职责，对项目实施过程进行检查和跟踪，发现问题及时提出改进意见和处理措施，并督促执行科室纠正。</w:t>
      </w:r>
    </w:p>
    <w:p w14:paraId="6A938A80">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2. 管理流程</w:t>
      </w:r>
    </w:p>
    <w:p w14:paraId="18521836">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为保障工作的有序推进,高质量完成此项工作,成立项目领导小组，由局主要领导任组长，分管领导任副组长，相关科室（中心、校）负责人为成员，负责专项工作整体方案的制定、组织管理、统筹协调、检查监督、考核验收和绩效管理评价。</w:t>
      </w:r>
    </w:p>
    <w:p w14:paraId="43110C28">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3.组织实施</w:t>
      </w:r>
    </w:p>
    <w:p w14:paraId="419315CD">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为保障项目的实施</w:t>
      </w:r>
      <w:r>
        <w:rPr>
          <w:rFonts w:hint="eastAsia" w:ascii="仿宋_GB2312" w:hAnsi="仿宋" w:eastAsia="仿宋_GB2312" w:cs="Times New Roman"/>
          <w:sz w:val="32"/>
          <w:szCs w:val="32"/>
          <w:lang w:eastAsia="zh-CN"/>
        </w:rPr>
        <w:t>昆明市五华区文化馆</w:t>
      </w:r>
      <w:r>
        <w:rPr>
          <w:rFonts w:hint="eastAsia" w:ascii="仿宋_GB2312" w:hAnsi="仿宋" w:eastAsia="仿宋_GB2312" w:cs="Times New Roman"/>
          <w:sz w:val="32"/>
          <w:szCs w:val="32"/>
        </w:rPr>
        <w:t>细化项目明细，严格控制成本，通过每季度绩效跟踪的办法加强绩效管理，提高绩效认识。</w:t>
      </w:r>
    </w:p>
    <w:p w14:paraId="3540B56A">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二、绩效评价工作开展情况</w:t>
      </w:r>
    </w:p>
    <w:p w14:paraId="4C9C7032">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（一）绩效评价目的、对象和范围。</w:t>
      </w:r>
    </w:p>
    <w:p w14:paraId="20ED53D9">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通过本次绩效评价，总结</w:t>
      </w:r>
      <w:r>
        <w:rPr>
          <w:rFonts w:hint="eastAsia" w:ascii="仿宋_GB2312" w:hAnsi="仿宋" w:eastAsia="仿宋_GB2312" w:cs="Times New Roman"/>
          <w:sz w:val="32"/>
          <w:szCs w:val="32"/>
          <w:lang w:val="en-US" w:eastAsia="zh-CN"/>
        </w:rPr>
        <w:t>群众文化项目经费</w:t>
      </w:r>
      <w:r>
        <w:rPr>
          <w:rFonts w:hint="eastAsia" w:ascii="仿宋_GB2312" w:hAnsi="仿宋" w:eastAsia="仿宋_GB2312" w:cs="Times New Roman"/>
          <w:sz w:val="32"/>
          <w:szCs w:val="32"/>
        </w:rPr>
        <w:t>项目支出在决策、执行等方面的经验，查找其存在的不足，提出相关科学合理的政策建议，从而加强和规范</w:t>
      </w:r>
      <w:r>
        <w:rPr>
          <w:rFonts w:hint="eastAsia" w:ascii="仿宋_GB2312" w:hAnsi="仿宋" w:eastAsia="仿宋_GB2312" w:cs="Times New Roman"/>
          <w:sz w:val="32"/>
          <w:szCs w:val="32"/>
          <w:lang w:eastAsia="zh-CN"/>
        </w:rPr>
        <w:t>昆明市五华区文化馆局</w:t>
      </w:r>
      <w:r>
        <w:rPr>
          <w:rFonts w:hint="eastAsia" w:ascii="仿宋_GB2312" w:hAnsi="仿宋" w:eastAsia="仿宋_GB2312" w:cs="Times New Roman"/>
          <w:sz w:val="32"/>
          <w:szCs w:val="32"/>
        </w:rPr>
        <w:t>预算管理工作，合理配置公共资源，促进财政资金在</w:t>
      </w:r>
      <w:r>
        <w:rPr>
          <w:rFonts w:hint="eastAsia" w:ascii="仿宋_GB2312" w:hAnsi="仿宋" w:eastAsia="仿宋_GB2312" w:cs="Times New Roman"/>
          <w:sz w:val="32"/>
          <w:szCs w:val="32"/>
          <w:lang w:val="en-US" w:eastAsia="zh-CN"/>
        </w:rPr>
        <w:t>群众文化项目经费</w:t>
      </w:r>
      <w:r>
        <w:rPr>
          <w:rFonts w:hint="eastAsia" w:ascii="仿宋_GB2312" w:hAnsi="仿宋" w:eastAsia="仿宋_GB2312" w:cs="Times New Roman"/>
          <w:sz w:val="32"/>
          <w:szCs w:val="32"/>
        </w:rPr>
        <w:t>支出项目中的使用效益。</w:t>
      </w:r>
    </w:p>
    <w:p w14:paraId="7304D87B">
      <w:pPr>
        <w:spacing w:line="580" w:lineRule="exact"/>
        <w:ind w:firstLine="615"/>
        <w:rPr>
          <w:rFonts w:hint="eastAsia" w:ascii="仿宋_GB2312" w:hAnsi="仿宋" w:eastAsia="仿宋_GB2312" w:cs="Times New Roman"/>
          <w:sz w:val="32"/>
          <w:szCs w:val="32"/>
        </w:rPr>
      </w:pPr>
      <w:r>
        <w:rPr>
          <w:rFonts w:hint="eastAsia" w:ascii="仿宋_GB2312" w:hAnsi="仿宋" w:eastAsia="仿宋_GB2312" w:cs="Times New Roman"/>
          <w:sz w:val="32"/>
          <w:szCs w:val="32"/>
        </w:rPr>
        <w:t>本次绩效评价对象为</w:t>
      </w:r>
      <w:r>
        <w:rPr>
          <w:rFonts w:hint="eastAsia" w:ascii="仿宋_GB2312" w:hAnsi="仿宋" w:eastAsia="仿宋_GB2312" w:cs="Times New Roman"/>
          <w:sz w:val="32"/>
          <w:szCs w:val="32"/>
          <w:lang w:val="en-US" w:eastAsia="zh-CN"/>
        </w:rPr>
        <w:t>群众文化项目经费</w:t>
      </w:r>
      <w:r>
        <w:rPr>
          <w:rFonts w:hint="eastAsia" w:ascii="仿宋_GB2312" w:hAnsi="仿宋" w:eastAsia="仿宋_GB2312" w:cs="Times New Roman"/>
          <w:sz w:val="32"/>
          <w:szCs w:val="32"/>
        </w:rPr>
        <w:t>项目支出，评价范围为202</w:t>
      </w: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年</w:t>
      </w:r>
      <w:r>
        <w:rPr>
          <w:rFonts w:hint="eastAsia" w:ascii="仿宋_GB2312" w:hAnsi="仿宋" w:eastAsia="仿宋_GB2312" w:cs="Times New Roman"/>
          <w:sz w:val="32"/>
          <w:szCs w:val="32"/>
          <w:lang w:val="en-US" w:eastAsia="zh-CN"/>
        </w:rPr>
        <w:t>项目资金使用的决策，过程，产出，效益。</w:t>
      </w:r>
    </w:p>
    <w:p w14:paraId="6DCA4CC5">
      <w:pPr>
        <w:keepNext w:val="0"/>
        <w:keepLines w:val="0"/>
        <w:pageBreakBefore w:val="0"/>
        <w:numPr>
          <w:ilvl w:val="0"/>
          <w:numId w:val="1"/>
        </w:numPr>
        <w:kinsoku/>
        <w:wordWrap/>
        <w:overflowPunct/>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绩效评价原则、依据、评价指标体系、评价方法、评价标准、评价抽样等。</w:t>
      </w:r>
    </w:p>
    <w:p w14:paraId="720A0301">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val="0"/>
          <w:bCs/>
          <w:sz w:val="32"/>
          <w:szCs w:val="32"/>
        </w:rPr>
        <w:t>1.绩效评价的原则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标准</w:t>
      </w:r>
      <w:r>
        <w:rPr>
          <w:rFonts w:hint="eastAsia" w:ascii="仿宋_GB2312" w:hAnsi="仿宋_GB2312" w:eastAsia="仿宋_GB2312" w:cs="仿宋_GB2312"/>
          <w:b w:val="0"/>
          <w:bCs/>
          <w:sz w:val="32"/>
          <w:szCs w:val="32"/>
        </w:rPr>
        <w:t>：</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 1 \* GB3</w:instrText>
      </w:r>
      <w:r>
        <w:rPr>
          <w:rFonts w:ascii="仿宋_GB2312" w:hAnsi="仿宋_GB2312" w:eastAsia="仿宋_GB2312" w:cs="仿宋_GB2312"/>
          <w:sz w:val="32"/>
          <w:szCs w:val="32"/>
        </w:rPr>
        <w:instrText xml:space="preserve"> </w:instrText>
      </w:r>
      <w:r>
        <w:rPr>
          <w:rFonts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①</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科学公正。绩效评价应当运用科学合理的方法，按照规范的程序，对项目绩效进行客观、公正的反映；</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 2 \* GB3</w:instrText>
      </w:r>
      <w:r>
        <w:rPr>
          <w:rFonts w:ascii="仿宋_GB2312" w:hAnsi="仿宋_GB2312" w:eastAsia="仿宋_GB2312" w:cs="仿宋_GB2312"/>
          <w:sz w:val="32"/>
          <w:szCs w:val="32"/>
        </w:rPr>
        <w:instrText xml:space="preserve"> </w:instrText>
      </w:r>
      <w:r>
        <w:rPr>
          <w:rFonts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②</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统筹兼顾。单位自评、部门评价和财政评价应职责明确，各有侧重，相互衔接。单位自评应由项目单位自主实施，即“谁支出、谁自评”。部门评价和财政评价应在单位自评的基础上开展，必要时可委托第三方机构实施；</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 3 \* GB3</w:instrText>
      </w:r>
      <w:r>
        <w:rPr>
          <w:rFonts w:ascii="仿宋_GB2312" w:hAnsi="仿宋_GB2312" w:eastAsia="仿宋_GB2312" w:cs="仿宋_GB2312"/>
          <w:sz w:val="32"/>
          <w:szCs w:val="32"/>
        </w:rPr>
        <w:instrText xml:space="preserve"> </w:instrText>
      </w:r>
      <w:r>
        <w:rPr>
          <w:rFonts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③</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激励约束。绩效评价结果应与预算安排、政策调整、改进管理实质性挂钩，体现奖优罚劣和激励相容导向，有效要安排、低效要压减、无效要问责；</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 4 \* GB3</w:instrText>
      </w:r>
      <w:r>
        <w:rPr>
          <w:rFonts w:ascii="仿宋_GB2312" w:hAnsi="仿宋_GB2312" w:eastAsia="仿宋_GB2312" w:cs="仿宋_GB2312"/>
          <w:sz w:val="32"/>
          <w:szCs w:val="32"/>
        </w:rPr>
        <w:instrText xml:space="preserve"> </w:instrText>
      </w:r>
      <w:r>
        <w:rPr>
          <w:rFonts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④</w:t>
      </w:r>
      <w:r>
        <w:rPr>
          <w:rFonts w:ascii="仿宋_GB2312" w:hAnsi="仿宋_GB2312" w:eastAsia="仿宋_GB2312" w:cs="仿宋_GB2312"/>
          <w:sz w:val="32"/>
          <w:szCs w:val="32"/>
        </w:rPr>
        <w:fldChar w:fldCharType="end"/>
      </w:r>
      <w:r>
        <w:rPr>
          <w:rFonts w:hint="eastAsia" w:ascii="仿宋_GB2312" w:hAnsi="仿宋_GB2312" w:eastAsia="仿宋_GB2312" w:cs="仿宋_GB2312"/>
          <w:sz w:val="32"/>
          <w:szCs w:val="32"/>
        </w:rPr>
        <w:t>公开透明。绩效评价结果应依法依规公开，并自觉接受社会监督。</w:t>
      </w:r>
    </w:p>
    <w:p w14:paraId="2F3588FB">
      <w:pPr>
        <w:topLinePunct/>
        <w:spacing w:line="520" w:lineRule="exact"/>
        <w:ind w:firstLine="640" w:firstLineChars="200"/>
        <w:rPr>
          <w:rFonts w:ascii="楷体" w:hAnsi="楷体" w:eastAsia="楷体"/>
          <w:szCs w:val="32"/>
        </w:rPr>
      </w:pPr>
      <w:r>
        <w:rPr>
          <w:rFonts w:hint="eastAsia" w:ascii="仿宋_GB2312" w:hAnsi="楷体" w:eastAsia="仿宋_GB2312"/>
          <w:b w:val="0"/>
          <w:bCs/>
          <w:sz w:val="32"/>
          <w:szCs w:val="32"/>
        </w:rPr>
        <w:t>2.绩效评价依据：</w:t>
      </w:r>
      <w:r>
        <w:rPr>
          <w:rFonts w:hint="eastAsia" w:ascii="仿宋_GB2312" w:hAnsi="楷体" w:eastAsia="仿宋_GB2312"/>
          <w:sz w:val="32"/>
          <w:szCs w:val="32"/>
          <w:lang w:eastAsia="zh-CN"/>
        </w:rPr>
        <w:t>昆明市五华区文化馆</w:t>
      </w:r>
      <w:r>
        <w:rPr>
          <w:rFonts w:hint="eastAsia" w:ascii="仿宋_GB2312" w:hAnsi="楷体" w:eastAsia="仿宋_GB2312"/>
          <w:sz w:val="32"/>
          <w:szCs w:val="32"/>
        </w:rPr>
        <w:t>局202</w:t>
      </w:r>
      <w:r>
        <w:rPr>
          <w:rFonts w:hint="eastAsia" w:ascii="仿宋_GB2312" w:hAnsi="楷体" w:eastAsia="仿宋_GB2312"/>
          <w:sz w:val="32"/>
          <w:szCs w:val="32"/>
          <w:lang w:val="en-US" w:eastAsia="zh-CN"/>
        </w:rPr>
        <w:t>3</w:t>
      </w:r>
      <w:r>
        <w:rPr>
          <w:rFonts w:hint="eastAsia" w:ascii="仿宋_GB2312" w:hAnsi="楷体" w:eastAsia="仿宋_GB2312"/>
          <w:sz w:val="32"/>
          <w:szCs w:val="32"/>
        </w:rPr>
        <w:t>年的工作计划以及202</w:t>
      </w:r>
      <w:r>
        <w:rPr>
          <w:rFonts w:hint="eastAsia" w:ascii="仿宋_GB2312" w:hAnsi="楷体" w:eastAsia="仿宋_GB2312"/>
          <w:sz w:val="32"/>
          <w:szCs w:val="32"/>
          <w:lang w:val="en-US" w:eastAsia="zh-CN"/>
        </w:rPr>
        <w:t>3</w:t>
      </w:r>
      <w:r>
        <w:rPr>
          <w:rFonts w:hint="eastAsia" w:ascii="仿宋_GB2312" w:hAnsi="楷体" w:eastAsia="仿宋_GB2312"/>
          <w:sz w:val="32"/>
          <w:szCs w:val="32"/>
        </w:rPr>
        <w:t>年预算管理和绩效跟踪。</w:t>
      </w:r>
    </w:p>
    <w:p w14:paraId="1D525F85">
      <w:pPr>
        <w:spacing w:line="560" w:lineRule="exact"/>
        <w:ind w:firstLine="640" w:firstLineChars="200"/>
        <w:rPr>
          <w:rFonts w:hint="eastAsia" w:ascii="仿宋_GB2312" w:hAnsi="楷体" w:eastAsia="仿宋_GB2312"/>
          <w:sz w:val="32"/>
          <w:szCs w:val="32"/>
        </w:rPr>
      </w:pPr>
      <w:r>
        <w:rPr>
          <w:rFonts w:hint="eastAsia" w:ascii="仿宋_GB2312" w:hAnsi="楷体" w:eastAsia="仿宋_GB2312"/>
          <w:b w:val="0"/>
          <w:bCs/>
          <w:sz w:val="32"/>
          <w:szCs w:val="32"/>
        </w:rPr>
        <w:t>3.绩效评价</w:t>
      </w:r>
      <w:r>
        <w:rPr>
          <w:rFonts w:hint="eastAsia" w:ascii="仿宋_GB2312" w:hAnsi="楷体" w:eastAsia="仿宋_GB2312"/>
          <w:b w:val="0"/>
          <w:bCs/>
          <w:sz w:val="32"/>
          <w:szCs w:val="32"/>
          <w:lang w:val="en-US" w:eastAsia="zh-CN"/>
        </w:rPr>
        <w:t>指标体系、方法</w:t>
      </w:r>
      <w:r>
        <w:rPr>
          <w:rFonts w:hint="eastAsia" w:ascii="仿宋_GB2312" w:hAnsi="楷体" w:eastAsia="仿宋_GB2312"/>
          <w:b w:val="0"/>
          <w:bCs/>
          <w:sz w:val="32"/>
          <w:szCs w:val="32"/>
        </w:rPr>
        <w:t>：</w:t>
      </w:r>
      <w:r>
        <w:rPr>
          <w:rFonts w:hint="eastAsia" w:ascii="仿宋_GB2312" w:hAnsi="楷体" w:eastAsia="仿宋_GB2312"/>
          <w:sz w:val="32"/>
          <w:szCs w:val="32"/>
          <w:lang w:eastAsia="zh-CN"/>
        </w:rPr>
        <w:t>昆明市五华区文化馆</w:t>
      </w:r>
      <w:r>
        <w:rPr>
          <w:rFonts w:hint="eastAsia" w:ascii="仿宋_GB2312" w:hAnsi="楷体" w:eastAsia="仿宋_GB2312"/>
          <w:sz w:val="32"/>
          <w:szCs w:val="32"/>
        </w:rPr>
        <w:t>局确认当年度项目支出的绩效目标→梳理单位内部管理制度及存量资源→分析确定当年度项目支出的评价重点→构建绩效评价指标体系。</w:t>
      </w:r>
    </w:p>
    <w:p w14:paraId="6A1E8E5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（三）绩效评价工作过程。</w:t>
      </w:r>
    </w:p>
    <w:p w14:paraId="093802BE">
      <w:pPr>
        <w:spacing w:line="560" w:lineRule="exact"/>
        <w:ind w:firstLine="640" w:firstLineChars="200"/>
        <w:rPr>
          <w:rFonts w:hint="eastAsia" w:ascii="仿宋_GB2312" w:hAnsi="楷体" w:eastAsia="仿宋_GB2312" w:cs="Times New Roman"/>
          <w:b w:val="0"/>
          <w:bCs/>
          <w:sz w:val="32"/>
          <w:szCs w:val="32"/>
          <w:lang w:val="en-US" w:eastAsia="zh-CN"/>
        </w:rPr>
      </w:pPr>
      <w:r>
        <w:rPr>
          <w:rFonts w:hint="eastAsia" w:ascii="仿宋_GB2312" w:hAnsi="楷体" w:eastAsia="仿宋_GB2312" w:cs="Times New Roman"/>
          <w:b w:val="0"/>
          <w:bCs/>
          <w:sz w:val="32"/>
          <w:szCs w:val="32"/>
          <w:lang w:val="en-US" w:eastAsia="zh-CN"/>
        </w:rPr>
        <w:t>1、确定绩效评价对象；2、下达绩效评价通知，在实施具体评价工作前，应下达评价通知，内容包括评价任务、目的、依据、评价时间和有关要求等；3、确定绩效评价工作人员，由主管部门或负责单位绩效评价小组，负责绩效评价工作的组织领导；4、制订绩效评价工作方案，工作方案的基本内容包括：评价对象与负责人、评价目的、评价的依据、评价指标、评价标准、评价工作的时间安排、拟采用的评价方法、拟选用的评价标准、需要被评价对象及单位准备的评价资料及相关工作要求。5、收集绩效评价相关资料，评价小组根据需要，采取现场勘查、问卷调查与询问等多种方式收集基础资料。基础资料包括绩效评价对象的基本概况、财务信息、统计报表、财政资金使用情况、绩效自我评价报告等；6、对资料进行审查核实；7、综合分析并形成评价结论，评价资料整理出后，评价小组按照评价方案的要求进行评价工作，并作出评价的初步结论；8、撰写与提交评价报告。</w:t>
      </w:r>
    </w:p>
    <w:p w14:paraId="112B4979">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w:t>
      </w:r>
    </w:p>
    <w:p w14:paraId="0A9AE66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（一）绩效评价综合结论。</w:t>
      </w:r>
    </w:p>
    <w:p w14:paraId="655E9C08">
      <w:pPr>
        <w:spacing w:line="560" w:lineRule="exact"/>
        <w:ind w:firstLine="640" w:firstLineChars="200"/>
        <w:rPr>
          <w:rFonts w:hint="eastAsia" w:ascii="仿宋_GB2312" w:hAnsi="楷体" w:eastAsia="仿宋_GB2312" w:cs="Times New Roman"/>
          <w:b w:val="0"/>
          <w:bCs/>
          <w:sz w:val="32"/>
          <w:szCs w:val="32"/>
          <w:lang w:val="en-US" w:eastAsia="zh-CN"/>
        </w:rPr>
      </w:pPr>
      <w:r>
        <w:rPr>
          <w:rFonts w:hint="eastAsia" w:ascii="仿宋_GB2312" w:hAnsi="楷体" w:eastAsia="仿宋_GB2312" w:cs="Times New Roman"/>
          <w:b w:val="0"/>
          <w:bCs/>
          <w:sz w:val="32"/>
          <w:szCs w:val="32"/>
          <w:lang w:val="en-US" w:eastAsia="zh-CN"/>
        </w:rPr>
        <w:t>2023年我单位群众文化项目经费项目评价总体得分为79分，总体来看项目完成情况适中，可作为下一年度的相关开展重要依据。</w:t>
      </w:r>
    </w:p>
    <w:p w14:paraId="20803226">
      <w:pPr>
        <w:keepNext w:val="0"/>
        <w:keepLines w:val="0"/>
        <w:pageBreakBefore w:val="0"/>
        <w:widowControl/>
        <w:numPr>
          <w:ilvl w:val="0"/>
          <w:numId w:val="2"/>
        </w:numPr>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绩效目标实现情况等。</w:t>
      </w:r>
    </w:p>
    <w:p w14:paraId="06B79A86">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群众文艺精品创作</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，线上线下培训期数</w:t>
      </w:r>
      <w:r>
        <w:rPr>
          <w:rFonts w:hint="eastAsia" w:ascii="仿宋_GB2312" w:hAnsi="仿宋_GB2312" w:eastAsia="仿宋_GB2312" w:cs="仿宋_GB2312"/>
          <w:sz w:val="32"/>
          <w:szCs w:val="32"/>
          <w:lang w:val="en-US" w:eastAsia="zh-CN"/>
        </w:rPr>
        <w:t>15期，进社区小型文艺活动5场，举办广场舞大赛1次，活动出勤率达到90%，培训合格率达到90%，提升基层群众的文化，提升公共文化服务效能，丰富群众文化生活。</w:t>
      </w:r>
    </w:p>
    <w:p w14:paraId="4E91B06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705571F1">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（一）项目决策情况分析</w:t>
      </w:r>
      <w:r>
        <w:rPr>
          <w:rFonts w:hint="eastAsia" w:ascii="仿宋_GB2312" w:hAnsi="仿宋_GB2312" w:eastAsia="仿宋_GB2312" w:cs="仿宋_GB2312"/>
          <w:color w:val="auto"/>
          <w:sz w:val="32"/>
          <w:szCs w:val="32"/>
          <w:lang w:eastAsia="zh-CN"/>
        </w:rPr>
        <w:t>。</w:t>
      </w:r>
    </w:p>
    <w:p w14:paraId="6D2FAE3E">
      <w:pPr>
        <w:spacing w:line="560" w:lineRule="exact"/>
        <w:ind w:firstLine="640" w:firstLineChars="200"/>
        <w:rPr>
          <w:rFonts w:hint="eastAsia" w:ascii="仿宋_GB2312" w:hAnsi="楷体" w:eastAsia="仿宋_GB2312" w:cs="Times New Roman"/>
          <w:b w:val="0"/>
          <w:bCs/>
          <w:sz w:val="32"/>
          <w:szCs w:val="32"/>
          <w:lang w:val="en-US" w:eastAsia="zh-CN"/>
        </w:rPr>
      </w:pPr>
      <w:r>
        <w:rPr>
          <w:rFonts w:hint="eastAsia" w:ascii="仿宋_GB2312" w:hAnsi="楷体" w:eastAsia="仿宋_GB2312" w:cs="Times New Roman"/>
          <w:b w:val="0"/>
          <w:bCs/>
          <w:sz w:val="32"/>
          <w:szCs w:val="32"/>
          <w:lang w:val="en-US" w:eastAsia="zh-CN"/>
        </w:rPr>
        <w:t>2023年我单位群众文化项目经费项目立项完全符合法律法规、相关政策、发展规划以及部门职责，并且项目申请、设立过程符合相关要求。本项目所设定的绩效目标依据充分，符合客观实际；依据绩效目标设定的绩效指标清晰、细化、可衡量；项目预算编制经过科学论证、有明确标准，资金额度与年度目标相适应；项目预算资金分配有测算依据，与地方实际相适应。</w:t>
      </w:r>
    </w:p>
    <w:p w14:paraId="71A46932">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项目过程情况分析。</w:t>
      </w:r>
    </w:p>
    <w:p w14:paraId="73F7FA90">
      <w:pPr>
        <w:spacing w:line="560" w:lineRule="exact"/>
        <w:ind w:firstLine="640" w:firstLineChars="200"/>
        <w:rPr>
          <w:rFonts w:hint="eastAsia" w:ascii="仿宋_GB2312" w:hAnsi="楷体" w:eastAsia="仿宋_GB2312" w:cs="Times New Roman"/>
          <w:b w:val="0"/>
          <w:bCs/>
          <w:sz w:val="32"/>
          <w:szCs w:val="32"/>
          <w:lang w:val="en-US" w:eastAsia="zh-CN"/>
        </w:rPr>
      </w:pPr>
      <w:r>
        <w:rPr>
          <w:rFonts w:hint="eastAsia" w:ascii="仿宋_GB2312" w:hAnsi="楷体" w:eastAsia="仿宋_GB2312" w:cs="Times New Roman"/>
          <w:b w:val="0"/>
          <w:bCs/>
          <w:sz w:val="32"/>
          <w:szCs w:val="32"/>
          <w:lang w:val="en-US" w:eastAsia="zh-CN"/>
        </w:rPr>
        <w:t>群众文化项目经费实际到位资金与预算资金的比率为100%，项目预算资金按照计划执行，项目资金使用符合相关的财务管理制度规定，项目实施单位的财务和业务管理制度健全，项目实施符合相关管理规定。</w:t>
      </w:r>
    </w:p>
    <w:p w14:paraId="625C346B">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项目产出情况分析。</w:t>
      </w:r>
    </w:p>
    <w:p w14:paraId="2F9A7FCC">
      <w:pPr>
        <w:pStyle w:val="2"/>
        <w:rPr>
          <w:rFonts w:hint="eastAsia"/>
        </w:rPr>
      </w:pPr>
      <w:r>
        <w:rPr>
          <w:rFonts w:hint="eastAsia" w:ascii="仿宋_GB2312" w:hAnsi="仿宋_GB2312" w:eastAsia="仿宋_GB2312" w:cs="仿宋_GB2312"/>
          <w:sz w:val="32"/>
          <w:szCs w:val="32"/>
        </w:rPr>
        <w:t>群众文艺精品创作</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，线上线下培训期数</w:t>
      </w:r>
      <w:r>
        <w:rPr>
          <w:rFonts w:hint="eastAsia" w:ascii="仿宋_GB2312" w:hAnsi="仿宋_GB2312" w:eastAsia="仿宋_GB2312" w:cs="仿宋_GB2312"/>
          <w:sz w:val="32"/>
          <w:szCs w:val="32"/>
          <w:lang w:val="en-US" w:eastAsia="zh-CN"/>
        </w:rPr>
        <w:t>15期，进社区小型文艺活动5场，举办广场舞大赛1次，活动出勤率达到90%，培训合格率达到90%。</w:t>
      </w:r>
    </w:p>
    <w:p w14:paraId="5713EC62">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项目效益情况分析。</w:t>
      </w:r>
    </w:p>
    <w:p w14:paraId="0498B4BE">
      <w:pPr>
        <w:pStyle w:val="2"/>
        <w:rPr>
          <w:rFonts w:hint="eastAsia"/>
        </w:rPr>
      </w:pPr>
      <w:r>
        <w:rPr>
          <w:rFonts w:hint="eastAsia" w:ascii="仿宋_GB2312" w:hAnsi="仿宋_GB2312" w:eastAsia="仿宋_GB2312" w:cs="仿宋_GB2312"/>
          <w:sz w:val="32"/>
          <w:szCs w:val="32"/>
          <w:lang w:val="en-US" w:eastAsia="zh-CN"/>
        </w:rPr>
        <w:t>提升基层群众的文化，提升公共文化服务效能，丰富群众文化生活。</w:t>
      </w:r>
    </w:p>
    <w:p w14:paraId="073B4CCE">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主要经验及做法</w:t>
      </w:r>
    </w:p>
    <w:p w14:paraId="286DA8DA">
      <w:pPr>
        <w:pStyle w:val="17"/>
        <w:keepNext w:val="0"/>
        <w:keepLines w:val="0"/>
        <w:pageBreakBefore w:val="0"/>
        <w:kinsoku/>
        <w:wordWrap/>
        <w:bidi w:val="0"/>
        <w:snapToGrid/>
        <w:spacing w:before="0" w:beforeAutospacing="0" w:afterAutospacing="0" w:line="560" w:lineRule="exact"/>
        <w:ind w:firstLine="640" w:firstLineChars="200"/>
        <w:textAlignment w:val="auto"/>
        <w:rPr>
          <w:rFonts w:hint="eastAsia"/>
        </w:rPr>
      </w:pPr>
      <w:r>
        <w:rPr>
          <w:rFonts w:hint="eastAsia" w:ascii="仿宋" w:hAnsi="仿宋" w:eastAsia="仿宋" w:cs="Arial"/>
          <w:sz w:val="32"/>
          <w:szCs w:val="32"/>
        </w:rPr>
        <w:t>提高绩效管理认识，</w:t>
      </w:r>
      <w:r>
        <w:rPr>
          <w:rFonts w:hint="eastAsia" w:ascii="仿宋" w:hAnsi="仿宋" w:eastAsia="仿宋"/>
          <w:sz w:val="32"/>
          <w:szCs w:val="32"/>
        </w:rPr>
        <w:t>通过设立目标有利于项目决策的制定，有助于项目的实施管理。项目实施前应结合本单位自身</w:t>
      </w:r>
      <w:r>
        <w:rPr>
          <w:rFonts w:hint="eastAsia" w:ascii="仿宋" w:hAnsi="仿宋" w:eastAsia="仿宋" w:cs="Arial"/>
          <w:sz w:val="32"/>
          <w:szCs w:val="32"/>
        </w:rPr>
        <w:t>情况，设定明确、合理的绩效目标，并将目标量化、细化分解，与预算资金相匹配起来。</w:t>
      </w:r>
      <w:r>
        <w:rPr>
          <w:rFonts w:hint="eastAsia" w:ascii="仿宋" w:hAnsi="仿宋" w:eastAsia="仿宋" w:cs="Arial"/>
          <w:sz w:val="32"/>
          <w:szCs w:val="32"/>
          <w:lang w:eastAsia="zh-CN"/>
        </w:rPr>
        <w:t>昆明市五华区文化馆</w:t>
      </w:r>
      <w:r>
        <w:rPr>
          <w:rFonts w:hint="eastAsia" w:ascii="仿宋" w:hAnsi="仿宋" w:eastAsia="仿宋" w:cs="Arial"/>
          <w:sz w:val="32"/>
          <w:szCs w:val="32"/>
        </w:rPr>
        <w:t>认真对待绩效自评，针对自身情况对实施项目提出合理的问题及建议，逐步提高绩效管理认识。</w:t>
      </w:r>
    </w:p>
    <w:p w14:paraId="7F0D2F5A">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存在的问题及原因分析</w:t>
      </w:r>
    </w:p>
    <w:p w14:paraId="1EF2E18A">
      <w:pPr>
        <w:pStyle w:val="17"/>
        <w:keepNext w:val="0"/>
        <w:keepLines w:val="0"/>
        <w:pageBreakBefore w:val="0"/>
        <w:kinsoku/>
        <w:wordWrap/>
        <w:bidi w:val="0"/>
        <w:snapToGrid/>
        <w:spacing w:before="0" w:beforeAutospacing="0" w:afterAutospacing="0" w:line="560" w:lineRule="exact"/>
        <w:ind w:firstLine="640" w:firstLineChars="200"/>
        <w:textAlignment w:val="auto"/>
        <w:rPr>
          <w:rFonts w:hint="eastAsia"/>
        </w:rPr>
      </w:pPr>
      <w:r>
        <w:rPr>
          <w:rFonts w:hint="eastAsia" w:ascii="仿宋" w:hAnsi="仿宋" w:eastAsia="仿宋" w:cs="Arial"/>
          <w:sz w:val="32"/>
          <w:szCs w:val="32"/>
        </w:rPr>
        <w:t>绩效管理认识不够，在填报项目支出时不够细化分解、量化。绩效评价未针对自身情况提出合理的问题及建议，绩效管理认识不够，应积极跟踪项目实施进度。</w:t>
      </w:r>
    </w:p>
    <w:p w14:paraId="04CBB843">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有关建议</w:t>
      </w:r>
    </w:p>
    <w:p w14:paraId="768D83D7">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（一）改进措施</w:t>
      </w:r>
    </w:p>
    <w:p w14:paraId="3F77F670">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ascii="仿宋" w:hAnsi="仿宋" w:eastAsia="仿宋"/>
          <w:b w:val="0"/>
          <w:bCs w:val="0"/>
          <w:sz w:val="32"/>
          <w:szCs w:val="32"/>
        </w:rPr>
      </w:pPr>
      <w:r>
        <w:rPr>
          <w:rFonts w:ascii="仿宋" w:hAnsi="仿宋" w:eastAsia="仿宋"/>
          <w:b w:val="0"/>
          <w:bCs w:val="0"/>
          <w:sz w:val="32"/>
          <w:szCs w:val="32"/>
        </w:rPr>
        <w:t>1</w:t>
      </w:r>
      <w:r>
        <w:rPr>
          <w:rFonts w:hint="eastAsia" w:ascii="仿宋" w:hAnsi="仿宋" w:eastAsia="仿宋"/>
          <w:b w:val="0"/>
          <w:bCs w:val="0"/>
          <w:sz w:val="32"/>
          <w:szCs w:val="32"/>
        </w:rPr>
        <w:t>、单位管理措施</w:t>
      </w:r>
    </w:p>
    <w:p w14:paraId="4070803F">
      <w:pPr>
        <w:keepNext w:val="0"/>
        <w:keepLines w:val="0"/>
        <w:pageBreakBefore w:val="0"/>
        <w:widowControl/>
        <w:shd w:val="clear" w:color="auto" w:fill="FFFFFF"/>
        <w:kinsoku/>
        <w:wordWrap/>
        <w:bidi w:val="0"/>
        <w:snapToGrid/>
        <w:spacing w:beforeAutospacing="0" w:afterAutospacing="0" w:line="560" w:lineRule="exact"/>
        <w:ind w:firstLine="640" w:firstLineChars="200"/>
        <w:textAlignment w:val="auto"/>
        <w:rPr>
          <w:rFonts w:ascii="仿宋" w:hAnsi="仿宋" w:eastAsia="仿宋" w:cs="Arial"/>
          <w:sz w:val="32"/>
          <w:szCs w:val="32"/>
        </w:rPr>
      </w:pPr>
      <w:r>
        <w:rPr>
          <w:rFonts w:hint="eastAsia" w:ascii="仿宋" w:hAnsi="仿宋" w:eastAsia="仿宋" w:cs="Arial"/>
          <w:sz w:val="32"/>
          <w:szCs w:val="32"/>
          <w:lang w:eastAsia="zh-CN"/>
        </w:rPr>
        <w:t>昆明市五华区文化馆</w:t>
      </w:r>
      <w:r>
        <w:rPr>
          <w:rFonts w:hint="eastAsia" w:ascii="仿宋" w:hAnsi="仿宋" w:eastAsia="仿宋" w:cs="Arial"/>
          <w:sz w:val="32"/>
          <w:szCs w:val="32"/>
        </w:rPr>
        <w:t>要加强对预算绩效管理的组织领导，切实转变思想观念，牢固树立绩效意识，积极履行预算绩效管理主体责任，按照预算和绩效管理一体化要求，结合自身业务特点，深入分析</w:t>
      </w:r>
      <w:r>
        <w:rPr>
          <w:rFonts w:hint="eastAsia" w:ascii="仿宋" w:hAnsi="仿宋" w:eastAsia="仿宋" w:cs="Arial"/>
          <w:sz w:val="32"/>
          <w:szCs w:val="32"/>
          <w:lang w:eastAsia="zh-CN"/>
        </w:rPr>
        <w:t>昆明市五华区文化馆</w:t>
      </w:r>
      <w:r>
        <w:rPr>
          <w:rFonts w:hint="eastAsia" w:ascii="仿宋" w:hAnsi="仿宋" w:eastAsia="仿宋" w:cs="Arial"/>
          <w:sz w:val="32"/>
          <w:szCs w:val="32"/>
        </w:rPr>
        <w:t>预算绩效管理工作实际，建立健全部门预算绩效管理工作组织体系和制度体系，优化预算管理流程，完善内控制度，加强预算绩效管理力量，充实预算绩效管理人员，明确落实部门内部绩效管理牵头部门、人员及事前绩效评估、绩效目标设置、绩效跟踪监控、绩效评价的责任分工，将绩效管理责任分解落实到具体部门、明确到具体责任人，加强业务工作与财务工作紧密衔接，确保每一笔资金花得安全、用得高效，推动全面实施预算绩效管理工作常态化、制度化、规范化。　</w:t>
      </w:r>
    </w:p>
    <w:p w14:paraId="51E25BC1">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ascii="仿宋" w:hAnsi="仿宋" w:eastAsia="仿宋" w:cs="Arial"/>
          <w:b w:val="0"/>
          <w:bCs w:val="0"/>
          <w:sz w:val="32"/>
          <w:szCs w:val="32"/>
        </w:rPr>
      </w:pPr>
      <w:r>
        <w:rPr>
          <w:rFonts w:ascii="仿宋" w:hAnsi="仿宋" w:eastAsia="仿宋" w:cs="Arial"/>
          <w:b w:val="0"/>
          <w:bCs w:val="0"/>
          <w:sz w:val="32"/>
          <w:szCs w:val="32"/>
        </w:rPr>
        <w:t>2</w:t>
      </w:r>
      <w:r>
        <w:rPr>
          <w:rFonts w:hint="eastAsia" w:ascii="仿宋" w:hAnsi="仿宋" w:eastAsia="仿宋" w:cs="Arial"/>
          <w:b w:val="0"/>
          <w:bCs w:val="0"/>
          <w:sz w:val="32"/>
          <w:szCs w:val="32"/>
        </w:rPr>
        <w:t>、财政管理措施</w:t>
      </w:r>
    </w:p>
    <w:p w14:paraId="030A05AC">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ascii="仿宋" w:hAnsi="仿宋" w:eastAsia="仿宋" w:cs="Arial"/>
          <w:sz w:val="32"/>
          <w:szCs w:val="32"/>
        </w:rPr>
      </w:pPr>
      <w:r>
        <w:rPr>
          <w:rFonts w:hint="eastAsia" w:ascii="仿宋" w:hAnsi="仿宋" w:eastAsia="仿宋" w:cs="Arial"/>
          <w:sz w:val="32"/>
          <w:szCs w:val="32"/>
        </w:rPr>
        <w:t>根据项目实施进度及时拨付资金，尽可能减少资金拨付环节和资金拨付时间，避免资金闲置、截留，提高资金使用效率，避免造成财政资源浪费。</w:t>
      </w:r>
    </w:p>
    <w:p w14:paraId="70FCF13D">
      <w:pPr>
        <w:keepNext w:val="0"/>
        <w:keepLines w:val="0"/>
        <w:pageBreakBefore w:val="0"/>
        <w:widowControl/>
        <w:kinsoku/>
        <w:wordWrap/>
        <w:overflowPunct w:val="0"/>
        <w:autoSpaceDE w:val="0"/>
        <w:autoSpaceDN w:val="0"/>
        <w:bidi w:val="0"/>
        <w:adjustRightInd w:val="0"/>
        <w:snapToGrid/>
        <w:spacing w:beforeAutospacing="0" w:afterAutospacing="0"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（二）建议</w:t>
      </w:r>
    </w:p>
    <w:p w14:paraId="1CA557C7">
      <w:pPr>
        <w:pStyle w:val="17"/>
        <w:keepNext w:val="0"/>
        <w:keepLines w:val="0"/>
        <w:pageBreakBefore w:val="0"/>
        <w:kinsoku/>
        <w:wordWrap/>
        <w:bidi w:val="0"/>
        <w:snapToGrid/>
        <w:spacing w:before="0" w:beforeAutospacing="0" w:afterAutospacing="0" w:line="560" w:lineRule="exact"/>
        <w:ind w:firstLine="640" w:firstLineChars="200"/>
        <w:textAlignment w:val="auto"/>
        <w:rPr>
          <w:rFonts w:hint="eastAsia"/>
        </w:rPr>
      </w:pPr>
      <w:r>
        <w:rPr>
          <w:rFonts w:hint="eastAsia" w:ascii="仿宋" w:hAnsi="仿宋" w:eastAsia="仿宋" w:cs="Arial"/>
          <w:sz w:val="32"/>
          <w:szCs w:val="32"/>
          <w:lang w:eastAsia="zh-CN"/>
        </w:rPr>
        <w:t>昆明市五华区文化馆</w:t>
      </w:r>
      <w:r>
        <w:rPr>
          <w:rFonts w:hint="eastAsia" w:ascii="仿宋" w:hAnsi="仿宋" w:eastAsia="仿宋" w:cs="Arial"/>
          <w:sz w:val="32"/>
          <w:szCs w:val="32"/>
        </w:rPr>
        <w:t>积极参加预算绩效管理培训并结合实际情况，汇总、对比以往年度项目预算，从而科学、有依据的做出下一年的项目资金预算，编制更为合理的预算，优化项目资金预算。</w:t>
      </w:r>
    </w:p>
    <w:p w14:paraId="216946F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lang w:eastAsia="zh-CN"/>
        </w:rPr>
      </w:pPr>
      <w:r>
        <w:rPr>
          <w:rFonts w:hint="eastAsia" w:ascii="黑体" w:hAnsi="黑体" w:eastAsia="黑体" w:cs="黑体"/>
          <w:color w:val="auto"/>
          <w:sz w:val="32"/>
          <w:szCs w:val="32"/>
        </w:rPr>
        <w:t>八、其他需要说明的问题</w:t>
      </w:r>
    </w:p>
    <w:p w14:paraId="750B40FF">
      <w:pPr>
        <w:pStyle w:val="16"/>
        <w:jc w:val="both"/>
        <w:rPr>
          <w:rFonts w:hint="default" w:ascii="仿宋" w:hAnsi="仿宋" w:eastAsia="仿宋" w:cs="Arial"/>
          <w:kern w:val="2"/>
          <w:sz w:val="32"/>
          <w:szCs w:val="32"/>
          <w:lang w:val="en-US" w:eastAsia="zh-CN" w:bidi="ar-SA"/>
        </w:rPr>
      </w:pPr>
      <w:r>
        <w:rPr>
          <w:rFonts w:hint="eastAsia" w:ascii="仿宋" w:hAnsi="仿宋" w:eastAsia="仿宋" w:cs="Arial"/>
          <w:kern w:val="2"/>
          <w:sz w:val="32"/>
          <w:szCs w:val="32"/>
          <w:lang w:val="en-US" w:eastAsia="zh-CN" w:bidi="ar-SA"/>
        </w:rPr>
        <w:t>无</w:t>
      </w:r>
    </w:p>
    <w:p w14:paraId="0B1EC349">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方正小标宋简体" w:hAnsi="方正小标宋简体" w:eastAsia="方正小标宋简体" w:cs="方正小标宋简体"/>
          <w:color w:val="auto"/>
          <w:sz w:val="44"/>
          <w:szCs w:val="44"/>
          <w:lang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3：</w:t>
      </w:r>
    </w:p>
    <w:p w14:paraId="39C9BC71">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昆明市五华区文化馆局群众文化项目经费项目</w:t>
      </w:r>
      <w:r>
        <w:rPr>
          <w:rFonts w:hint="eastAsia" w:ascii="方正小标宋简体" w:hAnsi="方正小标宋简体" w:eastAsia="方正小标宋简体" w:cs="方正小标宋简体"/>
          <w:color w:val="auto"/>
          <w:sz w:val="44"/>
          <w:szCs w:val="44"/>
        </w:rPr>
        <w:t>绩效</w:t>
      </w:r>
      <w:r>
        <w:rPr>
          <w:rFonts w:hint="eastAsia" w:ascii="方正小标宋简体" w:hAnsi="方正小标宋简体" w:eastAsia="方正小标宋简体" w:cs="方正小标宋简体"/>
          <w:color w:val="auto"/>
          <w:sz w:val="44"/>
          <w:szCs w:val="44"/>
          <w:lang w:eastAsia="zh-CN"/>
        </w:rPr>
        <w:t>评价</w:t>
      </w:r>
      <w:r>
        <w:rPr>
          <w:rFonts w:hint="eastAsia" w:ascii="方正小标宋简体" w:hAnsi="方正小标宋简体" w:eastAsia="方正小标宋简体" w:cs="方正小标宋简体"/>
          <w:color w:val="auto"/>
          <w:sz w:val="44"/>
          <w:szCs w:val="44"/>
        </w:rPr>
        <w:t>问题清单</w:t>
      </w:r>
    </w:p>
    <w:tbl>
      <w:tblPr>
        <w:tblStyle w:val="18"/>
        <w:tblpPr w:leftFromText="180" w:rightFromText="180" w:vertAnchor="text" w:horzAnchor="page" w:tblpXSpec="center" w:tblpY="269"/>
        <w:tblOverlap w:val="never"/>
        <w:tblW w:w="9118" w:type="dxa"/>
        <w:jc w:val="center"/>
        <w:tblLayout w:type="fixed"/>
        <w:tblCellMar>
          <w:top w:w="0" w:type="dxa"/>
          <w:left w:w="108" w:type="dxa"/>
          <w:bottom w:w="0" w:type="dxa"/>
          <w:right w:w="108" w:type="dxa"/>
        </w:tblCellMar>
      </w:tblPr>
      <w:tblGrid>
        <w:gridCol w:w="2594"/>
        <w:gridCol w:w="886"/>
        <w:gridCol w:w="2018"/>
        <w:gridCol w:w="3620"/>
      </w:tblGrid>
      <w:tr w14:paraId="01AC5071">
        <w:tblPrEx>
          <w:tblCellMar>
            <w:top w:w="0" w:type="dxa"/>
            <w:left w:w="108" w:type="dxa"/>
            <w:bottom w:w="0" w:type="dxa"/>
            <w:right w:w="108" w:type="dxa"/>
          </w:tblCellMar>
        </w:tblPrEx>
        <w:trPr>
          <w:trHeight w:val="589"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0741669C">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问题分类</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6BC3EBA">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73D4958">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项目责任单位</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77CA9F3A">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问题描述</w:t>
            </w:r>
          </w:p>
        </w:tc>
      </w:tr>
      <w:tr w14:paraId="30BE3EA9">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64D6B672">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项目立项存在的问题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2FC06A8C">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753D34C3">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95C15E1">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7B73E48E">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197E40">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4BA7897">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483DC1F8">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417C4E8D">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424FF1D9">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66889B20">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资金管理存在的问题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1C702FEF">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EB233DB">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D020835">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4AB98628">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E1F2D9">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7D70035A">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65DF1B69">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1EF7E46D">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36F7A7A6">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745A8A93">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业务管理存在的问题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2B8D184C">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63398C56">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4F538FA">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126B3144">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B8BB3">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9F44BF5">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6F41B145">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9B74C2F">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7AEACF39">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599F05B7">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项目产出存在的问题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26A9ECF6">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2C92CC6">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ABCA567">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190C0D30">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FB1B92">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C3B1922">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10E2443">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178B79EC">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24DEB6ED">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6FA74A83">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项目效益存在的问题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75A187C">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0BFB00D">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675E6DD">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50631332">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AB161B">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26521D66">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573845C5">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7019C9AA">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65010107">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nil"/>
              <w:right w:val="single" w:color="000000" w:sz="4" w:space="0"/>
            </w:tcBorders>
            <w:noWrap/>
            <w:vAlign w:val="center"/>
          </w:tcPr>
          <w:p w14:paraId="697427A3">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其他问题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57D51B1">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6E05BA5B">
            <w:pPr>
              <w:spacing w:line="420" w:lineRule="exact"/>
              <w:rPr>
                <w:rFonts w:ascii="宋体" w:hAnsi="宋体" w:cs="宋体"/>
                <w:color w:val="000000"/>
                <w:sz w:val="22"/>
                <w:szCs w:val="22"/>
              </w:rPr>
            </w:pPr>
            <w:r>
              <w:rPr>
                <w:rFonts w:hint="eastAsia" w:ascii="宋体" w:hAnsi="宋体" w:cs="宋体"/>
                <w:color w:val="000000"/>
                <w:sz w:val="22"/>
                <w:szCs w:val="22"/>
                <w:lang w:val="en-US" w:eastAsia="zh-CN"/>
              </w:rPr>
              <w:t>昆明市五华区文化馆局</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57D0030C">
            <w:pPr>
              <w:pStyle w:val="16"/>
              <w:ind w:firstLine="0" w:firstLineChars="0"/>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绩效管理认识不够</w:t>
            </w:r>
          </w:p>
          <w:p w14:paraId="4C42FB47">
            <w:pPr>
              <w:spacing w:line="420" w:lineRule="exact"/>
              <w:rPr>
                <w:rFonts w:ascii="宋体" w:hAnsi="宋体" w:cs="宋体"/>
                <w:color w:val="000000"/>
                <w:sz w:val="22"/>
                <w:szCs w:val="22"/>
              </w:rPr>
            </w:pPr>
          </w:p>
        </w:tc>
      </w:tr>
      <w:tr w14:paraId="579938E5">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nil"/>
              <w:right w:val="single" w:color="000000" w:sz="4" w:space="0"/>
            </w:tcBorders>
            <w:noWrap w:val="0"/>
            <w:vAlign w:val="center"/>
          </w:tcPr>
          <w:p w14:paraId="32A14136">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2C230280">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5694F846">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CF58DB0">
            <w:pPr>
              <w:spacing w:line="420" w:lineRule="exact"/>
              <w:rPr>
                <w:rFonts w:ascii="宋体" w:hAnsi="宋体" w:cs="宋体"/>
                <w:color w:val="000000"/>
                <w:sz w:val="22"/>
                <w:szCs w:val="22"/>
              </w:rPr>
            </w:pPr>
          </w:p>
        </w:tc>
      </w:tr>
      <w:tr w14:paraId="722A8526">
        <w:tblPrEx>
          <w:tblCellMar>
            <w:top w:w="0" w:type="dxa"/>
            <w:left w:w="108" w:type="dxa"/>
            <w:bottom w:w="0" w:type="dxa"/>
            <w:right w:w="108" w:type="dxa"/>
          </w:tblCellMar>
        </w:tblPrEx>
        <w:trPr>
          <w:trHeight w:val="680" w:hRule="exact"/>
          <w:jc w:val="center"/>
        </w:trPr>
        <w:tc>
          <w:tcPr>
            <w:tcW w:w="9118" w:type="dxa"/>
            <w:gridSpan w:val="4"/>
            <w:tcBorders>
              <w:top w:val="single" w:color="000000" w:sz="4" w:space="0"/>
              <w:left w:val="single" w:color="000000" w:sz="4" w:space="0"/>
              <w:bottom w:val="single" w:color="000000" w:sz="4" w:space="0"/>
              <w:right w:val="single" w:color="000000" w:sz="4" w:space="0"/>
            </w:tcBorders>
            <w:noWrap/>
            <w:vAlign w:val="top"/>
          </w:tcPr>
          <w:p w14:paraId="290D0A46">
            <w:pPr>
              <w:spacing w:line="420" w:lineRule="exact"/>
              <w:rPr>
                <w:rFonts w:hint="eastAsia" w:ascii="宋体" w:hAnsi="宋体" w:cs="宋体"/>
                <w:color w:val="000000"/>
                <w:kern w:val="0"/>
                <w:sz w:val="24"/>
              </w:rPr>
            </w:pPr>
            <w:r>
              <w:rPr>
                <w:rFonts w:hint="eastAsia" w:ascii="宋体" w:hAnsi="宋体" w:cs="宋体"/>
                <w:color w:val="000000"/>
                <w:kern w:val="0"/>
                <w:sz w:val="24"/>
              </w:rPr>
              <w:t>备  注</w:t>
            </w:r>
            <w:r>
              <w:rPr>
                <w:rFonts w:hint="eastAsia" w:ascii="宋体" w:hAnsi="宋体" w:cs="宋体"/>
                <w:color w:val="000000"/>
                <w:kern w:val="0"/>
                <w:sz w:val="24"/>
                <w:lang w:eastAsia="zh-CN"/>
              </w:rPr>
              <w:t>：</w:t>
            </w:r>
          </w:p>
          <w:p w14:paraId="1600AEE3">
            <w:pPr>
              <w:spacing w:line="420" w:lineRule="exact"/>
              <w:rPr>
                <w:rFonts w:hint="eastAsia" w:ascii="宋体" w:hAnsi="宋体" w:cs="宋体"/>
                <w:color w:val="000000"/>
                <w:kern w:val="0"/>
                <w:sz w:val="24"/>
              </w:rPr>
            </w:pPr>
          </w:p>
        </w:tc>
      </w:tr>
    </w:tbl>
    <w:p w14:paraId="3BBCF233">
      <w:pPr>
        <w:pStyle w:val="16"/>
        <w:ind w:left="0" w:leftChars="0" w:firstLine="0" w:firstLineChars="0"/>
        <w:jc w:val="both"/>
        <w:rPr>
          <w:rFonts w:hint="eastAsia"/>
          <w:lang w:val="en-US" w:eastAsia="zh-CN"/>
        </w:rPr>
      </w:pPr>
    </w:p>
    <w:sectPr>
      <w:headerReference r:id="rId3" w:type="default"/>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54B9BD5-C5FB-48DF-9846-335179962F4A}"/>
  </w:font>
  <w:font w:name="黑体">
    <w:panose1 w:val="02010609060101010101"/>
    <w:charset w:val="86"/>
    <w:family w:val="auto"/>
    <w:pitch w:val="default"/>
    <w:sig w:usb0="800002BF" w:usb1="38CF7CFA" w:usb2="00000016" w:usb3="00000000" w:csb0="00040001" w:csb1="00000000"/>
    <w:embedRegular r:id="rId2" w:fontKey="{11D08460-9E9B-4596-8910-E50553266B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7F7AFF6-EB66-4590-867E-0AB49259F685}"/>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8BA784E6-FDB5-468B-87CF-C523D91210A4}"/>
  </w:font>
  <w:font w:name="方正小标宋简体">
    <w:panose1 w:val="02000000000000000000"/>
    <w:charset w:val="86"/>
    <w:family w:val="auto"/>
    <w:pitch w:val="default"/>
    <w:sig w:usb0="A00002BF" w:usb1="184F6CFA" w:usb2="00000012" w:usb3="00000000" w:csb0="00040001" w:csb1="00000000"/>
    <w:embedRegular r:id="rId5" w:fontKey="{302FC117-A41E-44E6-A0FC-E2BD1FED46A3}"/>
  </w:font>
  <w:font w:name="Wingdings 2">
    <w:panose1 w:val="05020102010507070707"/>
    <w:charset w:val="02"/>
    <w:family w:val="auto"/>
    <w:pitch w:val="default"/>
    <w:sig w:usb0="00000000" w:usb1="00000000" w:usb2="00000000" w:usb3="00000000" w:csb0="80000000" w:csb1="00000000"/>
    <w:embedRegular r:id="rId6" w:fontKey="{EA05B500-928B-4229-B91F-8E2B1257CB86}"/>
  </w:font>
  <w:font w:name="仿宋">
    <w:panose1 w:val="02010609060101010101"/>
    <w:charset w:val="86"/>
    <w:family w:val="auto"/>
    <w:pitch w:val="default"/>
    <w:sig w:usb0="800002BF" w:usb1="38CF7CFA" w:usb2="00000016" w:usb3="00000000" w:csb0="00040001" w:csb1="00000000"/>
    <w:embedRegular r:id="rId7" w:fontKey="{BA9D75B8-C4FC-45C1-BD94-A30BB6D4714A}"/>
  </w:font>
  <w:font w:name="楷体">
    <w:panose1 w:val="02010609060101010101"/>
    <w:charset w:val="86"/>
    <w:family w:val="modern"/>
    <w:pitch w:val="default"/>
    <w:sig w:usb0="800002BF" w:usb1="38CF7CFA" w:usb2="00000016" w:usb3="00000000" w:csb0="00040001" w:csb1="00000000"/>
    <w:embedRegular r:id="rId8" w:fontKey="{66E0AD08-843A-4C7D-93AE-DF0DF4691A3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D5607">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EB6BC"/>
    <w:multiLevelType w:val="singleLevel"/>
    <w:tmpl w:val="8BDEB6BC"/>
    <w:lvl w:ilvl="0" w:tentative="0">
      <w:start w:val="2"/>
      <w:numFmt w:val="chineseCounting"/>
      <w:suff w:val="nothing"/>
      <w:lvlText w:val="（%1）"/>
      <w:lvlJc w:val="left"/>
      <w:rPr>
        <w:rFonts w:hint="eastAsia"/>
      </w:rPr>
    </w:lvl>
  </w:abstractNum>
  <w:abstractNum w:abstractNumId="1">
    <w:nsid w:val="3C0F6D32"/>
    <w:multiLevelType w:val="singleLevel"/>
    <w:tmpl w:val="3C0F6D32"/>
    <w:lvl w:ilvl="0" w:tentative="0">
      <w:start w:val="5"/>
      <w:numFmt w:val="chineseCounting"/>
      <w:suff w:val="nothing"/>
      <w:lvlText w:val="%1、"/>
      <w:lvlJc w:val="left"/>
      <w:rPr>
        <w:rFonts w:hint="eastAsia"/>
      </w:rPr>
    </w:lvl>
  </w:abstractNum>
  <w:abstractNum w:abstractNumId="2">
    <w:nsid w:val="6FF9A464"/>
    <w:multiLevelType w:val="singleLevel"/>
    <w:tmpl w:val="6FF9A46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4ZjIzZDNkZjExMjk2YzI4ZjIzZWY4NzU3ZTEwNjUifQ=="/>
  </w:docVars>
  <w:rsids>
    <w:rsidRoot w:val="0020402E"/>
    <w:rsid w:val="00017A8F"/>
    <w:rsid w:val="00047AB7"/>
    <w:rsid w:val="0009075B"/>
    <w:rsid w:val="00090D52"/>
    <w:rsid w:val="00146EE9"/>
    <w:rsid w:val="00175F9F"/>
    <w:rsid w:val="001852BB"/>
    <w:rsid w:val="001D0E44"/>
    <w:rsid w:val="001F3ADA"/>
    <w:rsid w:val="001F5CC3"/>
    <w:rsid w:val="0020402E"/>
    <w:rsid w:val="002413BA"/>
    <w:rsid w:val="00252E79"/>
    <w:rsid w:val="00285A6A"/>
    <w:rsid w:val="002B6CB3"/>
    <w:rsid w:val="00316CB8"/>
    <w:rsid w:val="00323104"/>
    <w:rsid w:val="00333AF7"/>
    <w:rsid w:val="00353839"/>
    <w:rsid w:val="003C3A4C"/>
    <w:rsid w:val="003F417C"/>
    <w:rsid w:val="0040414B"/>
    <w:rsid w:val="004777BF"/>
    <w:rsid w:val="00491601"/>
    <w:rsid w:val="004C626E"/>
    <w:rsid w:val="004E4C2D"/>
    <w:rsid w:val="00534226"/>
    <w:rsid w:val="00540143"/>
    <w:rsid w:val="0054605A"/>
    <w:rsid w:val="0057336C"/>
    <w:rsid w:val="005747B0"/>
    <w:rsid w:val="00574ECC"/>
    <w:rsid w:val="005A165A"/>
    <w:rsid w:val="005A1E7F"/>
    <w:rsid w:val="005D02D2"/>
    <w:rsid w:val="0064178A"/>
    <w:rsid w:val="00662C20"/>
    <w:rsid w:val="0069488B"/>
    <w:rsid w:val="006A0799"/>
    <w:rsid w:val="006B1439"/>
    <w:rsid w:val="006B4F71"/>
    <w:rsid w:val="00715FE5"/>
    <w:rsid w:val="00730C4E"/>
    <w:rsid w:val="007454FA"/>
    <w:rsid w:val="007805F0"/>
    <w:rsid w:val="007843B2"/>
    <w:rsid w:val="00793220"/>
    <w:rsid w:val="00807004"/>
    <w:rsid w:val="00877B65"/>
    <w:rsid w:val="008E215B"/>
    <w:rsid w:val="008F452B"/>
    <w:rsid w:val="009144B5"/>
    <w:rsid w:val="0092160F"/>
    <w:rsid w:val="00942E41"/>
    <w:rsid w:val="009602F7"/>
    <w:rsid w:val="00983CCC"/>
    <w:rsid w:val="0099268A"/>
    <w:rsid w:val="00995445"/>
    <w:rsid w:val="009D16EF"/>
    <w:rsid w:val="009F069C"/>
    <w:rsid w:val="00A423C3"/>
    <w:rsid w:val="00A70DE2"/>
    <w:rsid w:val="00B05126"/>
    <w:rsid w:val="00B52633"/>
    <w:rsid w:val="00B66C42"/>
    <w:rsid w:val="00B7249F"/>
    <w:rsid w:val="00B81BFA"/>
    <w:rsid w:val="00B96D85"/>
    <w:rsid w:val="00C241DC"/>
    <w:rsid w:val="00C26948"/>
    <w:rsid w:val="00CB4D66"/>
    <w:rsid w:val="00CD6651"/>
    <w:rsid w:val="00CE536E"/>
    <w:rsid w:val="00D86B7C"/>
    <w:rsid w:val="00DE0350"/>
    <w:rsid w:val="00EE17E0"/>
    <w:rsid w:val="00F21861"/>
    <w:rsid w:val="00F47909"/>
    <w:rsid w:val="00F56884"/>
    <w:rsid w:val="00F80A48"/>
    <w:rsid w:val="00FA00A3"/>
    <w:rsid w:val="00FC428C"/>
    <w:rsid w:val="00FD313A"/>
    <w:rsid w:val="00FE5B35"/>
    <w:rsid w:val="010A2CD0"/>
    <w:rsid w:val="01205D5C"/>
    <w:rsid w:val="01303AC5"/>
    <w:rsid w:val="01415CD2"/>
    <w:rsid w:val="01565C22"/>
    <w:rsid w:val="01654A58"/>
    <w:rsid w:val="01BB5A85"/>
    <w:rsid w:val="01DB367D"/>
    <w:rsid w:val="01DE1773"/>
    <w:rsid w:val="02251150"/>
    <w:rsid w:val="022E6257"/>
    <w:rsid w:val="025D2311"/>
    <w:rsid w:val="025F4662"/>
    <w:rsid w:val="02671768"/>
    <w:rsid w:val="026C0DFE"/>
    <w:rsid w:val="02BE3A7E"/>
    <w:rsid w:val="02C32E43"/>
    <w:rsid w:val="02F474A0"/>
    <w:rsid w:val="03157FFB"/>
    <w:rsid w:val="031F2043"/>
    <w:rsid w:val="03265180"/>
    <w:rsid w:val="033E4BBF"/>
    <w:rsid w:val="03474314"/>
    <w:rsid w:val="03577A2F"/>
    <w:rsid w:val="03604B36"/>
    <w:rsid w:val="0374238F"/>
    <w:rsid w:val="03962305"/>
    <w:rsid w:val="03E23540"/>
    <w:rsid w:val="04003C23"/>
    <w:rsid w:val="04294F27"/>
    <w:rsid w:val="046B5540"/>
    <w:rsid w:val="04781A0B"/>
    <w:rsid w:val="04910D1F"/>
    <w:rsid w:val="04A171B4"/>
    <w:rsid w:val="04E909D6"/>
    <w:rsid w:val="04F35535"/>
    <w:rsid w:val="050F6813"/>
    <w:rsid w:val="054C5DAB"/>
    <w:rsid w:val="055C757F"/>
    <w:rsid w:val="057564AB"/>
    <w:rsid w:val="05850883"/>
    <w:rsid w:val="05922FA0"/>
    <w:rsid w:val="05B71742"/>
    <w:rsid w:val="06021ED4"/>
    <w:rsid w:val="063046E0"/>
    <w:rsid w:val="066B5CCB"/>
    <w:rsid w:val="06C346F1"/>
    <w:rsid w:val="06C54798"/>
    <w:rsid w:val="071023CF"/>
    <w:rsid w:val="071579E5"/>
    <w:rsid w:val="071C5217"/>
    <w:rsid w:val="071F6AB6"/>
    <w:rsid w:val="072639A0"/>
    <w:rsid w:val="074D53D1"/>
    <w:rsid w:val="07593D76"/>
    <w:rsid w:val="076C47CE"/>
    <w:rsid w:val="07C37441"/>
    <w:rsid w:val="07E55609"/>
    <w:rsid w:val="080F73BE"/>
    <w:rsid w:val="08114650"/>
    <w:rsid w:val="084A1910"/>
    <w:rsid w:val="084C6591"/>
    <w:rsid w:val="08514A4D"/>
    <w:rsid w:val="085A5FF7"/>
    <w:rsid w:val="085B3B1D"/>
    <w:rsid w:val="08713341"/>
    <w:rsid w:val="08AC4379"/>
    <w:rsid w:val="08AF45C5"/>
    <w:rsid w:val="08EC29C7"/>
    <w:rsid w:val="08F55D20"/>
    <w:rsid w:val="08FA3336"/>
    <w:rsid w:val="091D7025"/>
    <w:rsid w:val="09271C52"/>
    <w:rsid w:val="09442803"/>
    <w:rsid w:val="095E38C5"/>
    <w:rsid w:val="098350DA"/>
    <w:rsid w:val="098837B8"/>
    <w:rsid w:val="098D41AA"/>
    <w:rsid w:val="09CD7C23"/>
    <w:rsid w:val="09F42AD2"/>
    <w:rsid w:val="0A110938"/>
    <w:rsid w:val="0A165F4E"/>
    <w:rsid w:val="0A2040E7"/>
    <w:rsid w:val="0A2E773B"/>
    <w:rsid w:val="0A465708"/>
    <w:rsid w:val="0A4D6167"/>
    <w:rsid w:val="0A622F41"/>
    <w:rsid w:val="0A6C0264"/>
    <w:rsid w:val="0A786C09"/>
    <w:rsid w:val="0A7E1D45"/>
    <w:rsid w:val="0A8E01DA"/>
    <w:rsid w:val="0AC27E84"/>
    <w:rsid w:val="0AF3003D"/>
    <w:rsid w:val="0AFA761E"/>
    <w:rsid w:val="0B030359"/>
    <w:rsid w:val="0B4E5E90"/>
    <w:rsid w:val="0B505490"/>
    <w:rsid w:val="0B6757B7"/>
    <w:rsid w:val="0B6B4B9F"/>
    <w:rsid w:val="0B76450E"/>
    <w:rsid w:val="0BB2614A"/>
    <w:rsid w:val="0BE300B2"/>
    <w:rsid w:val="0BED7182"/>
    <w:rsid w:val="0C1A784C"/>
    <w:rsid w:val="0C943AA2"/>
    <w:rsid w:val="0CA77331"/>
    <w:rsid w:val="0CB61617"/>
    <w:rsid w:val="0CE20369"/>
    <w:rsid w:val="0D1D75F3"/>
    <w:rsid w:val="0D29128D"/>
    <w:rsid w:val="0D336E17"/>
    <w:rsid w:val="0D3F756A"/>
    <w:rsid w:val="0D6E7E4F"/>
    <w:rsid w:val="0D774F56"/>
    <w:rsid w:val="0D8C35F6"/>
    <w:rsid w:val="0DDD6D83"/>
    <w:rsid w:val="0E0013EF"/>
    <w:rsid w:val="0E0D58BA"/>
    <w:rsid w:val="0E15476E"/>
    <w:rsid w:val="0E2D1318"/>
    <w:rsid w:val="0E3E1F17"/>
    <w:rsid w:val="0E415563"/>
    <w:rsid w:val="0E43752E"/>
    <w:rsid w:val="0E4B1576"/>
    <w:rsid w:val="0E701718"/>
    <w:rsid w:val="0E7771D7"/>
    <w:rsid w:val="0F607C6B"/>
    <w:rsid w:val="0F7D5F98"/>
    <w:rsid w:val="0FB3423F"/>
    <w:rsid w:val="0FB51D65"/>
    <w:rsid w:val="0FBB0301"/>
    <w:rsid w:val="0FC458FE"/>
    <w:rsid w:val="0FD541B5"/>
    <w:rsid w:val="0FFE370C"/>
    <w:rsid w:val="100D1BA1"/>
    <w:rsid w:val="100D7DF3"/>
    <w:rsid w:val="1041184B"/>
    <w:rsid w:val="104B0B11"/>
    <w:rsid w:val="10831E63"/>
    <w:rsid w:val="10BE10ED"/>
    <w:rsid w:val="10D73F5D"/>
    <w:rsid w:val="11124F95"/>
    <w:rsid w:val="111331E7"/>
    <w:rsid w:val="11166833"/>
    <w:rsid w:val="11401B02"/>
    <w:rsid w:val="11967974"/>
    <w:rsid w:val="119836EC"/>
    <w:rsid w:val="11A71B81"/>
    <w:rsid w:val="11AB1672"/>
    <w:rsid w:val="11AC7198"/>
    <w:rsid w:val="11DF7ED4"/>
    <w:rsid w:val="11E3705D"/>
    <w:rsid w:val="11FC3C7B"/>
    <w:rsid w:val="12282CC2"/>
    <w:rsid w:val="122B4561"/>
    <w:rsid w:val="12310D91"/>
    <w:rsid w:val="123E2F93"/>
    <w:rsid w:val="124A57A9"/>
    <w:rsid w:val="125D4824"/>
    <w:rsid w:val="128B56D9"/>
    <w:rsid w:val="129C0FBA"/>
    <w:rsid w:val="12AB56A1"/>
    <w:rsid w:val="12B26A30"/>
    <w:rsid w:val="12EA61CA"/>
    <w:rsid w:val="12EC1F42"/>
    <w:rsid w:val="130059ED"/>
    <w:rsid w:val="13224E04"/>
    <w:rsid w:val="13272F7A"/>
    <w:rsid w:val="134F26C3"/>
    <w:rsid w:val="1351449B"/>
    <w:rsid w:val="13541895"/>
    <w:rsid w:val="139D4FEA"/>
    <w:rsid w:val="13A10F7E"/>
    <w:rsid w:val="13AE4AD7"/>
    <w:rsid w:val="13C05F21"/>
    <w:rsid w:val="140137CB"/>
    <w:rsid w:val="14263231"/>
    <w:rsid w:val="143040B0"/>
    <w:rsid w:val="148166BA"/>
    <w:rsid w:val="148A47A3"/>
    <w:rsid w:val="14BE19FD"/>
    <w:rsid w:val="14C667C2"/>
    <w:rsid w:val="14C96294"/>
    <w:rsid w:val="14CD18FF"/>
    <w:rsid w:val="14D0730B"/>
    <w:rsid w:val="14D56A06"/>
    <w:rsid w:val="150D43F1"/>
    <w:rsid w:val="151237B6"/>
    <w:rsid w:val="153573E4"/>
    <w:rsid w:val="15406575"/>
    <w:rsid w:val="154371B0"/>
    <w:rsid w:val="154C4F1A"/>
    <w:rsid w:val="15543DCE"/>
    <w:rsid w:val="157601E9"/>
    <w:rsid w:val="15B900D5"/>
    <w:rsid w:val="15C2343F"/>
    <w:rsid w:val="15CC7E09"/>
    <w:rsid w:val="15DE18EA"/>
    <w:rsid w:val="16094BB9"/>
    <w:rsid w:val="162419F3"/>
    <w:rsid w:val="16513469"/>
    <w:rsid w:val="16556050"/>
    <w:rsid w:val="166242C9"/>
    <w:rsid w:val="16930926"/>
    <w:rsid w:val="16DC407B"/>
    <w:rsid w:val="16F40CC3"/>
    <w:rsid w:val="17255A22"/>
    <w:rsid w:val="1740460A"/>
    <w:rsid w:val="17427051"/>
    <w:rsid w:val="175D340E"/>
    <w:rsid w:val="176A5B2B"/>
    <w:rsid w:val="176D1177"/>
    <w:rsid w:val="176F3141"/>
    <w:rsid w:val="17AA5F28"/>
    <w:rsid w:val="17BA3F9F"/>
    <w:rsid w:val="18622CA6"/>
    <w:rsid w:val="18BF5A03"/>
    <w:rsid w:val="18C43019"/>
    <w:rsid w:val="18D70F9E"/>
    <w:rsid w:val="18FA2EDF"/>
    <w:rsid w:val="18FE652B"/>
    <w:rsid w:val="190B50EC"/>
    <w:rsid w:val="19297320"/>
    <w:rsid w:val="193A6353"/>
    <w:rsid w:val="194303E2"/>
    <w:rsid w:val="19662322"/>
    <w:rsid w:val="1977008B"/>
    <w:rsid w:val="197E766C"/>
    <w:rsid w:val="19831126"/>
    <w:rsid w:val="19871FA6"/>
    <w:rsid w:val="19940C3D"/>
    <w:rsid w:val="19BB266E"/>
    <w:rsid w:val="19BE5CBA"/>
    <w:rsid w:val="19C92FDD"/>
    <w:rsid w:val="1A3362B7"/>
    <w:rsid w:val="1A4C32C6"/>
    <w:rsid w:val="1AA21F20"/>
    <w:rsid w:val="1AD83484"/>
    <w:rsid w:val="1AF220BF"/>
    <w:rsid w:val="1AF839A4"/>
    <w:rsid w:val="1AFA0F74"/>
    <w:rsid w:val="1AFB36D2"/>
    <w:rsid w:val="1B067919"/>
    <w:rsid w:val="1B193AF0"/>
    <w:rsid w:val="1B201DBF"/>
    <w:rsid w:val="1B2C0724"/>
    <w:rsid w:val="1B2F4438"/>
    <w:rsid w:val="1B4B493C"/>
    <w:rsid w:val="1B6E7E45"/>
    <w:rsid w:val="1B83455A"/>
    <w:rsid w:val="1B882A24"/>
    <w:rsid w:val="1B8F5B60"/>
    <w:rsid w:val="1BC81072"/>
    <w:rsid w:val="1BF34341"/>
    <w:rsid w:val="1BFB4FA4"/>
    <w:rsid w:val="1C2A3ADB"/>
    <w:rsid w:val="1C393D1E"/>
    <w:rsid w:val="1C492847"/>
    <w:rsid w:val="1C4F52EF"/>
    <w:rsid w:val="1C5A43C0"/>
    <w:rsid w:val="1C737230"/>
    <w:rsid w:val="1C7D1E5D"/>
    <w:rsid w:val="1C856F63"/>
    <w:rsid w:val="1C8925AF"/>
    <w:rsid w:val="1C945BF3"/>
    <w:rsid w:val="1C9A47BD"/>
    <w:rsid w:val="1CBB2985"/>
    <w:rsid w:val="1CD23927"/>
    <w:rsid w:val="1CE67A02"/>
    <w:rsid w:val="1CFE11EF"/>
    <w:rsid w:val="1D13456F"/>
    <w:rsid w:val="1D1D719C"/>
    <w:rsid w:val="1D205DE2"/>
    <w:rsid w:val="1D65301C"/>
    <w:rsid w:val="1D6F5C49"/>
    <w:rsid w:val="1D721295"/>
    <w:rsid w:val="1D7A639C"/>
    <w:rsid w:val="1D994A74"/>
    <w:rsid w:val="1DB418AE"/>
    <w:rsid w:val="1DD43CFE"/>
    <w:rsid w:val="1DD97567"/>
    <w:rsid w:val="1E067C30"/>
    <w:rsid w:val="1E2E78B2"/>
    <w:rsid w:val="1E326C77"/>
    <w:rsid w:val="1E4A0464"/>
    <w:rsid w:val="1E5866DD"/>
    <w:rsid w:val="1E8C45D9"/>
    <w:rsid w:val="1E93139D"/>
    <w:rsid w:val="1E960FB4"/>
    <w:rsid w:val="1EA5569B"/>
    <w:rsid w:val="1ED62DFA"/>
    <w:rsid w:val="1F106FB8"/>
    <w:rsid w:val="1F1A7E37"/>
    <w:rsid w:val="1F204D21"/>
    <w:rsid w:val="1F2E5690"/>
    <w:rsid w:val="1F4135B5"/>
    <w:rsid w:val="1F615A66"/>
    <w:rsid w:val="1F6410B2"/>
    <w:rsid w:val="1F7F5EEC"/>
    <w:rsid w:val="1F843502"/>
    <w:rsid w:val="1FAD2A59"/>
    <w:rsid w:val="201F02E4"/>
    <w:rsid w:val="20256A93"/>
    <w:rsid w:val="206F7D0E"/>
    <w:rsid w:val="20B147CB"/>
    <w:rsid w:val="20BF5AA4"/>
    <w:rsid w:val="20CF1592"/>
    <w:rsid w:val="20DE6C42"/>
    <w:rsid w:val="20F326ED"/>
    <w:rsid w:val="212E3725"/>
    <w:rsid w:val="21311468"/>
    <w:rsid w:val="21C44F09"/>
    <w:rsid w:val="21D45042"/>
    <w:rsid w:val="21D56297"/>
    <w:rsid w:val="21DE339D"/>
    <w:rsid w:val="21FB3F4F"/>
    <w:rsid w:val="22105521"/>
    <w:rsid w:val="221E379A"/>
    <w:rsid w:val="22372AAE"/>
    <w:rsid w:val="22590C76"/>
    <w:rsid w:val="227814F2"/>
    <w:rsid w:val="22A16179"/>
    <w:rsid w:val="22DB78DD"/>
    <w:rsid w:val="230C7A96"/>
    <w:rsid w:val="231F5A1C"/>
    <w:rsid w:val="234B4A63"/>
    <w:rsid w:val="236E0751"/>
    <w:rsid w:val="23902475"/>
    <w:rsid w:val="2392443F"/>
    <w:rsid w:val="23AB72AF"/>
    <w:rsid w:val="23D031BA"/>
    <w:rsid w:val="23E629DD"/>
    <w:rsid w:val="23EF1892"/>
    <w:rsid w:val="23FE7D27"/>
    <w:rsid w:val="24156E1F"/>
    <w:rsid w:val="24247062"/>
    <w:rsid w:val="24305A06"/>
    <w:rsid w:val="245C67FB"/>
    <w:rsid w:val="24975A86"/>
    <w:rsid w:val="24C30629"/>
    <w:rsid w:val="24F66C50"/>
    <w:rsid w:val="251D41DD"/>
    <w:rsid w:val="252722E2"/>
    <w:rsid w:val="255C005A"/>
    <w:rsid w:val="25861D82"/>
    <w:rsid w:val="25873D4C"/>
    <w:rsid w:val="258A1146"/>
    <w:rsid w:val="258B7398"/>
    <w:rsid w:val="25CC175F"/>
    <w:rsid w:val="25F807A6"/>
    <w:rsid w:val="26535811"/>
    <w:rsid w:val="268B7490"/>
    <w:rsid w:val="26993D37"/>
    <w:rsid w:val="26AA1AA0"/>
    <w:rsid w:val="26E2748C"/>
    <w:rsid w:val="26ED5E31"/>
    <w:rsid w:val="26F31699"/>
    <w:rsid w:val="270C62B7"/>
    <w:rsid w:val="271D04C4"/>
    <w:rsid w:val="276C34ED"/>
    <w:rsid w:val="27710810"/>
    <w:rsid w:val="27885693"/>
    <w:rsid w:val="279B588D"/>
    <w:rsid w:val="27DD40F7"/>
    <w:rsid w:val="27EB2370"/>
    <w:rsid w:val="27F21951"/>
    <w:rsid w:val="28047D00"/>
    <w:rsid w:val="28433F5A"/>
    <w:rsid w:val="285048C9"/>
    <w:rsid w:val="28642123"/>
    <w:rsid w:val="286A598B"/>
    <w:rsid w:val="28BC1F5F"/>
    <w:rsid w:val="28C52BC1"/>
    <w:rsid w:val="29106E69"/>
    <w:rsid w:val="29127DD1"/>
    <w:rsid w:val="29257B04"/>
    <w:rsid w:val="29272FC4"/>
    <w:rsid w:val="29512318"/>
    <w:rsid w:val="29791BFE"/>
    <w:rsid w:val="297D349C"/>
    <w:rsid w:val="298F4F7D"/>
    <w:rsid w:val="299B7DC6"/>
    <w:rsid w:val="29AF561F"/>
    <w:rsid w:val="29C56BF1"/>
    <w:rsid w:val="29D52E63"/>
    <w:rsid w:val="2A0239A1"/>
    <w:rsid w:val="2A047719"/>
    <w:rsid w:val="2A36189D"/>
    <w:rsid w:val="2A6F54DA"/>
    <w:rsid w:val="2A7570EB"/>
    <w:rsid w:val="2A905451"/>
    <w:rsid w:val="2A9F114D"/>
    <w:rsid w:val="2AA963F5"/>
    <w:rsid w:val="2ADC4E13"/>
    <w:rsid w:val="2B004385"/>
    <w:rsid w:val="2B151983"/>
    <w:rsid w:val="2B2067D5"/>
    <w:rsid w:val="2B6E5792"/>
    <w:rsid w:val="2B6F32B8"/>
    <w:rsid w:val="2BC25ADE"/>
    <w:rsid w:val="2BEA0B91"/>
    <w:rsid w:val="2BF437BD"/>
    <w:rsid w:val="2C534818"/>
    <w:rsid w:val="2C7843EE"/>
    <w:rsid w:val="2C7F39CF"/>
    <w:rsid w:val="2C901738"/>
    <w:rsid w:val="2CCF04B2"/>
    <w:rsid w:val="2CEA709A"/>
    <w:rsid w:val="2CF37C0E"/>
    <w:rsid w:val="2D285E15"/>
    <w:rsid w:val="2D841961"/>
    <w:rsid w:val="2D9E1C33"/>
    <w:rsid w:val="2DC43283"/>
    <w:rsid w:val="2DE51610"/>
    <w:rsid w:val="2E0D3F2A"/>
    <w:rsid w:val="2E2A34C6"/>
    <w:rsid w:val="2E2B796A"/>
    <w:rsid w:val="2E6C1D31"/>
    <w:rsid w:val="2EAC037F"/>
    <w:rsid w:val="2EEA15D4"/>
    <w:rsid w:val="2EF57F78"/>
    <w:rsid w:val="2F452CAE"/>
    <w:rsid w:val="2F6D3FB3"/>
    <w:rsid w:val="2FB514D0"/>
    <w:rsid w:val="2FFC690A"/>
    <w:rsid w:val="300C07F9"/>
    <w:rsid w:val="301461DC"/>
    <w:rsid w:val="30182170"/>
    <w:rsid w:val="301D1535"/>
    <w:rsid w:val="30314FE0"/>
    <w:rsid w:val="30842FF2"/>
    <w:rsid w:val="30963095"/>
    <w:rsid w:val="309A4933"/>
    <w:rsid w:val="309E0C3C"/>
    <w:rsid w:val="30A43A04"/>
    <w:rsid w:val="30C47C02"/>
    <w:rsid w:val="30CB0B45"/>
    <w:rsid w:val="30D66C72"/>
    <w:rsid w:val="30E402A4"/>
    <w:rsid w:val="310D3357"/>
    <w:rsid w:val="311A3CC6"/>
    <w:rsid w:val="31224929"/>
    <w:rsid w:val="319F5F79"/>
    <w:rsid w:val="31ED3189"/>
    <w:rsid w:val="320F4EAD"/>
    <w:rsid w:val="321150C9"/>
    <w:rsid w:val="323E59E8"/>
    <w:rsid w:val="32544FB6"/>
    <w:rsid w:val="32BE4F4A"/>
    <w:rsid w:val="32BF68D3"/>
    <w:rsid w:val="3307027A"/>
    <w:rsid w:val="333A23FE"/>
    <w:rsid w:val="337F42B4"/>
    <w:rsid w:val="33E67E90"/>
    <w:rsid w:val="33ED3BCC"/>
    <w:rsid w:val="33FD3B57"/>
    <w:rsid w:val="34142C4F"/>
    <w:rsid w:val="343F797A"/>
    <w:rsid w:val="345066A6"/>
    <w:rsid w:val="34777DA9"/>
    <w:rsid w:val="34B00BC9"/>
    <w:rsid w:val="34D523DE"/>
    <w:rsid w:val="34DD758C"/>
    <w:rsid w:val="35223149"/>
    <w:rsid w:val="354237EC"/>
    <w:rsid w:val="35523A2F"/>
    <w:rsid w:val="35700359"/>
    <w:rsid w:val="35784879"/>
    <w:rsid w:val="357F67EE"/>
    <w:rsid w:val="35A41DB0"/>
    <w:rsid w:val="35A818A1"/>
    <w:rsid w:val="35D46B3A"/>
    <w:rsid w:val="35F908C5"/>
    <w:rsid w:val="361231BE"/>
    <w:rsid w:val="361E1B63"/>
    <w:rsid w:val="363D0213"/>
    <w:rsid w:val="366C4FC4"/>
    <w:rsid w:val="366E2AEA"/>
    <w:rsid w:val="36842191"/>
    <w:rsid w:val="368857DA"/>
    <w:rsid w:val="36AA1648"/>
    <w:rsid w:val="36D52B69"/>
    <w:rsid w:val="36D668E1"/>
    <w:rsid w:val="36E83F1F"/>
    <w:rsid w:val="37052D23"/>
    <w:rsid w:val="3719610A"/>
    <w:rsid w:val="374B4BD9"/>
    <w:rsid w:val="376712E7"/>
    <w:rsid w:val="377C2FE5"/>
    <w:rsid w:val="37893954"/>
    <w:rsid w:val="37C52BDE"/>
    <w:rsid w:val="37DE3C9F"/>
    <w:rsid w:val="37F4701F"/>
    <w:rsid w:val="38003C16"/>
    <w:rsid w:val="382A0C93"/>
    <w:rsid w:val="382D42DF"/>
    <w:rsid w:val="38575800"/>
    <w:rsid w:val="38613F89"/>
    <w:rsid w:val="38B844F1"/>
    <w:rsid w:val="38C53A27"/>
    <w:rsid w:val="38CF35E8"/>
    <w:rsid w:val="38E01351"/>
    <w:rsid w:val="38F512A1"/>
    <w:rsid w:val="39072D82"/>
    <w:rsid w:val="39203E44"/>
    <w:rsid w:val="392F0A56"/>
    <w:rsid w:val="395064D7"/>
    <w:rsid w:val="39965698"/>
    <w:rsid w:val="39AB195F"/>
    <w:rsid w:val="39B32F0A"/>
    <w:rsid w:val="39CD5D7A"/>
    <w:rsid w:val="39DA7253"/>
    <w:rsid w:val="39E430C3"/>
    <w:rsid w:val="39F07CBA"/>
    <w:rsid w:val="39F5707E"/>
    <w:rsid w:val="3A3F654C"/>
    <w:rsid w:val="3A5B15D7"/>
    <w:rsid w:val="3A6D30B9"/>
    <w:rsid w:val="3A706705"/>
    <w:rsid w:val="3A744447"/>
    <w:rsid w:val="3A7C154E"/>
    <w:rsid w:val="3ABD5DEE"/>
    <w:rsid w:val="3AD578E1"/>
    <w:rsid w:val="3AE8273F"/>
    <w:rsid w:val="3B077069"/>
    <w:rsid w:val="3B1654FE"/>
    <w:rsid w:val="3B457B92"/>
    <w:rsid w:val="3B6049CB"/>
    <w:rsid w:val="3B6C511E"/>
    <w:rsid w:val="3BA23D49"/>
    <w:rsid w:val="3BBC42F8"/>
    <w:rsid w:val="3C142D66"/>
    <w:rsid w:val="3C1557B6"/>
    <w:rsid w:val="3C1663B1"/>
    <w:rsid w:val="3C761AAA"/>
    <w:rsid w:val="3CA974C2"/>
    <w:rsid w:val="3CD967E3"/>
    <w:rsid w:val="3CFF3309"/>
    <w:rsid w:val="3D053A7C"/>
    <w:rsid w:val="3D4D2D2E"/>
    <w:rsid w:val="3D5B0142"/>
    <w:rsid w:val="3D89645B"/>
    <w:rsid w:val="3DBF3C2B"/>
    <w:rsid w:val="3DC079A3"/>
    <w:rsid w:val="3DD75329"/>
    <w:rsid w:val="3DD86EA7"/>
    <w:rsid w:val="3DEA67CE"/>
    <w:rsid w:val="3DFD6502"/>
    <w:rsid w:val="3E3208A1"/>
    <w:rsid w:val="3E3363C7"/>
    <w:rsid w:val="3E3839DE"/>
    <w:rsid w:val="3E66054B"/>
    <w:rsid w:val="3E717642"/>
    <w:rsid w:val="3E844FE1"/>
    <w:rsid w:val="3E9F580B"/>
    <w:rsid w:val="3EBB072B"/>
    <w:rsid w:val="3EC51715"/>
    <w:rsid w:val="3F2F4DE1"/>
    <w:rsid w:val="3F52287D"/>
    <w:rsid w:val="3FE45BCB"/>
    <w:rsid w:val="3FF676AC"/>
    <w:rsid w:val="4013025E"/>
    <w:rsid w:val="401D2E8B"/>
    <w:rsid w:val="40297539"/>
    <w:rsid w:val="40414948"/>
    <w:rsid w:val="4050500F"/>
    <w:rsid w:val="40624D42"/>
    <w:rsid w:val="406E1939"/>
    <w:rsid w:val="407451A1"/>
    <w:rsid w:val="407707ED"/>
    <w:rsid w:val="407D1B7C"/>
    <w:rsid w:val="40AA0BC3"/>
    <w:rsid w:val="40C637D8"/>
    <w:rsid w:val="40FC6F44"/>
    <w:rsid w:val="410B53D9"/>
    <w:rsid w:val="41203D79"/>
    <w:rsid w:val="4125649B"/>
    <w:rsid w:val="412A5860"/>
    <w:rsid w:val="413606A8"/>
    <w:rsid w:val="413B7A6D"/>
    <w:rsid w:val="41636FC4"/>
    <w:rsid w:val="41780CC1"/>
    <w:rsid w:val="4194717D"/>
    <w:rsid w:val="41C45CB4"/>
    <w:rsid w:val="41CC4F14"/>
    <w:rsid w:val="41D43A1D"/>
    <w:rsid w:val="41EC0D67"/>
    <w:rsid w:val="42120659"/>
    <w:rsid w:val="42162288"/>
    <w:rsid w:val="426A72E7"/>
    <w:rsid w:val="426E5C20"/>
    <w:rsid w:val="42786A9F"/>
    <w:rsid w:val="42A11B51"/>
    <w:rsid w:val="42FB3958"/>
    <w:rsid w:val="42FC147E"/>
    <w:rsid w:val="438576C5"/>
    <w:rsid w:val="43A15B81"/>
    <w:rsid w:val="43AD2778"/>
    <w:rsid w:val="43B74A2F"/>
    <w:rsid w:val="43F202D8"/>
    <w:rsid w:val="443469F5"/>
    <w:rsid w:val="4436276D"/>
    <w:rsid w:val="446E63AB"/>
    <w:rsid w:val="44812A1C"/>
    <w:rsid w:val="449C6A74"/>
    <w:rsid w:val="44C24001"/>
    <w:rsid w:val="44DA0652"/>
    <w:rsid w:val="44DE708D"/>
    <w:rsid w:val="44E16B7D"/>
    <w:rsid w:val="4568638C"/>
    <w:rsid w:val="457E4086"/>
    <w:rsid w:val="45A35BE1"/>
    <w:rsid w:val="45B63C5D"/>
    <w:rsid w:val="45BB73CE"/>
    <w:rsid w:val="45CE0BFE"/>
    <w:rsid w:val="46592743"/>
    <w:rsid w:val="467807D5"/>
    <w:rsid w:val="468772B0"/>
    <w:rsid w:val="46D0054F"/>
    <w:rsid w:val="46DA32A9"/>
    <w:rsid w:val="46F801AE"/>
    <w:rsid w:val="46F96400"/>
    <w:rsid w:val="47152B0E"/>
    <w:rsid w:val="47217705"/>
    <w:rsid w:val="474B4782"/>
    <w:rsid w:val="47505984"/>
    <w:rsid w:val="47777325"/>
    <w:rsid w:val="4823125B"/>
    <w:rsid w:val="484140EE"/>
    <w:rsid w:val="489505CE"/>
    <w:rsid w:val="48A153C2"/>
    <w:rsid w:val="48A56114"/>
    <w:rsid w:val="48D25011"/>
    <w:rsid w:val="48E01D74"/>
    <w:rsid w:val="48E409EA"/>
    <w:rsid w:val="48FD1AAC"/>
    <w:rsid w:val="49107A31"/>
    <w:rsid w:val="49357497"/>
    <w:rsid w:val="49391826"/>
    <w:rsid w:val="49976A8B"/>
    <w:rsid w:val="49C10D2B"/>
    <w:rsid w:val="49C56A6D"/>
    <w:rsid w:val="49F41101"/>
    <w:rsid w:val="4A314103"/>
    <w:rsid w:val="4A581AD8"/>
    <w:rsid w:val="4A69564B"/>
    <w:rsid w:val="4A7051E3"/>
    <w:rsid w:val="4AB42380"/>
    <w:rsid w:val="4ACC3E2B"/>
    <w:rsid w:val="4AE50A49"/>
    <w:rsid w:val="4AF62C56"/>
    <w:rsid w:val="4B20746B"/>
    <w:rsid w:val="4B2A5930"/>
    <w:rsid w:val="4B2C6678"/>
    <w:rsid w:val="4B62209A"/>
    <w:rsid w:val="4B6B53F2"/>
    <w:rsid w:val="4B702A09"/>
    <w:rsid w:val="4B7C13AE"/>
    <w:rsid w:val="4B893ACB"/>
    <w:rsid w:val="4B895879"/>
    <w:rsid w:val="4B8E2E8F"/>
    <w:rsid w:val="4B9B4038"/>
    <w:rsid w:val="4BB1223F"/>
    <w:rsid w:val="4BCC0632"/>
    <w:rsid w:val="4BDC1E4C"/>
    <w:rsid w:val="4BE551A5"/>
    <w:rsid w:val="4BE56F53"/>
    <w:rsid w:val="4BEB6533"/>
    <w:rsid w:val="4C261319"/>
    <w:rsid w:val="4C382E8F"/>
    <w:rsid w:val="4C3E4D7E"/>
    <w:rsid w:val="4C6B2057"/>
    <w:rsid w:val="4C7D53DD"/>
    <w:rsid w:val="4C8056D4"/>
    <w:rsid w:val="4C8D1398"/>
    <w:rsid w:val="4C8F2F6F"/>
    <w:rsid w:val="4CB4635D"/>
    <w:rsid w:val="4CC56D84"/>
    <w:rsid w:val="4CCC314C"/>
    <w:rsid w:val="4CCF375F"/>
    <w:rsid w:val="4CD174D7"/>
    <w:rsid w:val="4CD32934"/>
    <w:rsid w:val="4CD6689C"/>
    <w:rsid w:val="4CD945DE"/>
    <w:rsid w:val="4CF65190"/>
    <w:rsid w:val="4CFB6302"/>
    <w:rsid w:val="4D185106"/>
    <w:rsid w:val="4D333CEE"/>
    <w:rsid w:val="4D387556"/>
    <w:rsid w:val="4D3B0DF4"/>
    <w:rsid w:val="4D565C2E"/>
    <w:rsid w:val="4D682A48"/>
    <w:rsid w:val="4D6F609D"/>
    <w:rsid w:val="4D832C78"/>
    <w:rsid w:val="4D87403A"/>
    <w:rsid w:val="4DAD3AA0"/>
    <w:rsid w:val="4DBA322B"/>
    <w:rsid w:val="4DD50F91"/>
    <w:rsid w:val="4DF01BDF"/>
    <w:rsid w:val="4E271D7B"/>
    <w:rsid w:val="4E2B4ECD"/>
    <w:rsid w:val="4E7740AE"/>
    <w:rsid w:val="4E7E2684"/>
    <w:rsid w:val="4E8A5B90"/>
    <w:rsid w:val="4EAB7E41"/>
    <w:rsid w:val="4EB65DC8"/>
    <w:rsid w:val="4F744DEB"/>
    <w:rsid w:val="4F7725B8"/>
    <w:rsid w:val="4FCB23CC"/>
    <w:rsid w:val="5015592D"/>
    <w:rsid w:val="50A32F39"/>
    <w:rsid w:val="50B508AC"/>
    <w:rsid w:val="50C51101"/>
    <w:rsid w:val="50D6330E"/>
    <w:rsid w:val="50F934A0"/>
    <w:rsid w:val="510D2AA8"/>
    <w:rsid w:val="51595CED"/>
    <w:rsid w:val="518823FC"/>
    <w:rsid w:val="51C70EA9"/>
    <w:rsid w:val="51CC64BF"/>
    <w:rsid w:val="51D27F79"/>
    <w:rsid w:val="51D51818"/>
    <w:rsid w:val="51D52940"/>
    <w:rsid w:val="51F55A16"/>
    <w:rsid w:val="51FA127E"/>
    <w:rsid w:val="521B7236"/>
    <w:rsid w:val="521F2A93"/>
    <w:rsid w:val="52354064"/>
    <w:rsid w:val="52377DDC"/>
    <w:rsid w:val="523E38F5"/>
    <w:rsid w:val="52416EAD"/>
    <w:rsid w:val="527B23BF"/>
    <w:rsid w:val="527E1EEC"/>
    <w:rsid w:val="5285323E"/>
    <w:rsid w:val="52923265"/>
    <w:rsid w:val="52CC2C1B"/>
    <w:rsid w:val="52E87329"/>
    <w:rsid w:val="52F97788"/>
    <w:rsid w:val="5302663C"/>
    <w:rsid w:val="53395DD6"/>
    <w:rsid w:val="533D5A7E"/>
    <w:rsid w:val="535844AE"/>
    <w:rsid w:val="53795CE4"/>
    <w:rsid w:val="538232A1"/>
    <w:rsid w:val="53C21688"/>
    <w:rsid w:val="53D14ABD"/>
    <w:rsid w:val="53FF0DCE"/>
    <w:rsid w:val="54761817"/>
    <w:rsid w:val="547D1124"/>
    <w:rsid w:val="548B440F"/>
    <w:rsid w:val="54CD2C7A"/>
    <w:rsid w:val="54CF07A0"/>
    <w:rsid w:val="54D77655"/>
    <w:rsid w:val="54F975CB"/>
    <w:rsid w:val="55061CE8"/>
    <w:rsid w:val="552D5EC0"/>
    <w:rsid w:val="554D7917"/>
    <w:rsid w:val="55652EB2"/>
    <w:rsid w:val="557673CF"/>
    <w:rsid w:val="55825812"/>
    <w:rsid w:val="5612303A"/>
    <w:rsid w:val="56380A98"/>
    <w:rsid w:val="564725B8"/>
    <w:rsid w:val="56585574"/>
    <w:rsid w:val="5661367A"/>
    <w:rsid w:val="566E5669"/>
    <w:rsid w:val="56C137C7"/>
    <w:rsid w:val="56F40992"/>
    <w:rsid w:val="56FA587C"/>
    <w:rsid w:val="56FC7846"/>
    <w:rsid w:val="570010E5"/>
    <w:rsid w:val="57517B92"/>
    <w:rsid w:val="576A0C54"/>
    <w:rsid w:val="57875362"/>
    <w:rsid w:val="57B7551B"/>
    <w:rsid w:val="5818245E"/>
    <w:rsid w:val="582901C7"/>
    <w:rsid w:val="58533496"/>
    <w:rsid w:val="58711B6E"/>
    <w:rsid w:val="58931AE5"/>
    <w:rsid w:val="58BF0B2C"/>
    <w:rsid w:val="58DC7930"/>
    <w:rsid w:val="58F5279F"/>
    <w:rsid w:val="58F5454D"/>
    <w:rsid w:val="58FC1C36"/>
    <w:rsid w:val="590B2E55"/>
    <w:rsid w:val="590D7AE9"/>
    <w:rsid w:val="5980475F"/>
    <w:rsid w:val="598F49A2"/>
    <w:rsid w:val="599F6108"/>
    <w:rsid w:val="59A26483"/>
    <w:rsid w:val="59B14918"/>
    <w:rsid w:val="59B61F2F"/>
    <w:rsid w:val="59B9557B"/>
    <w:rsid w:val="59BE7035"/>
    <w:rsid w:val="59C04B5B"/>
    <w:rsid w:val="59C363FA"/>
    <w:rsid w:val="59D423B5"/>
    <w:rsid w:val="59E92304"/>
    <w:rsid w:val="5A3F1F24"/>
    <w:rsid w:val="5A7616BE"/>
    <w:rsid w:val="5A843DDB"/>
    <w:rsid w:val="5A8C0EE1"/>
    <w:rsid w:val="5AB75993"/>
    <w:rsid w:val="5AB81CD6"/>
    <w:rsid w:val="5AC616FF"/>
    <w:rsid w:val="5AD07020"/>
    <w:rsid w:val="5AD52888"/>
    <w:rsid w:val="5AE4142E"/>
    <w:rsid w:val="5B2C00C0"/>
    <w:rsid w:val="5B8D4F11"/>
    <w:rsid w:val="5B9C33A6"/>
    <w:rsid w:val="5BCC5A39"/>
    <w:rsid w:val="5BE07737"/>
    <w:rsid w:val="5C125416"/>
    <w:rsid w:val="5C4541E2"/>
    <w:rsid w:val="5C5F065B"/>
    <w:rsid w:val="5C7A5495"/>
    <w:rsid w:val="5C877BB2"/>
    <w:rsid w:val="5C9F6CAA"/>
    <w:rsid w:val="5CBA1D36"/>
    <w:rsid w:val="5CD07982"/>
    <w:rsid w:val="5CDD3C76"/>
    <w:rsid w:val="5CF54B1C"/>
    <w:rsid w:val="5D0E5BDE"/>
    <w:rsid w:val="5D244588"/>
    <w:rsid w:val="5D28108C"/>
    <w:rsid w:val="5D5F468B"/>
    <w:rsid w:val="5DA4554F"/>
    <w:rsid w:val="5DD1318C"/>
    <w:rsid w:val="5DDB01B6"/>
    <w:rsid w:val="5DE66B5A"/>
    <w:rsid w:val="5DEE5DA8"/>
    <w:rsid w:val="5DF43025"/>
    <w:rsid w:val="5E6C3504"/>
    <w:rsid w:val="5E9B5562"/>
    <w:rsid w:val="5EB84053"/>
    <w:rsid w:val="5EB856E4"/>
    <w:rsid w:val="5EBA601D"/>
    <w:rsid w:val="5EDB5F93"/>
    <w:rsid w:val="5F061262"/>
    <w:rsid w:val="5F1F40D2"/>
    <w:rsid w:val="5F3465FA"/>
    <w:rsid w:val="5F3D09FC"/>
    <w:rsid w:val="5F426012"/>
    <w:rsid w:val="5F557A60"/>
    <w:rsid w:val="5F5C70D4"/>
    <w:rsid w:val="5F772160"/>
    <w:rsid w:val="5FE33352"/>
    <w:rsid w:val="5FEF7F48"/>
    <w:rsid w:val="5FF40209"/>
    <w:rsid w:val="60340580"/>
    <w:rsid w:val="603E4A2C"/>
    <w:rsid w:val="60F577E0"/>
    <w:rsid w:val="610572F8"/>
    <w:rsid w:val="6110461A"/>
    <w:rsid w:val="6151078F"/>
    <w:rsid w:val="6155027F"/>
    <w:rsid w:val="619A3EE4"/>
    <w:rsid w:val="619E5A94"/>
    <w:rsid w:val="61A44D62"/>
    <w:rsid w:val="61BC3E5A"/>
    <w:rsid w:val="61CC42D6"/>
    <w:rsid w:val="62092C5F"/>
    <w:rsid w:val="624125B1"/>
    <w:rsid w:val="62511E3F"/>
    <w:rsid w:val="62805895"/>
    <w:rsid w:val="6292105F"/>
    <w:rsid w:val="62A36FFA"/>
    <w:rsid w:val="62C77536"/>
    <w:rsid w:val="631321A0"/>
    <w:rsid w:val="63170B40"/>
    <w:rsid w:val="633F11E7"/>
    <w:rsid w:val="63402869"/>
    <w:rsid w:val="6357079D"/>
    <w:rsid w:val="636E5628"/>
    <w:rsid w:val="63822E81"/>
    <w:rsid w:val="638E7A78"/>
    <w:rsid w:val="63950E07"/>
    <w:rsid w:val="63957059"/>
    <w:rsid w:val="63BB75EA"/>
    <w:rsid w:val="63CE4319"/>
    <w:rsid w:val="63E37DC4"/>
    <w:rsid w:val="63F57AF7"/>
    <w:rsid w:val="64080A45"/>
    <w:rsid w:val="6419080D"/>
    <w:rsid w:val="645415E8"/>
    <w:rsid w:val="646625F9"/>
    <w:rsid w:val="64760C38"/>
    <w:rsid w:val="64874BF3"/>
    <w:rsid w:val="64CC0E20"/>
    <w:rsid w:val="65404DA2"/>
    <w:rsid w:val="6549634D"/>
    <w:rsid w:val="654C3747"/>
    <w:rsid w:val="657809E0"/>
    <w:rsid w:val="659418B0"/>
    <w:rsid w:val="65A73073"/>
    <w:rsid w:val="65ED4F2A"/>
    <w:rsid w:val="65F514C0"/>
    <w:rsid w:val="660D2ED6"/>
    <w:rsid w:val="662A1850"/>
    <w:rsid w:val="66495ED8"/>
    <w:rsid w:val="665A1E94"/>
    <w:rsid w:val="667967BE"/>
    <w:rsid w:val="66B07D06"/>
    <w:rsid w:val="66B5531C"/>
    <w:rsid w:val="66B6356E"/>
    <w:rsid w:val="66F32FE7"/>
    <w:rsid w:val="67087B42"/>
    <w:rsid w:val="6727621A"/>
    <w:rsid w:val="672A3F5C"/>
    <w:rsid w:val="672C7221"/>
    <w:rsid w:val="673426E5"/>
    <w:rsid w:val="673821D5"/>
    <w:rsid w:val="675D1C3B"/>
    <w:rsid w:val="678F03E3"/>
    <w:rsid w:val="6793565D"/>
    <w:rsid w:val="67B35CFF"/>
    <w:rsid w:val="67BB4BB4"/>
    <w:rsid w:val="67E73BFB"/>
    <w:rsid w:val="67F307F2"/>
    <w:rsid w:val="67F500C6"/>
    <w:rsid w:val="6817003C"/>
    <w:rsid w:val="68295FC1"/>
    <w:rsid w:val="683B72E1"/>
    <w:rsid w:val="6844104D"/>
    <w:rsid w:val="687234C5"/>
    <w:rsid w:val="687545A8"/>
    <w:rsid w:val="68A65864"/>
    <w:rsid w:val="68B166E3"/>
    <w:rsid w:val="68B40C28"/>
    <w:rsid w:val="68F22857"/>
    <w:rsid w:val="69006D22"/>
    <w:rsid w:val="691427CE"/>
    <w:rsid w:val="691C1682"/>
    <w:rsid w:val="691E250D"/>
    <w:rsid w:val="69230C63"/>
    <w:rsid w:val="69320EA6"/>
    <w:rsid w:val="69653029"/>
    <w:rsid w:val="699A7177"/>
    <w:rsid w:val="69C66CD0"/>
    <w:rsid w:val="69E403F2"/>
    <w:rsid w:val="69F61ED3"/>
    <w:rsid w:val="6A06480C"/>
    <w:rsid w:val="6A0C12EB"/>
    <w:rsid w:val="6A6C22B0"/>
    <w:rsid w:val="6A70612A"/>
    <w:rsid w:val="6A7A2B04"/>
    <w:rsid w:val="6ADE7537"/>
    <w:rsid w:val="6AE56A59"/>
    <w:rsid w:val="6B032AFA"/>
    <w:rsid w:val="6B0C2013"/>
    <w:rsid w:val="6B1252E0"/>
    <w:rsid w:val="6B2036AC"/>
    <w:rsid w:val="6B7439F8"/>
    <w:rsid w:val="6B89641A"/>
    <w:rsid w:val="6BAD0DEB"/>
    <w:rsid w:val="6BCC4F2B"/>
    <w:rsid w:val="6C2E1DF8"/>
    <w:rsid w:val="6C691293"/>
    <w:rsid w:val="6C9A748E"/>
    <w:rsid w:val="6CEB5F3B"/>
    <w:rsid w:val="6CF05300"/>
    <w:rsid w:val="6CFE5C6F"/>
    <w:rsid w:val="6D06067F"/>
    <w:rsid w:val="6D1E1E6D"/>
    <w:rsid w:val="6D1F7993"/>
    <w:rsid w:val="6D3E250F"/>
    <w:rsid w:val="6D4F0278"/>
    <w:rsid w:val="6D6A6E60"/>
    <w:rsid w:val="6D953B8F"/>
    <w:rsid w:val="6D995997"/>
    <w:rsid w:val="6DAA54AF"/>
    <w:rsid w:val="6DB85E1E"/>
    <w:rsid w:val="6DC9627D"/>
    <w:rsid w:val="6DE54739"/>
    <w:rsid w:val="6DF1132F"/>
    <w:rsid w:val="6E0E1EE1"/>
    <w:rsid w:val="6E162B44"/>
    <w:rsid w:val="6E535698"/>
    <w:rsid w:val="6E5518BE"/>
    <w:rsid w:val="6EA463A2"/>
    <w:rsid w:val="6EF72976"/>
    <w:rsid w:val="6EFC61DE"/>
    <w:rsid w:val="6F392F8E"/>
    <w:rsid w:val="6F5C4ECE"/>
    <w:rsid w:val="6F63480E"/>
    <w:rsid w:val="6F7F4719"/>
    <w:rsid w:val="6FA046F1"/>
    <w:rsid w:val="701D01BA"/>
    <w:rsid w:val="70396723"/>
    <w:rsid w:val="70433998"/>
    <w:rsid w:val="70501F38"/>
    <w:rsid w:val="70520021"/>
    <w:rsid w:val="7068263B"/>
    <w:rsid w:val="70785D38"/>
    <w:rsid w:val="70862203"/>
    <w:rsid w:val="70980188"/>
    <w:rsid w:val="709D12FB"/>
    <w:rsid w:val="70A97C9F"/>
    <w:rsid w:val="70AB1C6A"/>
    <w:rsid w:val="70AC59E2"/>
    <w:rsid w:val="70B14DA6"/>
    <w:rsid w:val="70C8455E"/>
    <w:rsid w:val="7113156F"/>
    <w:rsid w:val="711C4915"/>
    <w:rsid w:val="712A4F61"/>
    <w:rsid w:val="71597917"/>
    <w:rsid w:val="71716B68"/>
    <w:rsid w:val="717B788E"/>
    <w:rsid w:val="718F6E95"/>
    <w:rsid w:val="71913A76"/>
    <w:rsid w:val="71A212BE"/>
    <w:rsid w:val="71E769F5"/>
    <w:rsid w:val="71F2795F"/>
    <w:rsid w:val="71FE226D"/>
    <w:rsid w:val="724361BE"/>
    <w:rsid w:val="72643CC5"/>
    <w:rsid w:val="72717B4F"/>
    <w:rsid w:val="728132ED"/>
    <w:rsid w:val="72897D89"/>
    <w:rsid w:val="72A911B4"/>
    <w:rsid w:val="72B27EFD"/>
    <w:rsid w:val="72BD6DD8"/>
    <w:rsid w:val="72BD7A32"/>
    <w:rsid w:val="73075151"/>
    <w:rsid w:val="73571C35"/>
    <w:rsid w:val="735859AD"/>
    <w:rsid w:val="73684C1E"/>
    <w:rsid w:val="736E51D0"/>
    <w:rsid w:val="73927111"/>
    <w:rsid w:val="73B57A63"/>
    <w:rsid w:val="73DE2356"/>
    <w:rsid w:val="73F25E01"/>
    <w:rsid w:val="74032155"/>
    <w:rsid w:val="74082F2F"/>
    <w:rsid w:val="741C1DA4"/>
    <w:rsid w:val="7434641A"/>
    <w:rsid w:val="74381A66"/>
    <w:rsid w:val="743C5BB1"/>
    <w:rsid w:val="74624D35"/>
    <w:rsid w:val="747607E0"/>
    <w:rsid w:val="74814AD2"/>
    <w:rsid w:val="748702F8"/>
    <w:rsid w:val="74AC7227"/>
    <w:rsid w:val="74AE06FF"/>
    <w:rsid w:val="74AE7F7A"/>
    <w:rsid w:val="74BB4EE4"/>
    <w:rsid w:val="74C652C4"/>
    <w:rsid w:val="74CB0B2C"/>
    <w:rsid w:val="751029E3"/>
    <w:rsid w:val="754206C3"/>
    <w:rsid w:val="75510B3F"/>
    <w:rsid w:val="75774810"/>
    <w:rsid w:val="75A849CA"/>
    <w:rsid w:val="75DC28C5"/>
    <w:rsid w:val="75E579CC"/>
    <w:rsid w:val="75F96FD3"/>
    <w:rsid w:val="762B73A9"/>
    <w:rsid w:val="764B0E32"/>
    <w:rsid w:val="765B3F2D"/>
    <w:rsid w:val="768A0573"/>
    <w:rsid w:val="76D4359C"/>
    <w:rsid w:val="76DB0DCF"/>
    <w:rsid w:val="772B7660"/>
    <w:rsid w:val="7737458B"/>
    <w:rsid w:val="773F4EBA"/>
    <w:rsid w:val="774921DC"/>
    <w:rsid w:val="775A7F45"/>
    <w:rsid w:val="77756B2D"/>
    <w:rsid w:val="777C4360"/>
    <w:rsid w:val="77951598"/>
    <w:rsid w:val="782C1CAF"/>
    <w:rsid w:val="785A0460"/>
    <w:rsid w:val="786A41B8"/>
    <w:rsid w:val="78811502"/>
    <w:rsid w:val="788D60F9"/>
    <w:rsid w:val="78947487"/>
    <w:rsid w:val="789E20B4"/>
    <w:rsid w:val="78A53442"/>
    <w:rsid w:val="78AF606F"/>
    <w:rsid w:val="78F65A4C"/>
    <w:rsid w:val="791954AD"/>
    <w:rsid w:val="795A422D"/>
    <w:rsid w:val="796208D7"/>
    <w:rsid w:val="799534B7"/>
    <w:rsid w:val="7A083C89"/>
    <w:rsid w:val="7A603AC5"/>
    <w:rsid w:val="7A707A80"/>
    <w:rsid w:val="7A7632E8"/>
    <w:rsid w:val="7A7C6425"/>
    <w:rsid w:val="7AC5601E"/>
    <w:rsid w:val="7ACD6C80"/>
    <w:rsid w:val="7AE12ED0"/>
    <w:rsid w:val="7AE35816"/>
    <w:rsid w:val="7AF95CC7"/>
    <w:rsid w:val="7B02692A"/>
    <w:rsid w:val="7B14665D"/>
    <w:rsid w:val="7B784E3E"/>
    <w:rsid w:val="7B947DA7"/>
    <w:rsid w:val="7BA45C33"/>
    <w:rsid w:val="7BA67BFD"/>
    <w:rsid w:val="7BC260B9"/>
    <w:rsid w:val="7BE2675B"/>
    <w:rsid w:val="7BEE19FB"/>
    <w:rsid w:val="7BFC781D"/>
    <w:rsid w:val="7C036DFE"/>
    <w:rsid w:val="7C1E59E5"/>
    <w:rsid w:val="7C3C47A7"/>
    <w:rsid w:val="7C6B49A3"/>
    <w:rsid w:val="7C8917B4"/>
    <w:rsid w:val="7CAA7279"/>
    <w:rsid w:val="7CE87DA1"/>
    <w:rsid w:val="7CEB62C4"/>
    <w:rsid w:val="7CF14EA8"/>
    <w:rsid w:val="7CFE75C5"/>
    <w:rsid w:val="7D284642"/>
    <w:rsid w:val="7D5A0C9F"/>
    <w:rsid w:val="7D755AD9"/>
    <w:rsid w:val="7DB61C4E"/>
    <w:rsid w:val="7DE93DD1"/>
    <w:rsid w:val="7E123328"/>
    <w:rsid w:val="7E235535"/>
    <w:rsid w:val="7E673BD9"/>
    <w:rsid w:val="7E95593D"/>
    <w:rsid w:val="7E991353"/>
    <w:rsid w:val="7E9C52E7"/>
    <w:rsid w:val="7ECB797B"/>
    <w:rsid w:val="7EEA2523"/>
    <w:rsid w:val="7F156D37"/>
    <w:rsid w:val="7F4734A5"/>
    <w:rsid w:val="7FCF08A9"/>
    <w:rsid w:val="7FDC2CAD"/>
    <w:rsid w:val="7FF440B5"/>
    <w:rsid w:val="7FFB60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adjustRightInd w:val="0"/>
      <w:snapToGrid w:val="0"/>
      <w:spacing w:line="570" w:lineRule="exact"/>
      <w:outlineLvl w:val="0"/>
    </w:pPr>
    <w:rPr>
      <w:rFonts w:ascii="华文中宋" w:hAnsi="华文中宋" w:eastAsia="华文中宋"/>
      <w:color w:val="000000"/>
      <w:sz w:val="44"/>
      <w:szCs w:val="44"/>
    </w:rPr>
  </w:style>
  <w:style w:type="paragraph" w:styleId="4">
    <w:name w:val="heading 2"/>
    <w:basedOn w:val="1"/>
    <w:next w:val="1"/>
    <w:qFormat/>
    <w:uiPriority w:val="0"/>
    <w:pPr>
      <w:keepNext/>
      <w:keepLines/>
      <w:spacing w:line="560" w:lineRule="exact"/>
      <w:ind w:firstLine="640"/>
      <w:outlineLvl w:val="1"/>
    </w:pPr>
    <w:rPr>
      <w:rFonts w:eastAsia="黑体"/>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toa heading"/>
    <w:basedOn w:val="1"/>
    <w:next w:val="1"/>
    <w:unhideWhenUsed/>
    <w:qFormat/>
    <w:uiPriority w:val="99"/>
    <w:pPr>
      <w:spacing w:before="120"/>
    </w:pPr>
    <w:rPr>
      <w:rFonts w:ascii="Cambria" w:hAnsi="Cambria" w:cs="Times New Roman"/>
      <w:sz w:val="24"/>
      <w:szCs w:val="24"/>
    </w:rPr>
  </w:style>
  <w:style w:type="paragraph" w:styleId="6">
    <w:name w:val="Body Text"/>
    <w:basedOn w:val="1"/>
    <w:qFormat/>
    <w:uiPriority w:val="0"/>
    <w:rPr>
      <w:rFonts w:ascii="Calibri" w:hAnsi="Calibri" w:eastAsia="宋体" w:cs="Times New Roman"/>
    </w:rPr>
  </w:style>
  <w:style w:type="paragraph" w:styleId="7">
    <w:name w:val="Body Text Indent"/>
    <w:basedOn w:val="1"/>
    <w:unhideWhenUsed/>
    <w:qFormat/>
    <w:uiPriority w:val="0"/>
    <w:pPr>
      <w:ind w:firstLine="640" w:firstLineChars="200"/>
    </w:pPr>
    <w:rPr>
      <w:rFonts w:ascii="仿宋_GB2312" w:hAnsi="Times New Roman" w:eastAsia="仿宋_GB2312"/>
      <w:sz w:val="32"/>
      <w:szCs w:val="24"/>
    </w:rPr>
  </w:style>
  <w:style w:type="paragraph" w:styleId="8">
    <w:name w:val="toc 5"/>
    <w:basedOn w:val="1"/>
    <w:next w:val="1"/>
    <w:qFormat/>
    <w:uiPriority w:val="0"/>
    <w:pPr>
      <w:ind w:left="800" w:leftChars="800"/>
    </w:pPr>
    <w:rPr>
      <w:rFonts w:ascii="Times New Roman" w:hAnsi="Times New Roman"/>
    </w:rPr>
  </w:style>
  <w:style w:type="paragraph" w:styleId="9">
    <w:name w:val="Plain Text"/>
    <w:basedOn w:val="1"/>
    <w:qFormat/>
    <w:uiPriority w:val="99"/>
    <w:rPr>
      <w:rFonts w:ascii="宋体" w:hAnsi="Courier New" w:cs="宋体"/>
      <w:kern w:val="0"/>
      <w:sz w:val="20"/>
      <w:szCs w:val="21"/>
    </w:rPr>
  </w:style>
  <w:style w:type="paragraph" w:styleId="10">
    <w:name w:val="Date"/>
    <w:basedOn w:val="1"/>
    <w:next w:val="1"/>
    <w:link w:val="26"/>
    <w:qFormat/>
    <w:uiPriority w:val="0"/>
    <w:pPr>
      <w:ind w:left="100" w:leftChars="2500"/>
    </w:pPr>
  </w:style>
  <w:style w:type="paragraph" w:styleId="11">
    <w:name w:val="footer"/>
    <w:basedOn w:val="1"/>
    <w:next w:val="1"/>
    <w:link w:val="27"/>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next w:val="1"/>
    <w:link w:val="25"/>
    <w:qFormat/>
    <w:uiPriority w:val="0"/>
    <w:pPr>
      <w:adjustRightInd w:val="0"/>
      <w:spacing w:before="240" w:after="60" w:line="312" w:lineRule="atLeast"/>
      <w:jc w:val="center"/>
      <w:textAlignment w:val="baseline"/>
    </w:pPr>
    <w:rPr>
      <w:rFonts w:ascii="Arial" w:hAnsi="Arial"/>
      <w:b/>
      <w:kern w:val="28"/>
      <w:sz w:val="32"/>
      <w:szCs w:val="20"/>
    </w:rPr>
  </w:style>
  <w:style w:type="paragraph" w:styleId="16">
    <w:name w:val="Body Text First Indent"/>
    <w:basedOn w:val="6"/>
    <w:qFormat/>
    <w:uiPriority w:val="0"/>
    <w:pPr>
      <w:snapToGrid/>
      <w:spacing w:line="520" w:lineRule="exact"/>
      <w:ind w:firstLine="0" w:firstLineChars="0"/>
      <w:jc w:val="center"/>
    </w:pPr>
    <w:rPr>
      <w:rFonts w:ascii="Times New Roman" w:hAnsi="Times New Roman"/>
      <w:sz w:val="24"/>
      <w:szCs w:val="20"/>
    </w:rPr>
  </w:style>
  <w:style w:type="paragraph" w:styleId="17">
    <w:name w:val="Body Text First Indent 2"/>
    <w:basedOn w:val="7"/>
    <w:unhideWhenUsed/>
    <w:qFormat/>
    <w:uiPriority w:val="99"/>
    <w:pPr>
      <w:spacing w:after="120"/>
      <w:ind w:firstLine="420" w:firstLineChars="200"/>
      <w:jc w:val="both"/>
    </w:pPr>
    <w:rPr>
      <w:rFonts w:eastAsia="宋体"/>
      <w:kern w:val="2"/>
      <w:sz w:val="21"/>
      <w:szCs w:val="21"/>
      <w:lang w:eastAsia="zh-CN"/>
    </w:rPr>
  </w:style>
  <w:style w:type="table" w:styleId="19">
    <w:name w:val="Table Grid"/>
    <w:basedOn w:val="18"/>
    <w:qFormat/>
    <w:uiPriority w:val="3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styleId="22">
    <w:name w:val="page number"/>
    <w:basedOn w:val="20"/>
    <w:qFormat/>
    <w:uiPriority w:val="0"/>
  </w:style>
  <w:style w:type="character" w:customStyle="1" w:styleId="23">
    <w:name w:val="公文文种"/>
    <w:basedOn w:val="20"/>
    <w:qFormat/>
    <w:uiPriority w:val="0"/>
    <w:rPr>
      <w:rFonts w:eastAsia="宋体"/>
      <w:sz w:val="32"/>
    </w:rPr>
  </w:style>
  <w:style w:type="character" w:customStyle="1" w:styleId="24">
    <w:name w:val="公文文号"/>
    <w:basedOn w:val="20"/>
    <w:qFormat/>
    <w:uiPriority w:val="0"/>
    <w:rPr>
      <w:rFonts w:eastAsia="仿宋_GB2312"/>
      <w:sz w:val="32"/>
    </w:rPr>
  </w:style>
  <w:style w:type="character" w:customStyle="1" w:styleId="25">
    <w:name w:val="标题 Char"/>
    <w:basedOn w:val="20"/>
    <w:link w:val="15"/>
    <w:qFormat/>
    <w:uiPriority w:val="0"/>
    <w:rPr>
      <w:rFonts w:ascii="Arial" w:hAnsi="Arial"/>
      <w:b/>
      <w:kern w:val="28"/>
      <w:sz w:val="32"/>
    </w:rPr>
  </w:style>
  <w:style w:type="character" w:customStyle="1" w:styleId="26">
    <w:name w:val="日期 Char"/>
    <w:basedOn w:val="20"/>
    <w:link w:val="10"/>
    <w:qFormat/>
    <w:uiPriority w:val="0"/>
    <w:rPr>
      <w:rFonts w:ascii="Calibri" w:hAnsi="Calibri"/>
      <w:kern w:val="2"/>
      <w:sz w:val="21"/>
      <w:szCs w:val="22"/>
    </w:rPr>
  </w:style>
  <w:style w:type="character" w:customStyle="1" w:styleId="27">
    <w:name w:val="页脚 Char"/>
    <w:basedOn w:val="20"/>
    <w:link w:val="11"/>
    <w:qFormat/>
    <w:uiPriority w:val="99"/>
    <w:rPr>
      <w:rFonts w:ascii="Calibri" w:hAnsi="Calibri"/>
      <w:kern w:val="2"/>
      <w:sz w:val="18"/>
      <w:szCs w:val="18"/>
    </w:rPr>
  </w:style>
  <w:style w:type="paragraph" w:customStyle="1" w:styleId="28">
    <w:name w:val="p0"/>
    <w:basedOn w:val="1"/>
    <w:qFormat/>
    <w:uiPriority w:val="0"/>
    <w:pPr>
      <w:widowControl/>
      <w:adjustRightInd w:val="0"/>
      <w:snapToGrid w:val="0"/>
      <w:spacing w:line="365" w:lineRule="atLeast"/>
      <w:ind w:left="1" w:firstLine="200" w:firstLineChars="200"/>
      <w:textAlignment w:val="bottom"/>
    </w:pPr>
    <w:rPr>
      <w:rFonts w:ascii="Times New Roman" w:hAnsi="Times New Roman"/>
      <w:kern w:val="0"/>
      <w:sz w:val="20"/>
      <w:szCs w:val="20"/>
    </w:rPr>
  </w:style>
  <w:style w:type="paragraph" w:customStyle="1" w:styleId="29">
    <w:name w:val="样式2"/>
    <w:basedOn w:val="1"/>
    <w:qFormat/>
    <w:uiPriority w:val="0"/>
    <w:pPr>
      <w:spacing w:line="360" w:lineRule="auto"/>
      <w:ind w:left="297" w:right="297" w:rightChars="100"/>
      <w:jc w:val="left"/>
    </w:pPr>
    <w:rPr>
      <w:rFonts w:ascii="仿宋_GB2312" w:hAnsi="Times New Roman" w:eastAsia="仿宋_GB2312"/>
      <w:b/>
      <w:color w:val="000000"/>
      <w:sz w:val="32"/>
      <w:szCs w:val="32"/>
    </w:rPr>
  </w:style>
  <w:style w:type="character" w:customStyle="1" w:styleId="30">
    <w:name w:val="apple-style-span"/>
    <w:qFormat/>
    <w:uiPriority w:val="99"/>
  </w:style>
  <w:style w:type="paragraph" w:customStyle="1" w:styleId="31">
    <w:name w:val="列出段落1"/>
    <w:basedOn w:val="1"/>
    <w:qFormat/>
    <w:uiPriority w:val="34"/>
    <w:pPr>
      <w:ind w:firstLine="420" w:firstLineChars="200"/>
    </w:pPr>
    <w:rPr>
      <w:rFonts w:asciiTheme="minorHAnsi" w:hAnsiTheme="minorHAnsi" w:eastAsiaTheme="minorEastAsia" w:cstheme="minorBidi"/>
    </w:rPr>
  </w:style>
  <w:style w:type="character" w:customStyle="1" w:styleId="32">
    <w:name w:val="公文正文"/>
    <w:qFormat/>
    <w:uiPriority w:val="0"/>
    <w:rPr>
      <w:rFonts w:hint="eastAsia" w:ascii="仿宋_GB2312" w:eastAsia="仿宋_GB2312"/>
      <w:sz w:val="32"/>
    </w:rPr>
  </w:style>
  <w:style w:type="paragraph" w:styleId="33">
    <w:name w:val="List Paragraph"/>
    <w:basedOn w:val="1"/>
    <w:qFormat/>
    <w:uiPriority w:val="34"/>
    <w:pPr>
      <w:ind w:firstLine="420" w:firstLineChars="200"/>
    </w:pPr>
    <w:rPr>
      <w:rFonts w:asciiTheme="minorHAnsi" w:hAnsiTheme="minorHAnsi" w:eastAsiaTheme="minorEastAsia" w:cstheme="minorBidi"/>
    </w:rPr>
  </w:style>
  <w:style w:type="paragraph" w:customStyle="1" w:styleId="34">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35">
    <w:name w:val="无间隔1"/>
    <w:unhideWhenUsed/>
    <w:qFormat/>
    <w:uiPriority w:val="0"/>
    <w:pPr>
      <w:widowControl w:val="0"/>
      <w:spacing w:line="240" w:lineRule="auto"/>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China</Company>
  <Pages>14</Pages>
  <Words>5622</Words>
  <Characters>5810</Characters>
  <Lines>1</Lines>
  <Paragraphs>1</Paragraphs>
  <TotalTime>1</TotalTime>
  <ScaleCrop>false</ScaleCrop>
  <LinksUpToDate>false</LinksUpToDate>
  <CharactersWithSpaces>6172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2019-03-22T06:27:00Z</dcterms:created>
  <dc:creator>user</dc:creator>
  <cp:lastModifiedBy>景鸿成</cp:lastModifiedBy>
  <cp:lastPrinted>2024-04-08T03:39:00Z</cp:lastPrinted>
  <dcterms:modified xsi:type="dcterms:W3CDTF">2024-11-29T09:56:19Z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04B4F91A16E449D49D26A89ECB0F5C5D_13</vt:lpwstr>
  </property>
</Properties>
</file>