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C7B5A">
      <w:pPr>
        <w:widowControl/>
        <w:spacing w:line="560" w:lineRule="exact"/>
        <w:ind w:firstLine="880" w:firstLineChars="200"/>
        <w:rPr>
          <w:rFonts w:ascii="方正小标宋简体" w:hAnsi="方正小标宋简体" w:eastAsia="方正小标宋简体" w:cs="方正小标宋简体"/>
          <w:sz w:val="44"/>
          <w:szCs w:val="44"/>
        </w:rPr>
      </w:pPr>
    </w:p>
    <w:p w14:paraId="013DD269">
      <w:pPr>
        <w:widowControl/>
        <w:spacing w:line="560" w:lineRule="exact"/>
        <w:ind w:firstLine="880" w:firstLineChars="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项目支出绩效评价报告</w:t>
      </w:r>
    </w:p>
    <w:p w14:paraId="24D743E0">
      <w:pPr>
        <w:pStyle w:val="2"/>
      </w:pPr>
    </w:p>
    <w:p w14:paraId="0FBE04AA">
      <w:pPr>
        <w:widowControl/>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00FF189A">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（一）项目概况。包括项目背景、主要内容及实施情况、资金投入和使用情况等。</w:t>
      </w:r>
    </w:p>
    <w:p w14:paraId="6893FAEF">
      <w:pPr>
        <w:widowControl/>
        <w:spacing w:line="360" w:lineRule="auto"/>
        <w:ind w:firstLine="640" w:firstLineChars="200"/>
        <w:rPr>
          <w:rFonts w:ascii="仿宋_GB2312" w:hAnsi="仿宋_GB2312" w:eastAsia="仿宋_GB2312"/>
          <w:sz w:val="32"/>
          <w:szCs w:val="32"/>
        </w:rPr>
      </w:pPr>
      <w:r>
        <w:rPr>
          <w:rFonts w:hint="eastAsia" w:ascii="仿宋_GB2312" w:hAnsi="Times New Roman" w:eastAsia="仿宋_GB2312"/>
          <w:sz w:val="32"/>
          <w:szCs w:val="32"/>
        </w:rPr>
        <w:t>2023年春节将至，根据市、区两级政府相关工作部署，</w:t>
      </w:r>
      <w:r>
        <w:rPr>
          <w:rFonts w:hint="eastAsia" w:ascii="仿宋_GB2312" w:hAnsi="仿宋_GB2312" w:eastAsia="仿宋_GB2312"/>
          <w:sz w:val="32"/>
          <w:szCs w:val="32"/>
        </w:rPr>
        <w:t>为丰富五华城市活力，促进南屏周边文化、旅游、商业的融合发展，拟以</w:t>
      </w:r>
      <w:r>
        <w:rPr>
          <w:rFonts w:hint="eastAsia" w:ascii="仿宋_GB2312" w:hAnsi="Times New Roman" w:eastAsia="仿宋_GB2312"/>
          <w:sz w:val="32"/>
          <w:szCs w:val="32"/>
        </w:rPr>
        <w:t>2023</w:t>
      </w:r>
      <w:r>
        <w:rPr>
          <w:rFonts w:hint="eastAsia" w:ascii="仿宋_GB2312" w:hAnsi="仿宋_GB2312" w:eastAsia="仿宋_GB2312"/>
          <w:sz w:val="32"/>
          <w:szCs w:val="32"/>
        </w:rPr>
        <w:t>兔年新春为契机，组织开展新春花市、春节年俗、文艺演出、烟花表演、创意市集等一系列文化活动。整合南屏街区、庆云街、景星街、柏联广场、顺城五大区域的商业、文化资源，融入</w:t>
      </w:r>
      <w:r>
        <w:rPr>
          <w:rFonts w:ascii="仿宋_GB2312" w:hAnsi="仿宋_GB2312" w:eastAsia="仿宋_GB2312"/>
          <w:sz w:val="32"/>
          <w:szCs w:val="32"/>
        </w:rPr>
        <w:t>春节</w:t>
      </w:r>
      <w:r>
        <w:rPr>
          <w:rFonts w:hint="eastAsia" w:ascii="仿宋_GB2312" w:hAnsi="仿宋_GB2312" w:eastAsia="仿宋_GB2312"/>
          <w:sz w:val="32"/>
          <w:szCs w:val="32"/>
        </w:rPr>
        <w:t>、文艺汇演、民俗活动、</w:t>
      </w:r>
      <w:r>
        <w:rPr>
          <w:rFonts w:ascii="仿宋_GB2312" w:hAnsi="仿宋_GB2312" w:eastAsia="仿宋_GB2312"/>
          <w:sz w:val="32"/>
          <w:szCs w:val="32"/>
        </w:rPr>
        <w:t>烟花</w:t>
      </w:r>
      <w:r>
        <w:rPr>
          <w:rFonts w:hint="eastAsia" w:ascii="仿宋_GB2312" w:hAnsi="仿宋_GB2312" w:eastAsia="仿宋_GB2312"/>
          <w:sz w:val="32"/>
          <w:szCs w:val="32"/>
        </w:rPr>
        <w:t>、</w:t>
      </w:r>
      <w:r>
        <w:rPr>
          <w:rFonts w:ascii="仿宋_GB2312" w:hAnsi="仿宋_GB2312" w:eastAsia="仿宋_GB2312"/>
          <w:sz w:val="32"/>
          <w:szCs w:val="32"/>
        </w:rPr>
        <w:t>美食</w:t>
      </w:r>
      <w:r>
        <w:rPr>
          <w:rFonts w:hint="eastAsia" w:eastAsia="仿宋_GB2312" w:cs="Calibri"/>
          <w:sz w:val="32"/>
          <w:szCs w:val="32"/>
        </w:rPr>
        <w:t>、</w:t>
      </w:r>
      <w:r>
        <w:rPr>
          <w:rFonts w:hint="eastAsia" w:ascii="仿宋_GB2312" w:hAnsi="仿宋_GB2312" w:eastAsia="仿宋_GB2312"/>
          <w:sz w:val="32"/>
          <w:szCs w:val="32"/>
        </w:rPr>
        <w:t>花艺、潮玩等元素，进行春节活动氛围呈现。</w:t>
      </w:r>
    </w:p>
    <w:p w14:paraId="2A2F0BA8">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南屏迎春·遇兔呈祥”活动经费来源于财政资金，主要用于主活动策划、设计、制作经费及主次干道和背街小巷装饰中国结等。全年预算数为733.34万元，全年执行数为632.47万元，执行率为86%。资金使用具有安全性、规范性及有效性，支付标准、支付进度、支付依据合规合法、与预算相符。2023年“南屏迎春·遇兔呈祥”活动经费项目到位数为632.47万元、及时性高、到位率为86%。</w:t>
      </w:r>
    </w:p>
    <w:p w14:paraId="435A1162">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（二）项目绩效目标。包括总体目标、阶段性目标。</w:t>
      </w:r>
    </w:p>
    <w:p w14:paraId="27321367">
      <w:pPr>
        <w:widowControl/>
        <w:spacing w:line="360" w:lineRule="auto"/>
        <w:ind w:firstLine="640" w:firstLineChars="200"/>
        <w:rPr>
          <w:rFonts w:ascii="仿宋_GB2312" w:hAnsi="仿宋_GB2312" w:eastAsia="仿宋_GB2312"/>
          <w:sz w:val="32"/>
          <w:szCs w:val="32"/>
        </w:rPr>
      </w:pPr>
      <w:r>
        <w:rPr>
          <w:rFonts w:hint="eastAsia" w:ascii="仿宋_GB2312" w:hAnsi="仿宋_GB2312" w:eastAsia="仿宋_GB2312"/>
          <w:sz w:val="32"/>
          <w:szCs w:val="32"/>
        </w:rPr>
        <w:t>整合南屏街区、庆云街、景星街、柏联广场、顺城五大区域的商业、文化资源，融入</w:t>
      </w:r>
      <w:r>
        <w:rPr>
          <w:rFonts w:ascii="仿宋_GB2312" w:hAnsi="仿宋_GB2312" w:eastAsia="仿宋_GB2312"/>
          <w:sz w:val="32"/>
          <w:szCs w:val="32"/>
        </w:rPr>
        <w:t>春节</w:t>
      </w:r>
      <w:r>
        <w:rPr>
          <w:rFonts w:hint="eastAsia" w:ascii="仿宋_GB2312" w:hAnsi="仿宋_GB2312" w:eastAsia="仿宋_GB2312"/>
          <w:sz w:val="32"/>
          <w:szCs w:val="32"/>
        </w:rPr>
        <w:t>、文艺汇演、民俗活动、</w:t>
      </w:r>
      <w:r>
        <w:rPr>
          <w:rFonts w:ascii="仿宋_GB2312" w:hAnsi="仿宋_GB2312" w:eastAsia="仿宋_GB2312"/>
          <w:sz w:val="32"/>
          <w:szCs w:val="32"/>
        </w:rPr>
        <w:t>烟花</w:t>
      </w:r>
      <w:r>
        <w:rPr>
          <w:rFonts w:hint="eastAsia" w:ascii="仿宋_GB2312" w:hAnsi="仿宋_GB2312" w:eastAsia="仿宋_GB2312"/>
          <w:sz w:val="32"/>
          <w:szCs w:val="32"/>
        </w:rPr>
        <w:t>、</w:t>
      </w:r>
      <w:r>
        <w:rPr>
          <w:rFonts w:ascii="仿宋_GB2312" w:hAnsi="仿宋_GB2312" w:eastAsia="仿宋_GB2312"/>
          <w:sz w:val="32"/>
          <w:szCs w:val="32"/>
        </w:rPr>
        <w:t>美食</w:t>
      </w:r>
      <w:r>
        <w:rPr>
          <w:rFonts w:hint="eastAsia" w:eastAsia="仿宋_GB2312" w:cs="Calibri"/>
          <w:sz w:val="32"/>
          <w:szCs w:val="32"/>
        </w:rPr>
        <w:t>、</w:t>
      </w:r>
      <w:r>
        <w:rPr>
          <w:rFonts w:hint="eastAsia" w:ascii="仿宋_GB2312" w:hAnsi="仿宋_GB2312" w:eastAsia="仿宋_GB2312"/>
          <w:sz w:val="32"/>
          <w:szCs w:val="32"/>
        </w:rPr>
        <w:t>花艺、潮玩等元素，进行春节活动氛围呈现。</w:t>
      </w:r>
    </w:p>
    <w:p w14:paraId="6EE8B71D">
      <w:pPr>
        <w:pStyle w:val="10"/>
        <w:spacing w:line="360" w:lineRule="auto"/>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全面贯彻落实党的二十大精神，进一步推动后疫情时代促进消费持续恢复决策部署，抓住春节、元宵节等传统佳节消费旺季契机，在春节期间开展“南屏迎喜、遇兔呈祥”为主题的一系列迎新春活动。在进一步活跃商圈氛围，促进经济复苏的同时，提前谋划、周密部署，突出重点，明确分工，切实做好区级指挥、部门联动、分片负责，上下同心同力，强化防范措施，全面做好春节期间安全和应急工作</w:t>
      </w:r>
      <w:r>
        <w:rPr>
          <w:rFonts w:hint="eastAsia" w:ascii="Times New Roman" w:hAnsi="Times New Roman" w:eastAsia="仿宋_GB2312" w:cs="Times New Roman"/>
          <w:sz w:val="32"/>
          <w:szCs w:val="32"/>
        </w:rPr>
        <w:t>，有效地预防和处置活动中可能出现的突发事件，促进南屏周边文化、旅游、商业的融合发展，使得广大群众对活动的满意度达到95%。</w:t>
      </w:r>
    </w:p>
    <w:p w14:paraId="7159B923">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（三）项目组织管理情况。</w:t>
      </w:r>
    </w:p>
    <w:p w14:paraId="728A2675">
      <w:pPr>
        <w:spacing w:line="360" w:lineRule="auto"/>
        <w:ind w:firstLine="640" w:firstLineChars="200"/>
        <w:rPr>
          <w:rFonts w:ascii="Times New Roman" w:hAnsi="Times New Roman" w:eastAsia="仿宋_GB2312"/>
          <w:sz w:val="32"/>
          <w:szCs w:val="32"/>
        </w:rPr>
      </w:pPr>
      <w:r>
        <w:rPr>
          <w:rFonts w:hint="eastAsia" w:ascii="仿宋_GB2312" w:hAnsi="仿宋_GB2312" w:eastAsia="仿宋_GB2312" w:cs="仿宋_GB2312"/>
          <w:sz w:val="32"/>
          <w:szCs w:val="32"/>
        </w:rPr>
        <w:t>1、项目组织领导情况：</w:t>
      </w:r>
      <w:r>
        <w:rPr>
          <w:rFonts w:ascii="Times New Roman" w:hAnsi="Times New Roman" w:eastAsia="仿宋_GB2312"/>
          <w:sz w:val="32"/>
          <w:szCs w:val="32"/>
        </w:rPr>
        <w:t>为确保</w:t>
      </w:r>
      <w:r>
        <w:rPr>
          <w:rFonts w:hint="eastAsia" w:ascii="Times New Roman" w:hAnsi="Times New Roman" w:eastAsia="仿宋_GB2312"/>
          <w:sz w:val="32"/>
          <w:szCs w:val="32"/>
        </w:rPr>
        <w:t>2023年</w:t>
      </w:r>
      <w:r>
        <w:rPr>
          <w:rFonts w:ascii="Times New Roman" w:hAnsi="Times New Roman" w:eastAsia="仿宋_GB2312"/>
          <w:sz w:val="32"/>
          <w:szCs w:val="32"/>
        </w:rPr>
        <w:t>“南屏迎喜、遇兔呈祥”迎新春活动</w:t>
      </w:r>
      <w:r>
        <w:rPr>
          <w:rFonts w:hint="eastAsia" w:ascii="Times New Roman" w:hAnsi="Times New Roman" w:eastAsia="仿宋_GB2312"/>
          <w:sz w:val="32"/>
          <w:szCs w:val="32"/>
        </w:rPr>
        <w:t>的顺利开展</w:t>
      </w:r>
      <w:r>
        <w:rPr>
          <w:rFonts w:ascii="Times New Roman" w:hAnsi="Times New Roman" w:eastAsia="仿宋_GB2312"/>
          <w:sz w:val="32"/>
          <w:szCs w:val="32"/>
        </w:rPr>
        <w:t>，经研究</w:t>
      </w:r>
      <w:r>
        <w:rPr>
          <w:rFonts w:hint="eastAsia" w:ascii="Times New Roman" w:hAnsi="Times New Roman" w:eastAsia="仿宋_GB2312"/>
          <w:sz w:val="32"/>
          <w:szCs w:val="32"/>
        </w:rPr>
        <w:t>，</w:t>
      </w:r>
      <w:r>
        <w:rPr>
          <w:rFonts w:ascii="Times New Roman" w:hAnsi="Times New Roman" w:eastAsia="仿宋_GB2312"/>
          <w:sz w:val="32"/>
          <w:szCs w:val="32"/>
        </w:rPr>
        <w:t>决定成立区迎新春</w:t>
      </w:r>
      <w:r>
        <w:rPr>
          <w:rFonts w:hint="eastAsia" w:ascii="Times New Roman" w:hAnsi="Times New Roman" w:eastAsia="仿宋_GB2312"/>
          <w:sz w:val="32"/>
          <w:szCs w:val="32"/>
        </w:rPr>
        <w:t>活动</w:t>
      </w:r>
      <w:r>
        <w:rPr>
          <w:rFonts w:ascii="Times New Roman" w:hAnsi="Times New Roman" w:eastAsia="仿宋_GB2312"/>
          <w:sz w:val="32"/>
          <w:szCs w:val="32"/>
        </w:rPr>
        <w:t>保障工作领导</w:t>
      </w:r>
      <w:r>
        <w:rPr>
          <w:rFonts w:hint="eastAsia" w:ascii="Times New Roman" w:hAnsi="Times New Roman" w:eastAsia="仿宋_GB2312"/>
          <w:sz w:val="32"/>
          <w:szCs w:val="32"/>
        </w:rPr>
        <w:t>小</w:t>
      </w:r>
      <w:r>
        <w:rPr>
          <w:rFonts w:ascii="Times New Roman" w:hAnsi="Times New Roman" w:eastAsia="仿宋_GB2312"/>
          <w:sz w:val="32"/>
          <w:szCs w:val="32"/>
        </w:rPr>
        <w:t>组，具体负责</w:t>
      </w:r>
      <w:r>
        <w:rPr>
          <w:rFonts w:hint="eastAsia" w:ascii="Times New Roman" w:hAnsi="Times New Roman" w:eastAsia="仿宋_GB2312"/>
          <w:sz w:val="32"/>
          <w:szCs w:val="32"/>
        </w:rPr>
        <w:t>南屏</w:t>
      </w:r>
      <w:r>
        <w:rPr>
          <w:rFonts w:ascii="Times New Roman" w:hAnsi="Times New Roman" w:eastAsia="仿宋_GB2312"/>
          <w:sz w:val="32"/>
          <w:szCs w:val="32"/>
        </w:rPr>
        <w:t>步行街区</w:t>
      </w:r>
      <w:r>
        <w:rPr>
          <w:rFonts w:hint="eastAsia" w:ascii="Times New Roman" w:hAnsi="Times New Roman" w:eastAsia="仿宋_GB2312"/>
          <w:sz w:val="32"/>
          <w:szCs w:val="32"/>
        </w:rPr>
        <w:t>春节氛围营造</w:t>
      </w:r>
      <w:r>
        <w:rPr>
          <w:rFonts w:ascii="Times New Roman" w:hAnsi="Times New Roman" w:eastAsia="仿宋_GB2312"/>
          <w:sz w:val="32"/>
          <w:szCs w:val="32"/>
        </w:rPr>
        <w:t>的组织、统筹、协调和实施。</w:t>
      </w:r>
    </w:p>
    <w:p w14:paraId="38F24D1B">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总</w:t>
      </w:r>
      <w:r>
        <w:rPr>
          <w:rFonts w:hint="eastAsia" w:ascii="Times New Roman" w:hAnsi="Times New Roman" w:eastAsia="仿宋_GB2312"/>
          <w:sz w:val="32"/>
          <w:szCs w:val="32"/>
        </w:rPr>
        <w:t xml:space="preserve"> </w:t>
      </w:r>
      <w:r>
        <w:rPr>
          <w:rFonts w:ascii="Times New Roman" w:hAnsi="Times New Roman" w:eastAsia="仿宋_GB2312"/>
          <w:sz w:val="32"/>
          <w:szCs w:val="32"/>
        </w:rPr>
        <w:t>指</w:t>
      </w:r>
      <w:r>
        <w:rPr>
          <w:rFonts w:hint="eastAsia" w:ascii="Times New Roman" w:hAnsi="Times New Roman" w:eastAsia="仿宋_GB2312"/>
          <w:sz w:val="32"/>
          <w:szCs w:val="32"/>
        </w:rPr>
        <w:t xml:space="preserve"> </w:t>
      </w:r>
      <w:r>
        <w:rPr>
          <w:rFonts w:ascii="Times New Roman" w:hAnsi="Times New Roman" w:eastAsia="仿宋_GB2312"/>
          <w:sz w:val="32"/>
          <w:szCs w:val="32"/>
        </w:rPr>
        <w:t>挥</w:t>
      </w: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长：邹新宇 </w:t>
      </w: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区人民政府 副区长 </w:t>
      </w:r>
    </w:p>
    <w:p w14:paraId="4284E40B">
      <w:pPr>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常务副指挥长：丁  勇    护国街道党工委书记</w:t>
      </w:r>
    </w:p>
    <w:p w14:paraId="7F2D4EA9">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指</w:t>
      </w: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挥 </w:t>
      </w:r>
      <w:r>
        <w:rPr>
          <w:rFonts w:hint="eastAsia" w:ascii="Times New Roman" w:hAnsi="Times New Roman" w:eastAsia="仿宋_GB2312"/>
          <w:sz w:val="32"/>
          <w:szCs w:val="32"/>
        </w:rPr>
        <w:t xml:space="preserve">  </w:t>
      </w:r>
      <w:r>
        <w:rPr>
          <w:rFonts w:ascii="Times New Roman" w:hAnsi="Times New Roman" w:eastAsia="仿宋_GB2312"/>
          <w:sz w:val="32"/>
          <w:szCs w:val="32"/>
        </w:rPr>
        <w:t>长：</w:t>
      </w:r>
      <w:r>
        <w:rPr>
          <w:rFonts w:hint="eastAsia" w:ascii="Times New Roman" w:hAnsi="Times New Roman" w:eastAsia="仿宋_GB2312"/>
          <w:sz w:val="32"/>
          <w:szCs w:val="32"/>
        </w:rPr>
        <w:t>郭锦曙    区城市管理局局长</w:t>
      </w:r>
    </w:p>
    <w:p w14:paraId="082FB357">
      <w:pPr>
        <w:spacing w:line="360" w:lineRule="auto"/>
        <w:ind w:firstLine="2880" w:firstLineChars="900"/>
        <w:rPr>
          <w:rFonts w:ascii="Times New Roman" w:hAnsi="Times New Roman" w:eastAsia="仿宋_GB2312"/>
          <w:sz w:val="32"/>
          <w:szCs w:val="32"/>
        </w:rPr>
      </w:pPr>
      <w:r>
        <w:rPr>
          <w:rFonts w:hint="eastAsia" w:ascii="Times New Roman" w:hAnsi="Times New Roman" w:eastAsia="仿宋_GB2312"/>
          <w:sz w:val="32"/>
          <w:szCs w:val="32"/>
        </w:rPr>
        <w:t>黄俊源</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护国</w:t>
      </w:r>
      <w:r>
        <w:rPr>
          <w:rFonts w:ascii="Times New Roman" w:hAnsi="Times New Roman" w:eastAsia="仿宋_GB2312"/>
          <w:sz w:val="32"/>
          <w:szCs w:val="32"/>
        </w:rPr>
        <w:t>街道办事处主任</w:t>
      </w:r>
    </w:p>
    <w:p w14:paraId="28FFD385">
      <w:pPr>
        <w:spacing w:line="360" w:lineRule="auto"/>
        <w:ind w:firstLine="640" w:firstLineChars="200"/>
        <w:rPr>
          <w:rFonts w:ascii="仿宋_GB2312" w:hAnsi="仿宋_GB2312" w:eastAsia="仿宋_GB2312"/>
          <w:sz w:val="32"/>
          <w:szCs w:val="32"/>
        </w:rPr>
      </w:pPr>
      <w:r>
        <w:rPr>
          <w:rFonts w:hint="eastAsia" w:ascii="Times New Roman" w:hAnsi="Times New Roman" w:eastAsia="仿宋_GB2312"/>
          <w:sz w:val="32"/>
          <w:szCs w:val="32"/>
        </w:rPr>
        <w:t xml:space="preserve">副 指 挥 长：           </w:t>
      </w:r>
      <w:r>
        <w:rPr>
          <w:rFonts w:ascii="仿宋_GB2312" w:hAnsi="仿宋_GB2312" w:eastAsia="仿宋_GB2312"/>
          <w:sz w:val="32"/>
          <w:szCs w:val="32"/>
        </w:rPr>
        <w:t>区委</w:t>
      </w:r>
      <w:r>
        <w:rPr>
          <w:rFonts w:hint="eastAsia" w:ascii="仿宋_GB2312" w:hAnsi="仿宋_GB2312" w:eastAsia="仿宋_GB2312"/>
          <w:sz w:val="32"/>
          <w:szCs w:val="32"/>
        </w:rPr>
        <w:t>政法委</w:t>
      </w:r>
    </w:p>
    <w:p w14:paraId="796250A8">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区委宣传部</w:t>
      </w:r>
    </w:p>
    <w:p w14:paraId="4BBD37D7">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市公安局五华公安分局</w:t>
      </w:r>
    </w:p>
    <w:p w14:paraId="351401DB">
      <w:pPr>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区财政局</w:t>
      </w:r>
    </w:p>
    <w:p w14:paraId="5B9804BA">
      <w:pPr>
        <w:spacing w:line="360" w:lineRule="auto"/>
        <w:ind w:firstLine="4480" w:firstLineChars="1400"/>
        <w:rPr>
          <w:rFonts w:ascii="Times New Roman" w:hAnsi="Times New Roman" w:eastAsia="仿宋_GB2312"/>
          <w:sz w:val="32"/>
          <w:szCs w:val="32"/>
        </w:rPr>
      </w:pPr>
      <w:r>
        <w:rPr>
          <w:rFonts w:ascii="Times New Roman" w:hAnsi="Times New Roman" w:eastAsia="仿宋_GB2312"/>
          <w:sz w:val="32"/>
          <w:szCs w:val="32"/>
        </w:rPr>
        <w:t>区商务和投资促进局</w:t>
      </w:r>
    </w:p>
    <w:p w14:paraId="71FA2910">
      <w:pPr>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ascii="Times New Roman" w:hAnsi="Times New Roman" w:eastAsia="仿宋_GB2312"/>
          <w:sz w:val="32"/>
          <w:szCs w:val="32"/>
        </w:rPr>
        <w:t>区文化</w:t>
      </w:r>
      <w:r>
        <w:rPr>
          <w:rFonts w:hint="eastAsia" w:ascii="Times New Roman" w:hAnsi="Times New Roman" w:eastAsia="仿宋_GB2312"/>
          <w:sz w:val="32"/>
          <w:szCs w:val="32"/>
          <w:lang w:val="en-US" w:eastAsia="zh-CN"/>
        </w:rPr>
        <w:t>和</w:t>
      </w:r>
      <w:bookmarkStart w:id="0" w:name="_GoBack"/>
      <w:bookmarkEnd w:id="0"/>
      <w:r>
        <w:rPr>
          <w:rFonts w:ascii="Times New Roman" w:hAnsi="Times New Roman" w:eastAsia="仿宋_GB2312"/>
          <w:sz w:val="32"/>
          <w:szCs w:val="32"/>
        </w:rPr>
        <w:t>旅游局</w:t>
      </w:r>
    </w:p>
    <w:p w14:paraId="25062E52">
      <w:pPr>
        <w:spacing w:line="360" w:lineRule="auto"/>
        <w:ind w:firstLine="4480" w:firstLineChars="1400"/>
        <w:rPr>
          <w:rFonts w:ascii="Times New Roman" w:hAnsi="Times New Roman" w:eastAsia="仿宋_GB2312"/>
          <w:sz w:val="32"/>
          <w:szCs w:val="32"/>
        </w:rPr>
      </w:pPr>
      <w:r>
        <w:rPr>
          <w:rFonts w:ascii="Times New Roman" w:hAnsi="Times New Roman" w:eastAsia="仿宋_GB2312"/>
          <w:sz w:val="32"/>
          <w:szCs w:val="32"/>
        </w:rPr>
        <w:t>区住房和城乡建设局</w:t>
      </w:r>
      <w:r>
        <w:rPr>
          <w:rFonts w:hint="eastAsia" w:ascii="Times New Roman" w:hAnsi="Times New Roman" w:eastAsia="仿宋_GB2312"/>
          <w:sz w:val="32"/>
          <w:szCs w:val="32"/>
        </w:rPr>
        <w:t xml:space="preserve"> </w:t>
      </w:r>
    </w:p>
    <w:p w14:paraId="792BBBA7">
      <w:pPr>
        <w:spacing w:line="360" w:lineRule="auto"/>
        <w:ind w:firstLine="4480" w:firstLineChars="1400"/>
        <w:rPr>
          <w:rFonts w:ascii="Times New Roman" w:hAnsi="Times New Roman" w:eastAsia="仿宋_GB2312"/>
          <w:sz w:val="32"/>
          <w:szCs w:val="32"/>
        </w:rPr>
      </w:pPr>
      <w:r>
        <w:rPr>
          <w:rFonts w:ascii="Times New Roman" w:hAnsi="Times New Roman" w:eastAsia="仿宋_GB2312"/>
          <w:sz w:val="32"/>
          <w:szCs w:val="32"/>
        </w:rPr>
        <w:t>区应急管理局</w:t>
      </w:r>
    </w:p>
    <w:p w14:paraId="1DCAFAE5">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区网格中心</w:t>
      </w:r>
    </w:p>
    <w:p w14:paraId="0F07D52C">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区卫健局</w:t>
      </w:r>
    </w:p>
    <w:p w14:paraId="3A89B261">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区工商联</w:t>
      </w:r>
    </w:p>
    <w:p w14:paraId="4F8D1252">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区人力资源和社会保障局</w:t>
      </w:r>
    </w:p>
    <w:p w14:paraId="7204C0E2">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区科信局</w:t>
      </w:r>
    </w:p>
    <w:p w14:paraId="3B6889ED">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 xml:space="preserve">区国投公司                                                                              </w:t>
      </w:r>
    </w:p>
    <w:p w14:paraId="34800B43">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区市场监督管理局</w:t>
      </w:r>
    </w:p>
    <w:p w14:paraId="2F3CCBBA">
      <w:pPr>
        <w:spacing w:line="360" w:lineRule="auto"/>
        <w:ind w:firstLine="4480" w:firstLineChars="1400"/>
        <w:rPr>
          <w:rFonts w:ascii="Times New Roman" w:hAnsi="Times New Roman" w:eastAsia="仿宋_GB2312"/>
          <w:sz w:val="32"/>
          <w:szCs w:val="32"/>
        </w:rPr>
      </w:pPr>
      <w:r>
        <w:rPr>
          <w:rFonts w:ascii="Times New Roman" w:hAnsi="Times New Roman" w:eastAsia="仿宋_GB2312"/>
          <w:sz w:val="32"/>
          <w:szCs w:val="32"/>
        </w:rPr>
        <w:t>区消防大队</w:t>
      </w:r>
    </w:p>
    <w:p w14:paraId="4A6075DD">
      <w:pPr>
        <w:spacing w:line="360" w:lineRule="auto"/>
        <w:ind w:firstLine="4480" w:firstLineChars="1400"/>
        <w:rPr>
          <w:rFonts w:ascii="Times New Roman" w:hAnsi="Times New Roman" w:eastAsia="仿宋_GB2312"/>
          <w:sz w:val="32"/>
          <w:szCs w:val="32"/>
        </w:rPr>
      </w:pPr>
      <w:r>
        <w:rPr>
          <w:rFonts w:ascii="Times New Roman" w:hAnsi="Times New Roman" w:eastAsia="仿宋_GB2312"/>
          <w:sz w:val="32"/>
          <w:szCs w:val="32"/>
        </w:rPr>
        <w:t>交警一大队</w:t>
      </w:r>
    </w:p>
    <w:p w14:paraId="71966A36">
      <w:pPr>
        <w:spacing w:line="360" w:lineRule="auto"/>
        <w:ind w:firstLine="4480" w:firstLineChars="1400"/>
        <w:rPr>
          <w:rFonts w:ascii="Times New Roman" w:hAnsi="Times New Roman" w:eastAsia="仿宋_GB2312"/>
          <w:sz w:val="32"/>
          <w:szCs w:val="32"/>
        </w:rPr>
      </w:pPr>
      <w:r>
        <w:rPr>
          <w:rFonts w:hint="eastAsia" w:ascii="Times New Roman" w:hAnsi="Times New Roman" w:eastAsia="仿宋_GB2312"/>
          <w:sz w:val="32"/>
          <w:szCs w:val="32"/>
        </w:rPr>
        <w:t>区信访局</w:t>
      </w:r>
    </w:p>
    <w:p w14:paraId="1A02AA6A">
      <w:pPr>
        <w:spacing w:line="360" w:lineRule="auto"/>
        <w:ind w:firstLine="640" w:firstLineChars="200"/>
        <w:rPr>
          <w:rFonts w:ascii="仿宋_GB2312" w:hAnsi="仿宋_GB2312" w:eastAsia="仿宋_GB2312" w:cs="仿宋_GB2312"/>
          <w:sz w:val="32"/>
          <w:szCs w:val="32"/>
        </w:rPr>
      </w:pPr>
      <w:r>
        <w:rPr>
          <w:rFonts w:ascii="Times New Roman" w:hAnsi="Times New Roman" w:eastAsia="仿宋_GB2312"/>
          <w:sz w:val="32"/>
          <w:szCs w:val="32"/>
        </w:rPr>
        <w:t>领导小组下设办公室于护国街道办事处，办公室主任由护国街道办事处主任</w:t>
      </w:r>
      <w:r>
        <w:rPr>
          <w:rFonts w:hint="eastAsia" w:ascii="Times New Roman" w:hAnsi="Times New Roman" w:eastAsia="仿宋_GB2312"/>
          <w:sz w:val="32"/>
          <w:szCs w:val="32"/>
        </w:rPr>
        <w:t>黄俊源</w:t>
      </w:r>
      <w:r>
        <w:rPr>
          <w:rFonts w:ascii="Times New Roman" w:hAnsi="Times New Roman" w:eastAsia="仿宋_GB2312"/>
          <w:sz w:val="32"/>
          <w:szCs w:val="32"/>
        </w:rPr>
        <w:t>担任</w:t>
      </w:r>
      <w:r>
        <w:rPr>
          <w:rFonts w:hint="eastAsia" w:ascii="Times New Roman" w:hAnsi="Times New Roman" w:eastAsia="仿宋_GB2312"/>
          <w:sz w:val="32"/>
          <w:szCs w:val="32"/>
        </w:rPr>
        <w:t>。领导小组办公室负责日常工作的协调处理，</w:t>
      </w:r>
      <w:r>
        <w:rPr>
          <w:rFonts w:ascii="Times New Roman" w:hAnsi="Times New Roman" w:eastAsia="仿宋_GB2312"/>
          <w:sz w:val="32"/>
          <w:szCs w:val="32"/>
        </w:rPr>
        <w:t>及时研究、指挥处置活动出现的各种突发性事件和意外情况，指导协调领导小组成员单位按分工履行职责。</w:t>
      </w:r>
    </w:p>
    <w:p w14:paraId="744F1C6E">
      <w:pPr>
        <w:overflowPunct w:val="0"/>
        <w:autoSpaceDE w:val="0"/>
        <w:autoSpaceDN w:val="0"/>
        <w:spacing w:line="360" w:lineRule="auto"/>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情况：主要参照街道三重一大决策制度、及护国街道采购内控制度及2023年业务开展情况执行，30000元及以上项目需经过采购会讨论方能开展，同时需在监理公司监督下开展，最终付款金额需通过工程审计公司审定。各部门积极配合，参与工作的开展，最终完成各项绩效指标。为加强资金的管理，五华区护国街道办事处制定了《五华区护国街道办事处财务管理制度》、《五华区护国街道办事处资金管理制度》《五华区护国街道办事处专项资金管理制度》、《五华区护国街道办事处国有资产管理制度》、《五华区护国街道办事处预算管理制度》、《五华区护国街道办事处内控管理制度》。财务管理制度健全具体，能够确保财政资金有效的使用。</w:t>
      </w:r>
    </w:p>
    <w:p w14:paraId="1A205A12">
      <w:pPr>
        <w:widowControl/>
        <w:spacing w:line="360"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二、绩效评价工作开展情况</w:t>
      </w:r>
    </w:p>
    <w:p w14:paraId="662C1CCF">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（一）绩效评价目的、对象和范围。</w:t>
      </w:r>
    </w:p>
    <w:p w14:paraId="333E6B55">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本次绩效评价，总结护国街道办事处2023年“南屏迎春·遇兔呈祥”活动经费项目支出在决策、执行等方面的经验，查找其存在的不足，提出相关科学合理的政策建议，从而加强和规范昆明市五华区人民政府护国街道办事处预算管理工作，合理配置公共资源，促进财政资金在街道政务经费支出项目中的使用效益。</w:t>
      </w:r>
    </w:p>
    <w:p w14:paraId="7CA86B99">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本次绩效评价对象为2023年“南屏迎春·遇兔呈祥”活动经费项目支出，评价范围为2023年项目资金使用的决策、过程、产出、效益。</w:t>
      </w:r>
    </w:p>
    <w:p w14:paraId="455A1AD9">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（二）绩效评价原则、依据、评价指标体系（附表说明）、评价方法、评价标准、评价抽样等。</w:t>
      </w:r>
    </w:p>
    <w:p w14:paraId="52472DD9">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的原则为：1、科学公正。绩效评价应当运用科学合理的方法，按照规范的程序，对项目绩效进行客观、公正的反映；2、统筹兼顾。单位自评、部门评价和财政评价应职责明确，各有侧重，相互衔接。单位自评应由项目单位自主实施，即“谁支出、谁自评”。部门评价和财政评价应在单位自评的基础上开展，必要时可委托第三方机构实施；3、激励约束。绩效评价结果应与预算安排、政策调整、改进管理实质性挂钩，体现奖优罚劣和激励相容导向，有效要安排、低效要压减、无效要问责；4、公开透明。绩效评价结果应依法依规公开，并自觉接受社会监督。</w:t>
      </w:r>
    </w:p>
    <w:p w14:paraId="2426213F">
      <w:pPr>
        <w:topLinePunct/>
        <w:spacing w:line="360" w:lineRule="auto"/>
        <w:ind w:firstLine="800" w:firstLineChars="250"/>
        <w:rPr>
          <w:rFonts w:ascii="仿宋_GB2312" w:hAnsi="仿宋_GB2312" w:eastAsia="仿宋_GB2312" w:cs="仿宋_GB2312"/>
          <w:sz w:val="32"/>
          <w:szCs w:val="32"/>
        </w:rPr>
      </w:pPr>
      <w:r>
        <w:rPr>
          <w:rFonts w:hint="eastAsia" w:ascii="仿宋_GB2312" w:hAnsi="楷体" w:eastAsia="仿宋_GB2312"/>
          <w:sz w:val="32"/>
          <w:szCs w:val="32"/>
        </w:rPr>
        <w:t>绩效评价依据为昆明市五华区人民政府护国街道办事</w:t>
      </w:r>
      <w:r>
        <w:rPr>
          <w:rFonts w:hint="eastAsia" w:ascii="仿宋_GB2312" w:hAnsi="仿宋_GB2312" w:eastAsia="仿宋_GB2312" w:cs="仿宋_GB2312"/>
          <w:sz w:val="32"/>
          <w:szCs w:val="32"/>
        </w:rPr>
        <w:t>处2023年的工作计划以及2023年预算管理和绩效跟踪。</w:t>
      </w:r>
    </w:p>
    <w:p w14:paraId="58265992">
      <w:pPr>
        <w:topLinePunct/>
        <w:spacing w:line="360" w:lineRule="auto"/>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绩</w:t>
      </w:r>
      <w:r>
        <w:rPr>
          <w:rFonts w:hint="eastAsia" w:ascii="仿宋_GB2312" w:hAnsi="楷体" w:eastAsia="仿宋_GB2312"/>
          <w:sz w:val="32"/>
          <w:szCs w:val="32"/>
        </w:rPr>
        <w:t>效评价思路：昆明市五华区人民政府护国街道办事处确认当年度项目支出的绩效目标→梳理单位内部管理制度及存量资源→分析确定当年度项目支出的评价重点→构建绩效评价指标体系。</w:t>
      </w:r>
    </w:p>
    <w:p w14:paraId="67F22318">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（三）绩效评价工作过程。</w:t>
      </w:r>
    </w:p>
    <w:p w14:paraId="7167A8BD">
      <w:pPr>
        <w:spacing w:line="360" w:lineRule="auto"/>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确定绩效评价对象；2、下达绩效评价通知，在实施具体评价工作前，应下达评价通知，内容包括评价任务、目的、依据、评价时间和有关要求等；3、确定绩效评价工作人员，由主管部门或负责单位绩效评价小组，负责绩效评价工作的组织领导；4、制订绩效评价工作方案，工作方案的基本内容包括：评价对象与负责人、评价目的、评价的依据、评价指标、评价标准、评价工作的时间安排、拟采用的评价方法、拟选用的评价标准、需要被评价对象及单位准备的评价资料及相关工作要求。5、收集绩效评价相关资料，评价小组根据需要，采取现场勘查、问卷调查与询问等多种方式收集基础资料。基础资料包括绩效评价对象的基本概况、财务信息、统计报表、财政资金使用情况、绩效自我评价报告等；6、对资料进行审查核实；7、综合分析并形成评价结论，评价资料整理出后，评价小组按照评价方案的要求进行评价工作，并作出评价的初步结论；8、撰写与提交评价报告。</w:t>
      </w:r>
    </w:p>
    <w:p w14:paraId="162CE0A8">
      <w:pPr>
        <w:widowControl/>
        <w:spacing w:line="360"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三、综合评价情况及评价结论</w:t>
      </w:r>
    </w:p>
    <w:p w14:paraId="52B35D94">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（一）绩效评价综合结论。</w:t>
      </w:r>
    </w:p>
    <w:p w14:paraId="584C1D33">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我单位2023年“南屏迎春·遇兔呈祥”活动经费项目评价总得分为98.62分，总体来看项目完成情况良好，各项目标基本达到了相应时期执行进度，使得财政收支预算执行都得到了良好的制度保障和实施效果，可作为下一年度的相关工作开展重要依据。</w:t>
      </w:r>
    </w:p>
    <w:p w14:paraId="0CE9A851">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（二）绩效目标实现情况等。</w:t>
      </w:r>
    </w:p>
    <w:p w14:paraId="35D52917">
      <w:pPr>
        <w:widowControl/>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春节假期，五华区南屏街片区抢抓“假日经济”，通过一系列春节氛围营造和游客服务保障措施，实现人气和经济“双丰收”。1月21日（除夕）至27日（初六），南屏核心商圈人流量达198.91万人次，较去年春节增长112.63%。抖音同城榜跃升至第二名，“昆明烟花秀有多惊艳”话题连续6天占据抖音热榜。昆百大、百盛、顺城、王府井、金鹰等商业体实现销售7931.61万元，较去年春节增长22.8%；南屏街、景星街临时商业外摆实现销售约150万元。旅游市场经济方面，南屏街片区共接待外地游客173498人次，较上年同期增长27.99%；酒店、旅馆入住率达77.22%；实现旅游综合收入8397.11万元，同比增长18.63%。浓厚的春城年味不仅引来了客流，也留住了客人。1月14日以来，“南屏迎春·遇兔呈祥”新春系列活动将传统年俗文化、云南地域文化和时代潮流文化进行融合，每天都有不同内容的文化活动呈现。欣赏烟花、颂福打卡、品美食、逛花街、看表演等新春活动，给游客带来极具云南韵味的惊喜，充分展现了南屏街作为“城市会客厅”的文化属性和现实意义。据介绍，南屏迎春系列活动将持续至2月8日，在展现南屏年味的同时，也让游客充分感受春城文化，打造特色节庆活动品牌，促进文旅商融合发展。</w:t>
      </w:r>
    </w:p>
    <w:p w14:paraId="68E8AA85">
      <w:pPr>
        <w:widowControl/>
        <w:spacing w:line="360"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四、绩效评价指标分析</w:t>
      </w:r>
    </w:p>
    <w:p w14:paraId="40E29CD0">
      <w:pPr>
        <w:spacing w:line="360" w:lineRule="auto"/>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（一）项目决策情况分析。</w:t>
      </w:r>
    </w:p>
    <w:p w14:paraId="20CBA728">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2023年“南屏迎春·遇兔呈祥”活动经费项目立项完全符合法律法规、相关政策、发展规划以及部门职责，并且项目申请、设立过程符合相关要求。本项目所设定的绩效目标依据充分，符合客观实际；项目预算编制经过科学论证、有明确标准，资金额度与年度目标相适应；项目预算资金分配有测算依据，与地方实际相适应。</w:t>
      </w:r>
    </w:p>
    <w:p w14:paraId="49987E7B">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（二）项目过程情况分析。</w:t>
      </w:r>
    </w:p>
    <w:p w14:paraId="5287315C">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南屏迎春·遇兔呈祥”活动经费实际到位资金与预算资金的比率为86%，项目预算资金按照计划执行，项目资金使用符合相关的财务管理制度规定，项目实施单位的财务和业务管理制度健全，项目实施符合相关管理规定。</w:t>
      </w:r>
    </w:p>
    <w:p w14:paraId="26078D0F">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（三）项目产出情况分析。</w:t>
      </w:r>
    </w:p>
    <w:p w14:paraId="33DEF7C3">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华区“南屏迎春·遇兔呈祥”南屏街新春系列活动开街仪式在南屏街中心广场成功举行。至2月8日期间，五华区在南屏街核心区域、庆云街、景星街、柏联广场、顺城购物中心等商业街区，开展二十余场新春文化活动，活动期间保障街区市容秩序和环境卫生，对“门前三包”进行整治；组建60人的市容环境应急处置分队，确保活动区域内的城市市容管理及应急保障工作；组建换位应急队伍，确保活动期间街面的干净、整洁，做到日清日洁；加强沿街商户和“食来运转”美食城餐厨垃圾及污水的收集、运输；组织人员对街区开展联合执法，加强对占道经营、流动商贩的检查和管理，确保秩序良好。及时解决消防隐患、疏通消防通道等前期工作；增派消防车辆，确保活动现场消防安全，紧急情况下的人员施救；在烟花表演现场区域，增设消防人员、消防车等安全保障点位；在美食城区域按照消防要求，每个摊位配</w:t>
      </w:r>
      <w:r>
        <w:rPr>
          <w:rFonts w:ascii="仿宋_GB2312" w:hAnsi="仿宋_GB2312" w:eastAsia="仿宋_GB2312" w:cs="仿宋_GB2312"/>
          <w:sz w:val="32"/>
          <w:szCs w:val="32"/>
        </w:rPr>
        <w:t>备2</w:t>
      </w:r>
      <w:r>
        <w:rPr>
          <w:rFonts w:hint="eastAsia" w:ascii="仿宋_GB2312" w:hAnsi="仿宋_GB2312" w:eastAsia="仿宋_GB2312" w:cs="仿宋_GB2312"/>
          <w:sz w:val="32"/>
          <w:szCs w:val="32"/>
        </w:rPr>
        <w:t>个灭火器设备，动员商户使用电力供火，避免使用燃气管。为确保活动顺利开展建立健全大型系列活动突发事件的应急响应工作机制,制定系列活动应急总体应急预案;制定烟花燃放的工作方案;参与系列活动突发事件的调查和应急处理工作;协助调动有关队伍、装备、资源参与应急抢险救援工作；协调有关单位开展工作职责领域内的应急处置工作，有效地预防和处置活动中可能出现的突发事件。，在节庆期间营造喜庆、祥和的新春氛围，提振市场经济信心。</w:t>
      </w:r>
    </w:p>
    <w:p w14:paraId="42B55484">
      <w:pPr>
        <w:spacing w:line="360" w:lineRule="auto"/>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（四）项目效益情况分析。</w:t>
      </w:r>
    </w:p>
    <w:p w14:paraId="4548AB23">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华区以“南屏迎春·遇兔呈祥”为主题，于1月14日至2月8日，在南屏街核心区域、庆云街、景星街、柏联广场、顺城购物中心等商业街区，开展二十五天、二十余场新春文化活动，多个活动点位、多种活动形式，涵盖年俗、潮流、文化、比赛、市集等，在节庆期间营造喜庆、祥和的新春氛围，提振市场经济信心，给游客带来极具云南韵味的惊喜，充分展现了南屏街作为“城市会客厅”的文化属性和现实意义，进一步丰富了春节期间的昆明城市活力，促进南屏周边文化、旅游、商业的融合发展，通过一系列春节氛围营造和游客服务保障措施，实现人气和经济“双丰收”。</w:t>
      </w:r>
    </w:p>
    <w:p w14:paraId="4A4EAC3C">
      <w:pPr>
        <w:widowControl/>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五、主要经验及做法</w:t>
      </w:r>
    </w:p>
    <w:p w14:paraId="641E7BA7">
      <w:pPr>
        <w:topLinePunct/>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护国街道办事处根据实际情况，结合部门岗位职责，制定符合单位实际并具有可操作性的各项绩效目标，并将其细化分解为具体的绩效考核目标；对绩效目标进行细化和量化，建立健全预算绩效管理制度体系，完善和优化预算绩效管理运行机制；街道办做好成本控制、进度跟踪、结果检查工作，管理者做好总体把控工作，确保绩效目标保质保量，准时完成。</w:t>
      </w:r>
    </w:p>
    <w:p w14:paraId="47324FBD">
      <w:pPr>
        <w:widowControl/>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六、存在的问题及原因分析</w:t>
      </w:r>
    </w:p>
    <w:p w14:paraId="6EC9D125">
      <w:pPr>
        <w:topLinePunct/>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1.绩效管理认识不够，在填报项目支出时不够细化分解、量化。绩效评价未针对自身情况提出合理的问题及建议，绩效管理认识不够，应积极跟踪项目实施进度。</w:t>
      </w:r>
    </w:p>
    <w:p w14:paraId="4F69701A">
      <w:pPr>
        <w:topLinePunct/>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街道工作涉及到社会、经济、民生等方方面面，一些突发性、临时性工作较多，许多工作事前难以预测，造成在制定项目预算时，数量指标、质量指标、成本指标难以具体量化，绩效考核的指标设定后期出现指标偏离的情况。</w:t>
      </w:r>
    </w:p>
    <w:p w14:paraId="7029EC9C">
      <w:pPr>
        <w:widowControl/>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七、有关建议</w:t>
      </w:r>
    </w:p>
    <w:p w14:paraId="41D1D492">
      <w:pPr>
        <w:topLinePunct/>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护国街道办事处提高绩效管理认识通过设立目标有利于项目决策的制定，有助于项目的实施管理。项目实施前应结合本单位自身情况，设定明确、合理的绩效目标，并将目标量化、细化分解，与预算资金相匹配起来。办事处客观、认真对待绩效自评，针对自身情况对实施项目提出合理的问题及建议，逐步提高绩效管理认识。</w:t>
      </w:r>
    </w:p>
    <w:p w14:paraId="29D4BB95">
      <w:pPr>
        <w:tabs>
          <w:tab w:val="left" w:pos="1369"/>
        </w:tabs>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护国街道办事处结合实际情况，汇总、对比以往年度项目预算，从而科学、有依据的做出下一年的项目资金预算，编制更为合理的预算，优化项目资金预算。进一步做好、做细绩效评价工作。严格审核工作方案，根据绩效工作开展需要科学安排，认真执行，强化监督。适时公开相关信息。绩效信息公开是保障人民群众民主权利的客观需要，是有效防治腐败的重要举措，是对行政权力进行监督的有效途径。应加强领导组织，制定单位财务信息公开实施方案，及时准确完成信息公开。</w:t>
      </w:r>
    </w:p>
    <w:p w14:paraId="7358EB50">
      <w:pPr>
        <w:widowControl/>
        <w:spacing w:line="360"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八、其他需要说明的问题：</w:t>
      </w:r>
      <w:r>
        <w:rPr>
          <w:rFonts w:hint="eastAsia" w:ascii="仿宋_GB2312" w:hAnsi="仿宋_GB2312" w:eastAsia="仿宋_GB2312" w:cs="仿宋_GB2312"/>
          <w:sz w:val="32"/>
          <w:szCs w:val="32"/>
        </w:rPr>
        <w:t>无。</w:t>
      </w:r>
    </w:p>
    <w:p w14:paraId="35484C75">
      <w:pPr>
        <w:widowControl/>
        <w:spacing w:line="560" w:lineRule="exact"/>
        <w:ind w:firstLine="600" w:firstLineChars="200"/>
        <w:rPr>
          <w:rFonts w:ascii="仿宋_GB2312" w:hAnsi="仿宋_GB2312" w:eastAsia="仿宋_GB2312" w:cs="仿宋_GB2312"/>
          <w:sz w:val="30"/>
          <w:szCs w:val="30"/>
        </w:rPr>
      </w:pPr>
    </w:p>
    <w:p w14:paraId="31A9E9AA">
      <w:pPr>
        <w:pStyle w:val="4"/>
      </w:pPr>
    </w:p>
    <w:p w14:paraId="5E75EB55">
      <w:pPr>
        <w:pStyle w:val="4"/>
      </w:pPr>
    </w:p>
    <w:p w14:paraId="6CD20E24">
      <w:pPr>
        <w:pStyle w:val="4"/>
      </w:pPr>
    </w:p>
    <w:p w14:paraId="51757B5B">
      <w:pPr>
        <w:pStyle w:val="4"/>
      </w:pPr>
    </w:p>
    <w:p w14:paraId="230A2AB3">
      <w:pPr>
        <w:pStyle w:val="4"/>
      </w:pPr>
    </w:p>
    <w:p w14:paraId="5814EA4B">
      <w:pPr>
        <w:pStyle w:val="4"/>
      </w:pPr>
    </w:p>
    <w:p w14:paraId="356D3436">
      <w:pPr>
        <w:pStyle w:val="4"/>
      </w:pPr>
    </w:p>
    <w:p w14:paraId="3978C3D9">
      <w:pPr>
        <w:pStyle w:val="4"/>
      </w:pPr>
    </w:p>
    <w:p w14:paraId="68FE3991">
      <w:pPr>
        <w:pStyle w:val="4"/>
      </w:pPr>
    </w:p>
    <w:p w14:paraId="7BF3526E">
      <w:pPr>
        <w:pStyle w:val="4"/>
      </w:pPr>
    </w:p>
    <w:p w14:paraId="200508F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F1CC39-2DAF-43CE-BD88-E8D9DF2811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D92C74B-7A6A-4894-A440-99884AC0F12A}"/>
  </w:font>
  <w:font w:name="等线">
    <w:panose1 w:val="02010600030101010101"/>
    <w:charset w:val="86"/>
    <w:family w:val="auto"/>
    <w:pitch w:val="default"/>
    <w:sig w:usb0="A00002BF" w:usb1="38CF7CFA" w:usb2="00000016" w:usb3="00000000" w:csb0="0004000F" w:csb1="00000000"/>
    <w:embedRegular r:id="rId3" w:fontKey="{8AF7244F-6DB3-43CA-A7F4-02767D0ADBDE}"/>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4" w:fontKey="{E110A03C-602E-4BD8-A542-AF9345E7224E}"/>
  </w:font>
  <w:font w:name="仿宋_GB2312">
    <w:panose1 w:val="02010609030101010101"/>
    <w:charset w:val="86"/>
    <w:family w:val="modern"/>
    <w:pitch w:val="default"/>
    <w:sig w:usb0="00000001" w:usb1="080E0000" w:usb2="00000000" w:usb3="00000000" w:csb0="00040000" w:csb1="00000000"/>
    <w:embedRegular r:id="rId5" w:fontKey="{F5149BEE-C9AB-4E42-9003-231773172E60}"/>
  </w:font>
  <w:font w:name="楷体">
    <w:panose1 w:val="02010609060101010101"/>
    <w:charset w:val="86"/>
    <w:family w:val="modern"/>
    <w:pitch w:val="default"/>
    <w:sig w:usb0="800002BF" w:usb1="38CF7CFA" w:usb2="00000016" w:usb3="00000000" w:csb0="00040001" w:csb1="00000000"/>
    <w:embedRegular r:id="rId6" w:fontKey="{52120B32-8A61-4AEF-A44A-EB60203A9F9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lNzQyMzg5YmZjMjE5ZTE1MTdiMzJkYzQxNmE5NDcifQ=="/>
  </w:docVars>
  <w:rsids>
    <w:rsidRoot w:val="000843A9"/>
    <w:rsid w:val="0000064C"/>
    <w:rsid w:val="000843A9"/>
    <w:rsid w:val="002A680D"/>
    <w:rsid w:val="002C3A22"/>
    <w:rsid w:val="002E5E1C"/>
    <w:rsid w:val="00430A4B"/>
    <w:rsid w:val="00637CA4"/>
    <w:rsid w:val="0066757D"/>
    <w:rsid w:val="007D72D5"/>
    <w:rsid w:val="00914FA8"/>
    <w:rsid w:val="00B833F6"/>
    <w:rsid w:val="00BF3C59"/>
    <w:rsid w:val="00C665AC"/>
    <w:rsid w:val="00D05899"/>
    <w:rsid w:val="00D90FB5"/>
    <w:rsid w:val="00FB49A8"/>
    <w:rsid w:val="043E7102"/>
    <w:rsid w:val="0B9F5307"/>
    <w:rsid w:val="1DA62AB3"/>
    <w:rsid w:val="32E12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Body Text"/>
    <w:basedOn w:val="1"/>
    <w:link w:val="7"/>
    <w:semiHidden/>
    <w:unhideWhenUsed/>
    <w:uiPriority w:val="99"/>
    <w:pPr>
      <w:spacing w:after="120"/>
    </w:pPr>
  </w:style>
  <w:style w:type="paragraph" w:styleId="4">
    <w:name w:val="Body Text First Indent"/>
    <w:basedOn w:val="3"/>
    <w:link w:val="8"/>
    <w:qFormat/>
    <w:uiPriority w:val="0"/>
    <w:pPr>
      <w:spacing w:after="0" w:line="520" w:lineRule="exact"/>
      <w:jc w:val="center"/>
    </w:pPr>
    <w:rPr>
      <w:rFonts w:ascii="Times New Roman" w:hAnsi="Times New Roman"/>
      <w:sz w:val="24"/>
      <w:szCs w:val="20"/>
    </w:rPr>
  </w:style>
  <w:style w:type="character" w:customStyle="1" w:styleId="7">
    <w:name w:val="正文文本 字符"/>
    <w:basedOn w:val="6"/>
    <w:link w:val="3"/>
    <w:semiHidden/>
    <w:uiPriority w:val="99"/>
    <w:rPr>
      <w:rFonts w:ascii="Calibri" w:hAnsi="Calibri" w:eastAsia="宋体" w:cs="Times New Roman"/>
    </w:rPr>
  </w:style>
  <w:style w:type="character" w:customStyle="1" w:styleId="8">
    <w:name w:val="正文文本首行缩进 字符"/>
    <w:basedOn w:val="7"/>
    <w:link w:val="4"/>
    <w:uiPriority w:val="0"/>
    <w:rPr>
      <w:rFonts w:ascii="Times New Roman" w:hAnsi="Times New Roman" w:eastAsia="宋体" w:cs="Times New Roman"/>
      <w:sz w:val="24"/>
      <w:szCs w:val="20"/>
    </w:rPr>
  </w:style>
  <w:style w:type="character" w:customStyle="1" w:styleId="9">
    <w:name w:val="标题 2 字符"/>
    <w:basedOn w:val="6"/>
    <w:link w:val="2"/>
    <w:semiHidden/>
    <w:uiPriority w:val="9"/>
    <w:rPr>
      <w:rFonts w:asciiTheme="majorHAnsi" w:hAnsiTheme="majorHAnsi" w:eastAsiaTheme="majorEastAsia" w:cstheme="majorBidi"/>
      <w:b/>
      <w:bCs/>
      <w:sz w:val="32"/>
      <w:szCs w:val="32"/>
    </w:rPr>
  </w:style>
  <w:style w:type="paragraph" w:customStyle="1" w:styleId="10">
    <w:name w:val="p"/>
    <w:basedOn w:val="1"/>
    <w:qFormat/>
    <w:uiPriority w:val="0"/>
    <w:rPr>
      <w:rFonts w:asciiTheme="minorHAnsi" w:hAnsiTheme="minorHAnsi" w:eastAsiaTheme="minorEastAsia" w:cstheme="minorBidi"/>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4933</Words>
  <Characters>5065</Characters>
  <Lines>37</Lines>
  <Paragraphs>10</Paragraphs>
  <TotalTime>112</TotalTime>
  <ScaleCrop>false</ScaleCrop>
  <LinksUpToDate>false</LinksUpToDate>
  <CharactersWithSpaces>5235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2024-05-22T08:47:00Z</dcterms:created>
  <dc:creator>Asus</dc:creator>
  <cp:lastModifiedBy>景鸿成</cp:lastModifiedBy>
  <dcterms:modified xsi:type="dcterms:W3CDTF">2024-11-23T11:09:36Z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9E851D20BF2A4A1C8713BD65418CCE8F_13</vt:lpwstr>
  </property>
</Properties>
</file>