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_GB2312" w:hAnsi="Arial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cs="Arial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Arial" w:cs="Arial"/>
          <w:color w:val="333333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仿宋_GB2312" w:hAnsi="Arial" w:eastAsia="仿宋_GB2312" w:cs="Arial"/>
          <w:color w:val="333333"/>
          <w:sz w:val="32"/>
          <w:szCs w:val="32"/>
          <w:shd w:val="clear" w:color="auto" w:fill="FFFFFF"/>
        </w:rPr>
        <w:t>农田水网一张图数据格式要求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一、数据格式 ：shp.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二、坐标 ：cgcs 2000 高斯克吕格投影坐标系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三、字段包括：州（市）、县（市、区）、乡镇、村组 、沟渠断面尺寸（宽*长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单位为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“m”</w:t>
      </w: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）、长度（单位为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“m”</w:t>
      </w: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）、建筑材料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完好情况、淤堵情况、使用情况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管理情况、沟渠名称、沟渠分类（干渠、支渠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斗渠、农渠）、沟渠渠首流量、所在灌区名称、所在涝区名称等（具体要求参见：制 图要素信息表）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 w:bidi="ar-SA"/>
        </w:rPr>
        <w:t>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pacing w:val="3"/>
          <w:sz w:val="27"/>
          <w:szCs w:val="27"/>
          <w:lang w:val="en-US" w:eastAsia="zh-CN"/>
        </w:rPr>
        <w:t xml:space="preserve">   </w:t>
      </w:r>
      <w:r>
        <w:rPr>
          <w:rFonts w:ascii="黑体" w:hAnsi="黑体" w:eastAsia="黑体" w:cs="黑体"/>
          <w:spacing w:val="3"/>
          <w:sz w:val="27"/>
          <w:szCs w:val="27"/>
        </w:rPr>
        <w:t>制图要素信息表</w:t>
      </w:r>
    </w:p>
    <w:tbl>
      <w:tblPr>
        <w:tblStyle w:val="5"/>
        <w:tblW w:w="83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477"/>
        <w:gridCol w:w="759"/>
        <w:gridCol w:w="722"/>
        <w:gridCol w:w="870"/>
        <w:gridCol w:w="665"/>
        <w:gridCol w:w="818"/>
        <w:gridCol w:w="2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ind w:left="134" w:firstLine="0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序号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字段名称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字段别名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ind w:left="161" w:firstLine="0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字段类型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ind w:left="227" w:firstLine="0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字段长度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ind w:left="223" w:firstLine="0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单位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ind w:left="214" w:firstLine="0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小数位数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6" w:lineRule="auto"/>
              <w:ind w:left="1755" w:firstLine="0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42" w:lineRule="exact"/>
              <w:ind w:firstLine="0"/>
              <w:jc w:val="center"/>
              <w:textAlignment w:val="auto"/>
            </w:pPr>
            <w:r>
              <w:rPr>
                <w:rFonts w:hint="eastAsia"/>
                <w:position w:val="-2"/>
                <w:lang w:val="en-US" w:eastAsia="zh-CN"/>
              </w:rPr>
              <w:t xml:space="preserve">   </w:t>
            </w:r>
            <w:r>
              <w:rPr>
                <w:position w:val="-2"/>
              </w:rPr>
              <w:drawing>
                <wp:inline distT="0" distB="0" distL="114300" distR="114300">
                  <wp:extent cx="34925" cy="89535"/>
                  <wp:effectExtent l="0" t="0" r="10795" b="1905"/>
                  <wp:docPr id="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176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州（市）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ZSMC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176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11" w:lineRule="auto"/>
              <w:ind w:left="280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2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177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县（ 市、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区</w:t>
            </w:r>
            <w:r>
              <w:rPr>
                <w:rFonts w:ascii="微软雅黑" w:hAnsi="微软雅黑" w:eastAsia="微软雅黑" w:cs="微软雅黑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）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XMC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177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11" w:lineRule="auto"/>
              <w:ind w:left="285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w w:val="98"/>
                <w:sz w:val="20"/>
                <w:szCs w:val="20"/>
              </w:rPr>
              <w:t>乡镇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XZMC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82" w:lineRule="auto"/>
              <w:ind w:left="280" w:firstLine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村组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CZMC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同一条沟渠流经多个村组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23" w:lineRule="auto"/>
              <w:ind w:left="285" w:firstLine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spacing w:val="9"/>
                <w:sz w:val="13"/>
                <w:szCs w:val="13"/>
              </w:rPr>
              <w:t>5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沟渠名称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00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GQMC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44" w:lineRule="exact"/>
              <w:ind w:firstLine="0"/>
              <w:jc w:val="center"/>
              <w:textAlignment w:val="auto"/>
            </w:pPr>
            <w:r>
              <w:rPr>
                <w:rFonts w:hint="eastAsia"/>
                <w:position w:val="-2"/>
                <w:lang w:val="en-US" w:eastAsia="zh-CN"/>
              </w:rPr>
              <w:t xml:space="preserve">   </w:t>
            </w:r>
            <w:r>
              <w:rPr>
                <w:position w:val="-2"/>
              </w:rPr>
              <w:drawing>
                <wp:inline distT="0" distB="0" distL="114300" distR="114300">
                  <wp:extent cx="54610" cy="91440"/>
                  <wp:effectExtent l="0" t="0" r="6350" b="0"/>
                  <wp:docPr id="5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176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所在灌区名称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200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GQMC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176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11" w:lineRule="auto"/>
              <w:ind w:left="283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10"/>
                <w:sz w:val="14"/>
                <w:szCs w:val="14"/>
              </w:rPr>
              <w:t>7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所在涝区名称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88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LQMC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211" w:lineRule="auto"/>
              <w:ind w:left="287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8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沟渠分类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9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GQFL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填写：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干渠、支渠、斗渠、农渠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41" w:lineRule="exact"/>
              <w:ind w:firstLine="0"/>
              <w:jc w:val="center"/>
              <w:textAlignment w:val="auto"/>
            </w:pPr>
            <w:r>
              <w:rPr>
                <w:rFonts w:hint="eastAsia"/>
                <w:position w:val="-2"/>
                <w:lang w:val="en-US" w:eastAsia="zh-CN"/>
              </w:rPr>
              <w:t xml:space="preserve">   </w:t>
            </w:r>
            <w:r>
              <w:rPr>
                <w:position w:val="-2"/>
              </w:rPr>
              <w:drawing>
                <wp:inline distT="0" distB="0" distL="114300" distR="114300">
                  <wp:extent cx="54610" cy="89535"/>
                  <wp:effectExtent l="0" t="0" r="6350" b="1905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断面尺寸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DMCC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96" w:lineRule="exact"/>
              <w:ind w:left="337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8"/>
                <w:position w:val="-2"/>
                <w:sz w:val="18"/>
                <w:szCs w:val="18"/>
              </w:rPr>
              <w:t>m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182" w:lineRule="auto"/>
              <w:ind w:left="563" w:firstLine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7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2"/>
                <w:sz w:val="20"/>
                <w:szCs w:val="20"/>
              </w:rPr>
              <w:t>宽</w:t>
            </w:r>
            <w:r>
              <w:rPr>
                <w:spacing w:val="2"/>
                <w:position w:val="5"/>
                <w:sz w:val="20"/>
                <w:szCs w:val="20"/>
              </w:rPr>
              <w:t>*</w:t>
            </w:r>
            <w:r>
              <w:rPr>
                <w:spacing w:val="-20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2"/>
                <w:sz w:val="20"/>
                <w:szCs w:val="20"/>
              </w:rPr>
              <w:t>长</w:t>
            </w:r>
            <w:r>
              <w:rPr>
                <w:rFonts w:ascii="微软雅黑" w:hAnsi="微软雅黑" w:eastAsia="微软雅黑" w:cs="微软雅黑"/>
                <w:spacing w:val="-2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2"/>
                <w:sz w:val="20"/>
                <w:szCs w:val="20"/>
              </w:rPr>
              <w:t>，单位为</w:t>
            </w:r>
            <w:r>
              <w:rPr>
                <w:spacing w:val="2"/>
                <w:position w:val="7"/>
                <w:sz w:val="20"/>
                <w:szCs w:val="20"/>
              </w:rPr>
              <w:t>"</w:t>
            </w:r>
            <w:r>
              <w:rPr>
                <w:spacing w:val="2"/>
                <w:sz w:val="20"/>
                <w:szCs w:val="20"/>
              </w:rPr>
              <w:t>m</w:t>
            </w:r>
            <w:r>
              <w:rPr>
                <w:spacing w:val="2"/>
                <w:position w:val="7"/>
                <w:sz w:val="20"/>
                <w:szCs w:val="20"/>
              </w:rPr>
              <w:t>"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44" w:lineRule="exact"/>
              <w:ind w:firstLine="0"/>
              <w:jc w:val="center"/>
              <w:textAlignment w:val="auto"/>
            </w:pPr>
            <w:r>
              <w:rPr>
                <w:rFonts w:hint="eastAsia"/>
                <w:position w:val="-2"/>
                <w:lang w:eastAsia="zh-CN"/>
              </w:rPr>
              <w:t xml:space="preserve"> </w:t>
            </w:r>
            <w:r>
              <w:rPr>
                <w:rFonts w:hint="eastAsia"/>
                <w:position w:val="-2"/>
                <w:lang w:val="en-US" w:eastAsia="zh-CN"/>
              </w:rPr>
              <w:t xml:space="preserve">  </w:t>
            </w:r>
            <w:r>
              <w:rPr>
                <w:position w:val="-2"/>
              </w:rPr>
              <w:drawing>
                <wp:inline distT="0" distB="0" distL="114300" distR="114300">
                  <wp:extent cx="109220" cy="90805"/>
                  <wp:effectExtent l="0" t="0" r="12700" b="635"/>
                  <wp:docPr id="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长度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67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CD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双精度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96" w:lineRule="exact"/>
              <w:ind w:left="337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8"/>
                <w:position w:val="-2"/>
                <w:sz w:val="18"/>
                <w:szCs w:val="18"/>
              </w:rPr>
              <w:t>m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11" w:lineRule="auto"/>
              <w:ind w:left="563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2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157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-3"/>
                <w:sz w:val="20"/>
                <w:szCs w:val="20"/>
              </w:rPr>
              <w:t>单位为</w:t>
            </w:r>
            <w:r>
              <w:rPr>
                <w:spacing w:val="6"/>
                <w:position w:val="6"/>
                <w:sz w:val="20"/>
                <w:szCs w:val="20"/>
              </w:rPr>
              <w:t>"</w:t>
            </w:r>
            <w:r>
              <w:rPr>
                <w:spacing w:val="6"/>
                <w:position w:val="-1"/>
                <w:sz w:val="20"/>
                <w:szCs w:val="20"/>
              </w:rPr>
              <w:t>m</w:t>
            </w:r>
            <w:r>
              <w:rPr>
                <w:spacing w:val="6"/>
                <w:position w:val="6"/>
                <w:sz w:val="20"/>
                <w:szCs w:val="20"/>
              </w:rPr>
              <w:t>"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42" w:lineRule="exact"/>
              <w:ind w:firstLine="0"/>
              <w:jc w:val="center"/>
              <w:textAlignment w:val="auto"/>
            </w:pPr>
            <w:r>
              <w:rPr>
                <w:rFonts w:hint="eastAsia"/>
                <w:position w:val="-2"/>
                <w:lang w:eastAsia="zh-CN"/>
              </w:rPr>
              <w:t xml:space="preserve"> </w:t>
            </w:r>
            <w:r>
              <w:rPr>
                <w:rFonts w:hint="eastAsia"/>
                <w:position w:val="-2"/>
                <w:lang w:val="en-US" w:eastAsia="zh-CN"/>
              </w:rPr>
              <w:t xml:space="preserve">  </w:t>
            </w:r>
            <w:r>
              <w:rPr>
                <w:position w:val="-2"/>
              </w:rPr>
              <w:drawing>
                <wp:inline distT="0" distB="0" distL="114300" distR="114300">
                  <wp:extent cx="95885" cy="89535"/>
                  <wp:effectExtent l="0" t="0" r="10795" b="1905"/>
                  <wp:docPr id="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沟渠渠首流量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SLL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双精度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94" w:lineRule="auto"/>
              <w:ind w:left="236" w:firstLine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m3/s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211" w:lineRule="auto"/>
              <w:ind w:left="563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2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94" w:lineRule="auto"/>
              <w:ind w:left="249" w:firstLine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12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建筑材料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58" w:lineRule="auto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JZCL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填写：</w:t>
            </w:r>
            <w:r>
              <w:rPr>
                <w:rFonts w:ascii="微软雅黑" w:hAnsi="微软雅黑" w:eastAsia="微软雅黑" w:cs="微软雅黑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砌石、混凝土、土沟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11" w:lineRule="auto"/>
              <w:ind w:left="249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13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完好情况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81" w:lineRule="auto"/>
              <w:jc w:val="center"/>
              <w:textAlignment w:val="auto"/>
            </w:pPr>
            <w:r>
              <w:rPr>
                <w:spacing w:val="6"/>
              </w:rPr>
              <w:t>WHQk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填写：</w:t>
            </w:r>
            <w:r>
              <w:rPr>
                <w:rFonts w:ascii="微软雅黑" w:hAnsi="微软雅黑" w:eastAsia="微软雅黑" w:cs="微软雅黑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完好、部分破损、完全破损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211" w:lineRule="auto"/>
              <w:ind w:left="249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14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使用情况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81" w:lineRule="auto"/>
              <w:jc w:val="center"/>
              <w:textAlignment w:val="auto"/>
            </w:pPr>
            <w:r>
              <w:rPr>
                <w:spacing w:val="1"/>
              </w:rPr>
              <w:t>SYQk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174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填写</w:t>
            </w: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：废弃、使用中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15" w:lineRule="auto"/>
              <w:ind w:left="249" w:firstLine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15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淤堵情况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73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YDQk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77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173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填写：</w:t>
            </w:r>
            <w:r>
              <w:rPr>
                <w:rFonts w:ascii="微软雅黑" w:hAnsi="微软雅黑" w:eastAsia="微软雅黑" w:cs="微软雅黑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无淤堵、部分淤堵、完全淤堵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141" w:lineRule="exact"/>
              <w:ind w:firstLine="0"/>
              <w:jc w:val="center"/>
              <w:textAlignment w:val="auto"/>
            </w:pPr>
            <w:r>
              <w:rPr>
                <w:rFonts w:hint="eastAsia"/>
                <w:position w:val="-2"/>
                <w:lang w:val="en-US" w:eastAsia="zh-CN"/>
              </w:rPr>
              <w:t xml:space="preserve">  </w:t>
            </w:r>
            <w:r>
              <w:rPr>
                <w:position w:val="-2"/>
              </w:rPr>
              <w:drawing>
                <wp:inline distT="0" distB="0" distL="114300" distR="114300">
                  <wp:extent cx="109220" cy="89535"/>
                  <wp:effectExtent l="0" t="0" r="12700" b="1905"/>
                  <wp:docPr id="1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管理情况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179" w:lineRule="auto"/>
              <w:jc w:val="center"/>
              <w:textAlignment w:val="auto"/>
            </w:pPr>
            <w:r>
              <w:rPr>
                <w:spacing w:val="5"/>
              </w:rPr>
              <w:t>GLQk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文本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174" w:lineRule="auto"/>
              <w:ind w:left="524" w:firstLine="0"/>
              <w:jc w:val="center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81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175" w:lineRule="auto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有人管护、无人管护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2A100BF7"/>
    <w:rsid w:val="2A1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beforeLines="0" w:afterLines="0"/>
      <w:ind w:firstLine="630"/>
    </w:pPr>
    <w:rPr>
      <w:rFonts w:hint="default" w:ascii="Times New Roman" w:hAnsi="Times New Roman" w:eastAsia="仿宋_GB2312"/>
      <w:kern w:val="0"/>
      <w:sz w:val="3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463</Words>
  <Characters>543</Characters>
  <Lines>0</Lines>
  <Paragraphs>0</Paragraphs>
  <TotalTime>0</TotalTime>
  <ScaleCrop>false</ScaleCrop>
  <LinksUpToDate>false</LinksUpToDate>
  <CharactersWithSpaces>579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2024-11-20T08:49:00Z</dcterms:created>
  <dc:creator>¨ 丹 ╮</dc:creator>
  <cp:lastModifiedBy>¨ 丹 ╮</cp:lastModifiedBy>
  <dcterms:modified xsi:type="dcterms:W3CDTF">2024-11-20T08:50:49Z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CD15161828D144E2ABA9D0F933E55067_11</vt:lpwstr>
  </property>
</Properties>
</file>