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458C9">
      <w:pPr>
        <w:spacing w:line="640" w:lineRule="exact"/>
        <w:jc w:val="both"/>
        <w:rPr>
          <w:rFonts w:hint="eastAsia"/>
          <w:lang w:val="en-US"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color w:val="000000"/>
          <w:sz w:val="32"/>
          <w:szCs w:val="32"/>
          <w:lang w:val="en-US" w:eastAsia="zh-CN"/>
        </w:rPr>
        <w:t>1：</w:t>
      </w:r>
    </w:p>
    <w:p w14:paraId="7FF9DD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五华区区级预算支出部门评价表</w:t>
      </w:r>
    </w:p>
    <w:p w14:paraId="15F77A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 xml:space="preserve">  2023  </w:t>
      </w:r>
      <w:r>
        <w:rPr>
          <w:rFonts w:hint="eastAsia" w:ascii="方正小标宋简体" w:hAnsi="黑体" w:eastAsia="方正小标宋简体" w:cs="Times New Roman"/>
          <w:color w:val="000000"/>
          <w:sz w:val="32"/>
          <w:szCs w:val="32"/>
          <w:lang w:eastAsia="zh-CN"/>
        </w:rPr>
        <w:t>）年度</w:t>
      </w:r>
    </w:p>
    <w:tbl>
      <w:tblPr>
        <w:tblStyle w:val="17"/>
        <w:tblpPr w:leftFromText="180" w:rightFromText="180" w:vertAnchor="text" w:horzAnchor="page" w:tblpXSpec="center" w:tblpY="25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305"/>
        <w:gridCol w:w="1334"/>
        <w:gridCol w:w="790"/>
      </w:tblGrid>
      <w:tr w14:paraId="2110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3450F69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232" w:type="dxa"/>
            <w:gridSpan w:val="9"/>
            <w:noWrap w:val="0"/>
            <w:vAlign w:val="center"/>
          </w:tcPr>
          <w:p w14:paraId="2E7F4E9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rPr>
            </w:pPr>
            <w:r>
              <w:rPr>
                <w:rFonts w:hint="eastAsia" w:ascii="宋体" w:hAnsi="宋体" w:eastAsia="宋体"/>
                <w:sz w:val="18"/>
                <w:szCs w:val="18"/>
              </w:rPr>
              <w:t>网络安全及网络生态治理经费</w:t>
            </w:r>
          </w:p>
        </w:tc>
      </w:tr>
      <w:tr w14:paraId="2BF3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1A71745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7852BC83">
            <w:pPr>
              <w:spacing w:line="300" w:lineRule="exact"/>
              <w:ind w:left="0" w:leftChars="0" w:right="0" w:rightChars="0" w:firstLine="0" w:firstLineChars="0"/>
              <w:jc w:val="left"/>
              <w:rPr>
                <w:rFonts w:hint="default" w:ascii="宋体" w:hAnsi="宋体" w:eastAsia="宋体"/>
                <w:sz w:val="18"/>
                <w:szCs w:val="18"/>
                <w:lang w:val="en-US" w:eastAsia="zh-CN"/>
              </w:rPr>
            </w:pPr>
            <w:r>
              <w:rPr>
                <w:rFonts w:hint="eastAsia" w:ascii="宋体" w:hAnsi="宋体"/>
                <w:sz w:val="18"/>
                <w:szCs w:val="18"/>
                <w:lang w:val="en-US" w:eastAsia="zh-CN"/>
              </w:rPr>
              <w:t>昆明市五华区财政局</w:t>
            </w:r>
          </w:p>
        </w:tc>
        <w:tc>
          <w:tcPr>
            <w:tcW w:w="2069" w:type="dxa"/>
            <w:gridSpan w:val="3"/>
            <w:noWrap w:val="0"/>
            <w:vAlign w:val="center"/>
          </w:tcPr>
          <w:p w14:paraId="509D161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124" w:type="dxa"/>
            <w:gridSpan w:val="2"/>
            <w:noWrap w:val="0"/>
            <w:vAlign w:val="center"/>
          </w:tcPr>
          <w:p w14:paraId="68E26FB8">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中国共产党昆明市五华区委员会宣传部</w:t>
            </w:r>
          </w:p>
        </w:tc>
      </w:tr>
      <w:tr w14:paraId="39E1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7A5A21E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69990A1F">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卢婵</w:t>
            </w:r>
          </w:p>
        </w:tc>
        <w:tc>
          <w:tcPr>
            <w:tcW w:w="2069" w:type="dxa"/>
            <w:gridSpan w:val="3"/>
            <w:noWrap w:val="0"/>
            <w:vAlign w:val="center"/>
          </w:tcPr>
          <w:p w14:paraId="4F88B947">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124" w:type="dxa"/>
            <w:gridSpan w:val="2"/>
            <w:noWrap w:val="0"/>
            <w:vAlign w:val="center"/>
          </w:tcPr>
          <w:p w14:paraId="714ECE4D">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0871-63621947</w:t>
            </w:r>
          </w:p>
        </w:tc>
      </w:tr>
      <w:tr w14:paraId="4DCD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986A35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232" w:type="dxa"/>
            <w:gridSpan w:val="9"/>
            <w:noWrap w:val="0"/>
            <w:vAlign w:val="center"/>
          </w:tcPr>
          <w:p w14:paraId="3EE3474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 xml:space="preserve">经常性项目（ </w:t>
            </w:r>
            <w:r>
              <w:rPr>
                <w:rFonts w:hint="default" w:ascii="Arial" w:hAnsi="Arial" w:eastAsia="宋体" w:cs="Arial"/>
                <w:sz w:val="18"/>
                <w:szCs w:val="18"/>
              </w:rPr>
              <w:t>√</w:t>
            </w:r>
            <w:r>
              <w:rPr>
                <w:rFonts w:hint="eastAsia" w:ascii="宋体" w:hAnsi="宋体" w:eastAsia="宋体"/>
                <w:sz w:val="18"/>
                <w:szCs w:val="18"/>
              </w:rPr>
              <w:t xml:space="preserve">  ）       一次性项目（  ）</w:t>
            </w:r>
          </w:p>
        </w:tc>
      </w:tr>
      <w:tr w14:paraId="28E3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716E16A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6FAB6FB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279DD79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523" w:type="dxa"/>
            <w:gridSpan w:val="2"/>
            <w:noWrap w:val="0"/>
            <w:vAlign w:val="center"/>
          </w:tcPr>
          <w:p w14:paraId="2B56D13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4" w:type="dxa"/>
            <w:noWrap w:val="0"/>
            <w:vAlign w:val="center"/>
          </w:tcPr>
          <w:p w14:paraId="17D55FF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90" w:type="dxa"/>
            <w:noWrap w:val="0"/>
            <w:vAlign w:val="center"/>
          </w:tcPr>
          <w:p w14:paraId="29F33FC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3BFA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51325D9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36BB29B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网络生态治理及舆情监测经费</w:t>
            </w:r>
            <w:r>
              <w:rPr>
                <w:rFonts w:hint="eastAsia" w:ascii="宋体" w:hAnsi="宋体"/>
                <w:sz w:val="18"/>
                <w:szCs w:val="18"/>
                <w:lang w:eastAsia="zh-CN"/>
              </w:rPr>
              <w:t>、网络文明及正能量引导、网络安全检查及演练</w:t>
            </w:r>
          </w:p>
        </w:tc>
        <w:tc>
          <w:tcPr>
            <w:tcW w:w="1614" w:type="dxa"/>
            <w:gridSpan w:val="3"/>
            <w:noWrap w:val="0"/>
            <w:vAlign w:val="center"/>
          </w:tcPr>
          <w:p w14:paraId="2DA3BC9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64</w:t>
            </w:r>
          </w:p>
        </w:tc>
        <w:tc>
          <w:tcPr>
            <w:tcW w:w="1523" w:type="dxa"/>
            <w:gridSpan w:val="2"/>
            <w:noWrap w:val="0"/>
            <w:vAlign w:val="center"/>
          </w:tcPr>
          <w:p w14:paraId="45C6518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64</w:t>
            </w:r>
          </w:p>
        </w:tc>
        <w:tc>
          <w:tcPr>
            <w:tcW w:w="1334" w:type="dxa"/>
            <w:noWrap w:val="0"/>
            <w:vAlign w:val="center"/>
          </w:tcPr>
          <w:p w14:paraId="303ED82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40.36</w:t>
            </w:r>
          </w:p>
        </w:tc>
        <w:tc>
          <w:tcPr>
            <w:tcW w:w="790" w:type="dxa"/>
            <w:noWrap w:val="0"/>
            <w:vAlign w:val="center"/>
          </w:tcPr>
          <w:p w14:paraId="5AB765F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both"/>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63.06%</w:t>
            </w:r>
          </w:p>
        </w:tc>
      </w:tr>
      <w:tr w14:paraId="71CC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488BB2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93451F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6B785BE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32175F3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623B74A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5F98BD9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7A91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387221C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5EDCBC9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177E15B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00116DC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1D8B1E3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61EE761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75F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1939E81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0759D4B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2D730FB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556E3EA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5440FCC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0FE3797E">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F660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1C5EDAD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7872FCC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174FCF1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523" w:type="dxa"/>
            <w:gridSpan w:val="2"/>
            <w:noWrap w:val="0"/>
            <w:vAlign w:val="center"/>
          </w:tcPr>
          <w:p w14:paraId="5161AC8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4" w:type="dxa"/>
            <w:noWrap w:val="0"/>
            <w:vAlign w:val="center"/>
          </w:tcPr>
          <w:p w14:paraId="614C3E4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90" w:type="dxa"/>
            <w:noWrap w:val="0"/>
            <w:vAlign w:val="center"/>
          </w:tcPr>
          <w:p w14:paraId="5BBE7E3B">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13AB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06CA220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w:t>
            </w:r>
            <w:r>
              <w:rPr>
                <w:rFonts w:hint="eastAsia" w:ascii="宋体" w:hAnsi="宋体"/>
                <w:b/>
                <w:bCs/>
                <w:sz w:val="18"/>
                <w:szCs w:val="18"/>
                <w:lang w:val="en-US" w:eastAsia="zh-CN"/>
              </w:rPr>
              <w:t xml:space="preserve">      </w:t>
            </w:r>
            <w:r>
              <w:rPr>
                <w:rFonts w:hint="eastAsia" w:ascii="宋体" w:hAnsi="宋体"/>
                <w:b/>
                <w:bCs/>
                <w:sz w:val="18"/>
                <w:szCs w:val="18"/>
                <w:lang w:eastAsia="zh-CN"/>
              </w:rPr>
              <w:t>计</w:t>
            </w:r>
          </w:p>
        </w:tc>
        <w:tc>
          <w:tcPr>
            <w:tcW w:w="1614" w:type="dxa"/>
            <w:gridSpan w:val="3"/>
            <w:noWrap w:val="0"/>
            <w:vAlign w:val="center"/>
          </w:tcPr>
          <w:p w14:paraId="21B26A7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1523" w:type="dxa"/>
            <w:gridSpan w:val="2"/>
            <w:noWrap w:val="0"/>
            <w:vAlign w:val="center"/>
          </w:tcPr>
          <w:p w14:paraId="347F34C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1334" w:type="dxa"/>
            <w:noWrap w:val="0"/>
            <w:vAlign w:val="center"/>
          </w:tcPr>
          <w:p w14:paraId="5EF18324">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c>
          <w:tcPr>
            <w:tcW w:w="790" w:type="dxa"/>
            <w:noWrap w:val="0"/>
            <w:vAlign w:val="center"/>
          </w:tcPr>
          <w:p w14:paraId="1C6203F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rPr>
            </w:pPr>
          </w:p>
        </w:tc>
      </w:tr>
      <w:tr w14:paraId="34D5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63D1958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rPr>
              <w:t>其中：中央财政</w:t>
            </w:r>
          </w:p>
        </w:tc>
        <w:tc>
          <w:tcPr>
            <w:tcW w:w="1614" w:type="dxa"/>
            <w:gridSpan w:val="3"/>
            <w:noWrap w:val="0"/>
            <w:vAlign w:val="center"/>
          </w:tcPr>
          <w:p w14:paraId="21AA6C77">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24EC54FA">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14EE1610">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1ED929AA">
            <w:pPr>
              <w:spacing w:line="300" w:lineRule="exact"/>
              <w:ind w:left="0" w:leftChars="0" w:right="0" w:rightChars="0" w:firstLine="0" w:firstLineChars="0"/>
              <w:jc w:val="center"/>
              <w:rPr>
                <w:rFonts w:hint="eastAsia" w:ascii="宋体" w:hAnsi="宋体" w:eastAsia="宋体"/>
                <w:sz w:val="18"/>
                <w:szCs w:val="18"/>
              </w:rPr>
            </w:pPr>
          </w:p>
        </w:tc>
      </w:tr>
      <w:tr w14:paraId="4EF4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0DBBF31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47185B1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672CF8CE">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069CE2A0">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5F7969B4">
            <w:pPr>
              <w:spacing w:line="300" w:lineRule="exact"/>
              <w:ind w:left="0" w:leftChars="0" w:right="0" w:rightChars="0" w:firstLine="0" w:firstLineChars="0"/>
              <w:jc w:val="center"/>
              <w:rPr>
                <w:rFonts w:hint="eastAsia" w:ascii="宋体" w:hAnsi="宋体" w:eastAsia="宋体"/>
                <w:sz w:val="18"/>
                <w:szCs w:val="18"/>
              </w:rPr>
            </w:pPr>
          </w:p>
        </w:tc>
      </w:tr>
      <w:tr w14:paraId="227D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B485C9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r>
              <w:rPr>
                <w:rFonts w:hint="eastAsia" w:ascii="宋体" w:hAnsi="宋体"/>
                <w:sz w:val="18"/>
                <w:szCs w:val="18"/>
                <w:lang w:val="en-US" w:eastAsia="zh-CN"/>
              </w:rPr>
              <w:t xml:space="preserve">                </w:t>
            </w: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077D5BC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lang w:val="en-US" w:eastAsia="zh-CN"/>
              </w:rPr>
              <w:t xml:space="preserve">     </w:t>
            </w:r>
          </w:p>
        </w:tc>
        <w:tc>
          <w:tcPr>
            <w:tcW w:w="1523" w:type="dxa"/>
            <w:gridSpan w:val="2"/>
            <w:noWrap w:val="0"/>
            <w:vAlign w:val="center"/>
          </w:tcPr>
          <w:p w14:paraId="385D84E9">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4B29323B">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174064E">
            <w:pPr>
              <w:spacing w:line="300" w:lineRule="exact"/>
              <w:ind w:left="0" w:leftChars="0" w:right="0" w:rightChars="0" w:firstLine="0" w:firstLineChars="0"/>
              <w:jc w:val="center"/>
              <w:rPr>
                <w:rFonts w:hint="eastAsia" w:ascii="宋体" w:hAnsi="宋体" w:eastAsia="宋体"/>
                <w:sz w:val="18"/>
                <w:szCs w:val="18"/>
              </w:rPr>
            </w:pPr>
          </w:p>
        </w:tc>
      </w:tr>
      <w:tr w14:paraId="72D7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D24E22F">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 xml:space="preserve">                      区级财政</w:t>
            </w:r>
          </w:p>
        </w:tc>
        <w:tc>
          <w:tcPr>
            <w:tcW w:w="1614" w:type="dxa"/>
            <w:gridSpan w:val="3"/>
            <w:noWrap w:val="0"/>
            <w:vAlign w:val="center"/>
          </w:tcPr>
          <w:p w14:paraId="374EC874">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64</w:t>
            </w:r>
          </w:p>
        </w:tc>
        <w:tc>
          <w:tcPr>
            <w:tcW w:w="1523" w:type="dxa"/>
            <w:gridSpan w:val="2"/>
            <w:noWrap w:val="0"/>
            <w:vAlign w:val="center"/>
          </w:tcPr>
          <w:p w14:paraId="5D05E1E8">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64</w:t>
            </w:r>
          </w:p>
        </w:tc>
        <w:tc>
          <w:tcPr>
            <w:tcW w:w="1334" w:type="dxa"/>
            <w:noWrap w:val="0"/>
            <w:vAlign w:val="center"/>
          </w:tcPr>
          <w:p w14:paraId="2E023775">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40.36</w:t>
            </w:r>
          </w:p>
        </w:tc>
        <w:tc>
          <w:tcPr>
            <w:tcW w:w="790" w:type="dxa"/>
            <w:noWrap w:val="0"/>
            <w:vAlign w:val="center"/>
          </w:tcPr>
          <w:p w14:paraId="24E8D6F6">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63.06%</w:t>
            </w:r>
          </w:p>
        </w:tc>
      </w:tr>
      <w:tr w14:paraId="0A4F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7E3EAB94">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 xml:space="preserve">                </w:t>
            </w:r>
            <w:r>
              <w:rPr>
                <w:rFonts w:hint="eastAsia" w:ascii="宋体" w:hAnsi="宋体" w:eastAsia="宋体"/>
                <w:sz w:val="18"/>
                <w:szCs w:val="18"/>
                <w:lang w:val="en-US" w:eastAsia="zh-CN"/>
              </w:rPr>
              <w:t xml:space="preserve">  </w:t>
            </w:r>
            <w:r>
              <w:rPr>
                <w:rFonts w:hint="eastAsia" w:ascii="宋体" w:hAnsi="宋体" w:eastAsia="宋体"/>
                <w:sz w:val="18"/>
                <w:szCs w:val="18"/>
              </w:rPr>
              <w:t>其他</w:t>
            </w:r>
          </w:p>
        </w:tc>
        <w:tc>
          <w:tcPr>
            <w:tcW w:w="1614" w:type="dxa"/>
            <w:gridSpan w:val="3"/>
            <w:noWrap w:val="0"/>
            <w:vAlign w:val="center"/>
          </w:tcPr>
          <w:p w14:paraId="78CC9801">
            <w:pPr>
              <w:spacing w:line="300" w:lineRule="exact"/>
              <w:ind w:left="0" w:leftChars="0" w:right="0" w:rightChars="0" w:firstLine="0" w:firstLineChars="0"/>
              <w:jc w:val="center"/>
              <w:rPr>
                <w:rFonts w:hint="eastAsia" w:ascii="宋体" w:hAnsi="宋体" w:eastAsia="宋体"/>
                <w:sz w:val="18"/>
                <w:szCs w:val="18"/>
              </w:rPr>
            </w:pPr>
          </w:p>
        </w:tc>
        <w:tc>
          <w:tcPr>
            <w:tcW w:w="1523" w:type="dxa"/>
            <w:gridSpan w:val="2"/>
            <w:noWrap w:val="0"/>
            <w:vAlign w:val="center"/>
          </w:tcPr>
          <w:p w14:paraId="3C3C1F3E">
            <w:pPr>
              <w:spacing w:line="300" w:lineRule="exact"/>
              <w:ind w:left="0" w:leftChars="0" w:right="0" w:rightChars="0" w:firstLine="0" w:firstLineChars="0"/>
              <w:jc w:val="center"/>
              <w:rPr>
                <w:rFonts w:hint="eastAsia" w:ascii="宋体" w:hAnsi="宋体" w:eastAsia="宋体"/>
                <w:sz w:val="18"/>
                <w:szCs w:val="18"/>
              </w:rPr>
            </w:pPr>
          </w:p>
        </w:tc>
        <w:tc>
          <w:tcPr>
            <w:tcW w:w="1334" w:type="dxa"/>
            <w:noWrap w:val="0"/>
            <w:vAlign w:val="center"/>
          </w:tcPr>
          <w:p w14:paraId="4C7F1F06">
            <w:pPr>
              <w:spacing w:line="300" w:lineRule="exact"/>
              <w:ind w:left="0" w:leftChars="0" w:right="0" w:rightChars="0" w:firstLine="0" w:firstLineChars="0"/>
              <w:jc w:val="center"/>
              <w:rPr>
                <w:rFonts w:hint="eastAsia" w:ascii="宋体" w:hAnsi="宋体" w:eastAsia="宋体"/>
                <w:sz w:val="18"/>
                <w:szCs w:val="18"/>
              </w:rPr>
            </w:pPr>
          </w:p>
        </w:tc>
        <w:tc>
          <w:tcPr>
            <w:tcW w:w="790" w:type="dxa"/>
            <w:noWrap w:val="0"/>
            <w:vAlign w:val="center"/>
          </w:tcPr>
          <w:p w14:paraId="601F2328">
            <w:pPr>
              <w:spacing w:line="300" w:lineRule="exact"/>
              <w:ind w:left="0" w:leftChars="0" w:right="0" w:rightChars="0" w:firstLine="0" w:firstLineChars="0"/>
              <w:jc w:val="center"/>
              <w:rPr>
                <w:rFonts w:hint="eastAsia" w:ascii="宋体" w:hAnsi="宋体" w:eastAsia="宋体"/>
                <w:sz w:val="18"/>
                <w:szCs w:val="18"/>
              </w:rPr>
            </w:pPr>
          </w:p>
        </w:tc>
      </w:tr>
      <w:tr w14:paraId="0F03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5A0BD723">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5C879BD9">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647" w:type="dxa"/>
            <w:gridSpan w:val="4"/>
            <w:noWrap w:val="0"/>
            <w:vAlign w:val="center"/>
          </w:tcPr>
          <w:p w14:paraId="21599206">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65BC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1019" w:hRule="atLeast"/>
          <w:jc w:val="center"/>
        </w:trPr>
        <w:tc>
          <w:tcPr>
            <w:tcW w:w="1787" w:type="dxa"/>
            <w:gridSpan w:val="3"/>
            <w:vMerge w:val="continue"/>
            <w:noWrap w:val="0"/>
            <w:vAlign w:val="center"/>
          </w:tcPr>
          <w:p w14:paraId="43DFDD0D">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685467A8">
            <w:pPr>
              <w:spacing w:line="300" w:lineRule="exact"/>
              <w:ind w:left="0" w:leftChars="0" w:right="0" w:rightChars="0" w:firstLine="0" w:firstLineChars="0"/>
              <w:jc w:val="center"/>
              <w:rPr>
                <w:rFonts w:hint="eastAsia"/>
              </w:rPr>
            </w:pPr>
          </w:p>
          <w:p w14:paraId="42DC3F7A">
            <w:pPr>
              <w:pStyle w:val="16"/>
              <w:jc w:val="both"/>
              <w:rPr>
                <w:rFonts w:hint="eastAsia" w:ascii="宋体" w:hAnsi="宋体" w:eastAsia="宋体"/>
                <w:sz w:val="18"/>
                <w:szCs w:val="18"/>
              </w:rPr>
            </w:pPr>
            <w:r>
              <w:rPr>
                <w:rFonts w:hint="eastAsia" w:ascii="宋体" w:hAnsi="宋体" w:eastAsia="宋体"/>
                <w:sz w:val="18"/>
                <w:szCs w:val="18"/>
              </w:rPr>
              <w:t xml:space="preserve">1、网络舆论监测工作 至少1次；                                      </w:t>
            </w:r>
          </w:p>
          <w:p w14:paraId="4980845E">
            <w:pPr>
              <w:pStyle w:val="16"/>
              <w:jc w:val="both"/>
              <w:rPr>
                <w:rFonts w:hint="eastAsia" w:ascii="宋体" w:hAnsi="宋体" w:eastAsia="宋体"/>
                <w:sz w:val="18"/>
                <w:szCs w:val="18"/>
              </w:rPr>
            </w:pPr>
            <w:r>
              <w:rPr>
                <w:rFonts w:hint="eastAsia" w:ascii="宋体" w:hAnsi="宋体" w:eastAsia="宋体"/>
                <w:sz w:val="18"/>
                <w:szCs w:val="18"/>
              </w:rPr>
              <w:t xml:space="preserve">2、网络综合治理工作至少1次；                                   </w:t>
            </w:r>
          </w:p>
          <w:p w14:paraId="0D803E19">
            <w:pPr>
              <w:pStyle w:val="16"/>
              <w:jc w:val="both"/>
              <w:rPr>
                <w:rFonts w:hint="eastAsia" w:ascii="宋体" w:hAnsi="宋体" w:eastAsia="宋体"/>
                <w:sz w:val="18"/>
                <w:szCs w:val="18"/>
              </w:rPr>
            </w:pPr>
            <w:r>
              <w:rPr>
                <w:rFonts w:hint="eastAsia" w:ascii="宋体" w:hAnsi="宋体" w:eastAsia="宋体"/>
                <w:sz w:val="18"/>
                <w:szCs w:val="18"/>
              </w:rPr>
              <w:t xml:space="preserve">3、党政群新媒体监测 至少1次；                                   </w:t>
            </w:r>
          </w:p>
          <w:p w14:paraId="4290326F">
            <w:pPr>
              <w:pStyle w:val="16"/>
              <w:jc w:val="both"/>
              <w:rPr>
                <w:rFonts w:hint="eastAsia" w:ascii="宋体" w:hAnsi="宋体" w:eastAsia="宋体"/>
                <w:sz w:val="18"/>
                <w:szCs w:val="18"/>
              </w:rPr>
            </w:pPr>
            <w:r>
              <w:rPr>
                <w:rFonts w:hint="eastAsia" w:ascii="宋体" w:hAnsi="宋体" w:eastAsia="宋体"/>
                <w:sz w:val="18"/>
                <w:szCs w:val="18"/>
              </w:rPr>
              <w:t xml:space="preserve">4、网络安全检查及演练至少1次 ；                                       </w:t>
            </w:r>
          </w:p>
          <w:p w14:paraId="5C21CDC1">
            <w:pPr>
              <w:pStyle w:val="16"/>
              <w:rPr>
                <w:rFonts w:hint="eastAsia" w:ascii="宋体" w:hAnsi="宋体" w:eastAsia="宋体"/>
                <w:sz w:val="18"/>
                <w:szCs w:val="18"/>
              </w:rPr>
            </w:pPr>
            <w:r>
              <w:rPr>
                <w:rFonts w:hint="eastAsia" w:ascii="宋体" w:hAnsi="宋体" w:eastAsia="宋体"/>
                <w:sz w:val="18"/>
                <w:szCs w:val="18"/>
              </w:rPr>
              <w:t xml:space="preserve">5、网络文明建设及网络文化活动 至少1次；                                                                    </w:t>
            </w:r>
          </w:p>
          <w:p w14:paraId="1F05B199">
            <w:pPr>
              <w:pStyle w:val="16"/>
              <w:jc w:val="both"/>
              <w:rPr>
                <w:rFonts w:hint="eastAsia" w:ascii="宋体" w:hAnsi="宋体" w:eastAsia="宋体"/>
                <w:sz w:val="18"/>
                <w:szCs w:val="18"/>
              </w:rPr>
            </w:pPr>
            <w:r>
              <w:rPr>
                <w:rFonts w:hint="eastAsia" w:ascii="宋体" w:hAnsi="宋体" w:eastAsia="宋体"/>
                <w:sz w:val="18"/>
                <w:szCs w:val="18"/>
              </w:rPr>
              <w:t>6、网评员、举报员队伍建设及培训活动至少1次；</w:t>
            </w:r>
          </w:p>
          <w:p w14:paraId="27FD1630">
            <w:pPr>
              <w:pStyle w:val="16"/>
              <w:jc w:val="both"/>
              <w:rPr>
                <w:rFonts w:hint="eastAsia" w:ascii="宋体" w:hAnsi="宋体" w:eastAsia="宋体"/>
                <w:sz w:val="18"/>
                <w:szCs w:val="18"/>
              </w:rPr>
            </w:pPr>
            <w:r>
              <w:rPr>
                <w:rFonts w:hint="eastAsia" w:ascii="宋体" w:hAnsi="宋体" w:eastAsia="宋体"/>
                <w:sz w:val="18"/>
                <w:szCs w:val="18"/>
              </w:rPr>
              <w:t>7、网络安全宣传周活动至少1次，网络安全宣传次数至少50次；制作（编印）宣传材料数量至少60册。</w:t>
            </w:r>
          </w:p>
          <w:p w14:paraId="56459602">
            <w:pPr>
              <w:pStyle w:val="16"/>
              <w:ind w:left="0" w:leftChars="0" w:firstLine="0" w:firstLineChars="0"/>
              <w:rPr>
                <w:rFonts w:hint="eastAsia" w:ascii="宋体" w:hAnsi="宋体" w:eastAsia="宋体"/>
                <w:sz w:val="18"/>
                <w:szCs w:val="18"/>
              </w:rPr>
            </w:pPr>
          </w:p>
        </w:tc>
        <w:tc>
          <w:tcPr>
            <w:tcW w:w="3647" w:type="dxa"/>
            <w:gridSpan w:val="4"/>
            <w:noWrap w:val="0"/>
            <w:vAlign w:val="center"/>
          </w:tcPr>
          <w:p w14:paraId="381ACB77">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eastAsia="宋体"/>
                <w:sz w:val="18"/>
                <w:szCs w:val="18"/>
              </w:rPr>
              <w:t>网络舆情监测率</w:t>
            </w:r>
            <w:r>
              <w:rPr>
                <w:rFonts w:hint="eastAsia" w:ascii="宋体" w:hAnsi="宋体"/>
                <w:sz w:val="18"/>
                <w:szCs w:val="18"/>
                <w:lang w:eastAsia="zh-CN"/>
              </w:rPr>
              <w:t>、网络安全宣传覆盖率、网络安全检查覆盖率、重大主题舆论引导覆盖率、网络安全检查及时率、受益对象满意度</w:t>
            </w:r>
            <w:r>
              <w:rPr>
                <w:rFonts w:hint="eastAsia" w:ascii="宋体" w:hAnsi="宋体"/>
                <w:sz w:val="18"/>
                <w:szCs w:val="18"/>
                <w:lang w:val="en-US" w:eastAsia="zh-CN"/>
              </w:rPr>
              <w:t>达到90%，持续维护网络环境。</w:t>
            </w:r>
          </w:p>
        </w:tc>
      </w:tr>
      <w:tr w14:paraId="12A8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019" w:type="dxa"/>
            <w:gridSpan w:val="12"/>
            <w:noWrap w:val="0"/>
            <w:vAlign w:val="center"/>
          </w:tcPr>
          <w:p w14:paraId="71646C37">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绩效评价指标评分（参考）</w:t>
            </w:r>
          </w:p>
        </w:tc>
      </w:tr>
      <w:tr w14:paraId="4569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35D68300">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79319B93">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63F61AC">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E617CF3">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B79132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C663C3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D22D792">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303D8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DE79A3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132C363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restart"/>
            <w:tcBorders>
              <w:top w:val="single" w:color="000000" w:sz="4" w:space="0"/>
              <w:left w:val="single" w:color="000000" w:sz="4" w:space="0"/>
              <w:right w:val="single" w:color="000000" w:sz="4" w:space="0"/>
            </w:tcBorders>
            <w:noWrap w:val="0"/>
            <w:vAlign w:val="center"/>
          </w:tcPr>
          <w:p w14:paraId="199244F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5FD415E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0635FBA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86FACA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82851A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C570C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5849C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2CAB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251D0F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0EE47DB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2AA20F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98FF51E">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7B503E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629D3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6FA3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281CB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779598E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5D3D803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2FF4DB3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D5FFBF0">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16661A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E0C9D2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7949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6665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654B271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12530F7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43D0261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092AFD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F28802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5DADB0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79BB2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C3BA2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000265A3">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EE17B8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3B38487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2B12D4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BE68A5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1FCD5E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78A7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59A4468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21F73524">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C5D91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AEA96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45E146F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3E187B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66D6A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06D5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001811B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1BD9CFD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4D8AB1CB">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39702C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1E066A3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98FC6C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469615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BB28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44107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3D4126D7">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C2FB3">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5C9C2A">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202F088A">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1E2248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FEC672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5F17A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8A12E">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36AB76F6">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FB2B348">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6F7CA1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3FFBD6E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D48F47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100452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7</w:t>
            </w:r>
          </w:p>
        </w:tc>
      </w:tr>
      <w:tr w14:paraId="4D22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783A6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74C5F7C0">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483548A3">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79CF68D8">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7</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3001F9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AB2930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D0F1E9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7FEC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65A11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187FDF42">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2A2E4CC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auto" w:sz="4" w:space="0"/>
              <w:right w:val="single" w:color="000000" w:sz="4" w:space="0"/>
            </w:tcBorders>
            <w:noWrap w:val="0"/>
            <w:vAlign w:val="center"/>
          </w:tcPr>
          <w:p w14:paraId="7FAF9B1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gridSpan w:val="4"/>
            <w:tcBorders>
              <w:top w:val="single" w:color="000000" w:sz="4" w:space="0"/>
              <w:left w:val="single" w:color="000000" w:sz="4" w:space="0"/>
              <w:bottom w:val="single" w:color="auto" w:sz="4" w:space="0"/>
              <w:right w:val="single" w:color="000000" w:sz="4" w:space="0"/>
            </w:tcBorders>
            <w:noWrap w:val="0"/>
            <w:vAlign w:val="center"/>
          </w:tcPr>
          <w:p w14:paraId="3EB5A4E7">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DA61FB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3A2C4A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51C0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0D917E0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4B9CBBC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2E00049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restart"/>
            <w:tcBorders>
              <w:top w:val="single" w:color="auto" w:sz="4" w:space="0"/>
              <w:left w:val="single" w:color="auto" w:sz="4" w:space="0"/>
              <w:right w:val="single" w:color="auto" w:sz="4" w:space="0"/>
            </w:tcBorders>
            <w:noWrap w:val="0"/>
            <w:vAlign w:val="center"/>
          </w:tcPr>
          <w:p w14:paraId="3D78079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6D129D15">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网络安全宣传次数</w:t>
            </w:r>
          </w:p>
        </w:tc>
        <w:tc>
          <w:tcPr>
            <w:tcW w:w="1334" w:type="dxa"/>
            <w:tcBorders>
              <w:top w:val="single" w:color="000000" w:sz="4" w:space="0"/>
              <w:left w:val="single" w:color="auto" w:sz="4" w:space="0"/>
              <w:bottom w:val="single" w:color="auto" w:sz="4" w:space="0"/>
              <w:right w:val="single" w:color="000000" w:sz="4" w:space="0"/>
            </w:tcBorders>
            <w:noWrap w:val="0"/>
            <w:vAlign w:val="center"/>
          </w:tcPr>
          <w:p w14:paraId="3D1C16A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000000" w:sz="4" w:space="0"/>
              <w:left w:val="single" w:color="000000" w:sz="4" w:space="0"/>
              <w:bottom w:val="single" w:color="auto" w:sz="4" w:space="0"/>
              <w:right w:val="single" w:color="000000" w:sz="4" w:space="0"/>
            </w:tcBorders>
            <w:noWrap w:val="0"/>
            <w:vAlign w:val="center"/>
          </w:tcPr>
          <w:p w14:paraId="5230FB2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4B61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89804B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B33B963">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4E6A763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right w:val="single" w:color="auto" w:sz="4" w:space="0"/>
            </w:tcBorders>
            <w:noWrap w:val="0"/>
            <w:vAlign w:val="center"/>
          </w:tcPr>
          <w:p w14:paraId="165A27B0">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0B7EAEA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制作（编印）宣传材料数量</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6C835E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D65D51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69C91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1B6EE7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133657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07AAD93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vMerge w:val="continue"/>
            <w:tcBorders>
              <w:left w:val="single" w:color="auto" w:sz="4" w:space="0"/>
              <w:bottom w:val="single" w:color="auto" w:sz="4" w:space="0"/>
              <w:right w:val="single" w:color="auto" w:sz="4" w:space="0"/>
            </w:tcBorders>
            <w:noWrap w:val="0"/>
            <w:vAlign w:val="center"/>
          </w:tcPr>
          <w:p w14:paraId="4516C631">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84C1A4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网络文化活动场次</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234D2C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95CF16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w:t>
            </w:r>
          </w:p>
        </w:tc>
      </w:tr>
      <w:tr w14:paraId="7F77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168946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538A37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6A4C1CA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restart"/>
            <w:tcBorders>
              <w:top w:val="single" w:color="auto" w:sz="4" w:space="0"/>
              <w:left w:val="single" w:color="auto" w:sz="4" w:space="0"/>
              <w:right w:val="single" w:color="auto" w:sz="4" w:space="0"/>
            </w:tcBorders>
            <w:noWrap w:val="0"/>
            <w:vAlign w:val="center"/>
          </w:tcPr>
          <w:p w14:paraId="10A2DC20">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5AEF7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网络舆情监测率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5F3F72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54FC36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74DDF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0864D89">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BAE3B11">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147CD58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continue"/>
            <w:tcBorders>
              <w:left w:val="single" w:color="auto" w:sz="4" w:space="0"/>
              <w:right w:val="single" w:color="auto" w:sz="4" w:space="0"/>
            </w:tcBorders>
            <w:noWrap w:val="0"/>
            <w:vAlign w:val="center"/>
          </w:tcPr>
          <w:p w14:paraId="72F586B2">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4841C0A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网络安全宣传覆盖率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676B4D5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2957584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5F47C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0103E4B">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203E66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463FB7B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continue"/>
            <w:tcBorders>
              <w:left w:val="single" w:color="auto" w:sz="4" w:space="0"/>
              <w:right w:val="single" w:color="auto" w:sz="4" w:space="0"/>
            </w:tcBorders>
            <w:noWrap w:val="0"/>
            <w:vAlign w:val="center"/>
          </w:tcPr>
          <w:p w14:paraId="2D21E7C6">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5BD89E7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网络安全检查覆盖率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7E16E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FDB51F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318F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34FD9C7">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BF34116">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603EF4B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质</w:t>
            </w:r>
            <w:r>
              <w:rPr>
                <w:rFonts w:hint="eastAsia" w:ascii="宋体" w:hAnsi="宋体" w:eastAsia="宋体"/>
                <w:color w:val="000000"/>
                <w:sz w:val="18"/>
                <w:szCs w:val="18"/>
              </w:rPr>
              <w:t>量</w:t>
            </w:r>
          </w:p>
        </w:tc>
        <w:tc>
          <w:tcPr>
            <w:tcW w:w="621" w:type="dxa"/>
            <w:vMerge w:val="continue"/>
            <w:tcBorders>
              <w:left w:val="single" w:color="auto" w:sz="4" w:space="0"/>
              <w:bottom w:val="single" w:color="auto" w:sz="4" w:space="0"/>
              <w:right w:val="single" w:color="auto" w:sz="4" w:space="0"/>
            </w:tcBorders>
            <w:noWrap w:val="0"/>
            <w:vAlign w:val="center"/>
          </w:tcPr>
          <w:p w14:paraId="6058BAB0">
            <w:pPr>
              <w:spacing w:line="300" w:lineRule="exact"/>
              <w:ind w:left="0" w:leftChars="0" w:right="0" w:rightChars="0" w:firstLine="0" w:firstLineChars="0"/>
              <w:jc w:val="center"/>
              <w:rPr>
                <w:rFonts w:hint="eastAsia" w:ascii="宋体" w:hAnsi="宋体" w:eastAsia="宋体"/>
                <w:sz w:val="18"/>
                <w:szCs w:val="18"/>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1B3BA7C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重大主题舆论引导覆盖率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30D7AE4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1EC06D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3955A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995251B">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FC3AAFD">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008358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时效</w:t>
            </w:r>
          </w:p>
        </w:tc>
        <w:tc>
          <w:tcPr>
            <w:tcW w:w="621" w:type="dxa"/>
            <w:vMerge w:val="restart"/>
            <w:tcBorders>
              <w:top w:val="single" w:color="auto" w:sz="4" w:space="0"/>
              <w:left w:val="single" w:color="auto" w:sz="4" w:space="0"/>
              <w:right w:val="single" w:color="auto" w:sz="4" w:space="0"/>
            </w:tcBorders>
            <w:noWrap w:val="0"/>
            <w:vAlign w:val="center"/>
          </w:tcPr>
          <w:p w14:paraId="65CFB053">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10</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6F29E68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网络安全检查及时率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51776CD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6DB014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2C5D6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FD3603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D3EDF4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63BEB3A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r>
              <w:rPr>
                <w:rFonts w:hint="eastAsia" w:ascii="宋体" w:hAnsi="宋体"/>
                <w:color w:val="000000"/>
                <w:sz w:val="18"/>
                <w:szCs w:val="18"/>
                <w:lang w:val="en-US" w:eastAsia="zh-CN"/>
              </w:rPr>
              <w:t>时效</w:t>
            </w:r>
          </w:p>
        </w:tc>
        <w:tc>
          <w:tcPr>
            <w:tcW w:w="621" w:type="dxa"/>
            <w:vMerge w:val="continue"/>
            <w:tcBorders>
              <w:left w:val="single" w:color="auto" w:sz="4" w:space="0"/>
              <w:right w:val="single" w:color="auto" w:sz="4" w:space="0"/>
            </w:tcBorders>
            <w:noWrap w:val="0"/>
            <w:vAlign w:val="center"/>
          </w:tcPr>
          <w:p w14:paraId="11298BE1">
            <w:pPr>
              <w:spacing w:line="300" w:lineRule="exact"/>
              <w:ind w:left="0" w:leftChars="0" w:right="0" w:rightChars="0" w:firstLine="0" w:firstLineChars="0"/>
              <w:jc w:val="center"/>
              <w:rPr>
                <w:rFonts w:hint="eastAsia" w:ascii="宋体" w:hAnsi="宋体"/>
                <w:sz w:val="18"/>
                <w:szCs w:val="18"/>
                <w:lang w:val="en-US" w:eastAsia="zh-CN"/>
              </w:rPr>
            </w:pP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DEE7C3C">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项目完成及时率</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477B84FB">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7B535D45">
            <w:pPr>
              <w:autoSpaceDN w:val="0"/>
              <w:spacing w:line="300" w:lineRule="exact"/>
              <w:ind w:left="0" w:leftChars="0" w:right="0" w:rightChars="0" w:firstLine="0" w:firstLineChars="0"/>
              <w:jc w:val="center"/>
              <w:textAlignment w:val="center"/>
              <w:rPr>
                <w:rFonts w:hint="default" w:ascii="宋体" w:hAnsi="宋体"/>
                <w:color w:val="000000"/>
                <w:sz w:val="18"/>
                <w:szCs w:val="18"/>
                <w:lang w:val="en-US" w:eastAsia="zh-CN"/>
              </w:rPr>
            </w:pPr>
            <w:r>
              <w:rPr>
                <w:rFonts w:hint="eastAsia" w:ascii="宋体" w:hAnsi="宋体"/>
                <w:color w:val="000000"/>
                <w:sz w:val="18"/>
                <w:szCs w:val="18"/>
                <w:lang w:val="en-US" w:eastAsia="zh-CN"/>
              </w:rPr>
              <w:t>5</w:t>
            </w:r>
          </w:p>
        </w:tc>
      </w:tr>
      <w:tr w14:paraId="3C20B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8E3A472">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A5F085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auto" w:sz="4" w:space="0"/>
            </w:tcBorders>
            <w:noWrap w:val="0"/>
            <w:vAlign w:val="center"/>
          </w:tcPr>
          <w:p w14:paraId="264A27D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auto" w:sz="4" w:space="0"/>
              <w:left w:val="single" w:color="auto" w:sz="4" w:space="0"/>
              <w:bottom w:val="single" w:color="auto" w:sz="4" w:space="0"/>
              <w:right w:val="single" w:color="auto" w:sz="4" w:space="0"/>
            </w:tcBorders>
            <w:noWrap w:val="0"/>
            <w:vAlign w:val="center"/>
          </w:tcPr>
          <w:p w14:paraId="5C30931E">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2516" w:type="dxa"/>
            <w:gridSpan w:val="4"/>
            <w:tcBorders>
              <w:top w:val="single" w:color="auto" w:sz="4" w:space="0"/>
              <w:left w:val="single" w:color="auto" w:sz="4" w:space="0"/>
              <w:bottom w:val="single" w:color="auto" w:sz="4" w:space="0"/>
              <w:right w:val="single" w:color="auto" w:sz="4" w:space="0"/>
            </w:tcBorders>
            <w:noWrap w:val="0"/>
            <w:vAlign w:val="center"/>
          </w:tcPr>
          <w:p w14:paraId="7D4587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印发宣传材料成本</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745DEA5D">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2.5</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8411EC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2.5</w:t>
            </w:r>
          </w:p>
        </w:tc>
      </w:tr>
      <w:tr w14:paraId="5DFB3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C1C128B">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B1FB66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563A4FC">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可持续影响</w:t>
            </w:r>
          </w:p>
        </w:tc>
        <w:tc>
          <w:tcPr>
            <w:tcW w:w="621" w:type="dxa"/>
            <w:tcBorders>
              <w:top w:val="single" w:color="auto" w:sz="4" w:space="0"/>
              <w:left w:val="single" w:color="000000" w:sz="4" w:space="0"/>
              <w:bottom w:val="single" w:color="000000" w:sz="4" w:space="0"/>
              <w:right w:val="single" w:color="000000" w:sz="4" w:space="0"/>
            </w:tcBorders>
            <w:noWrap w:val="0"/>
            <w:vAlign w:val="center"/>
          </w:tcPr>
          <w:p w14:paraId="7EEB3ECB">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sz w:val="18"/>
                <w:szCs w:val="18"/>
                <w:lang w:val="en-US" w:eastAsia="zh-CN"/>
              </w:rPr>
              <w:t>2.5</w:t>
            </w:r>
          </w:p>
        </w:tc>
        <w:tc>
          <w:tcPr>
            <w:tcW w:w="2516" w:type="dxa"/>
            <w:gridSpan w:val="4"/>
            <w:tcBorders>
              <w:top w:val="single" w:color="auto" w:sz="4" w:space="0"/>
              <w:left w:val="single" w:color="000000" w:sz="4" w:space="0"/>
              <w:bottom w:val="single" w:color="000000" w:sz="4" w:space="0"/>
              <w:right w:val="single" w:color="auto" w:sz="4" w:space="0"/>
            </w:tcBorders>
            <w:noWrap w:val="0"/>
            <w:vAlign w:val="center"/>
          </w:tcPr>
          <w:p w14:paraId="13DB05D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持续维护网络环境</w:t>
            </w:r>
          </w:p>
        </w:tc>
        <w:tc>
          <w:tcPr>
            <w:tcW w:w="1334" w:type="dxa"/>
            <w:tcBorders>
              <w:top w:val="single" w:color="auto" w:sz="4" w:space="0"/>
              <w:left w:val="single" w:color="auto" w:sz="4" w:space="0"/>
              <w:bottom w:val="single" w:color="000000" w:sz="4" w:space="0"/>
              <w:right w:val="single" w:color="000000" w:sz="4" w:space="0"/>
            </w:tcBorders>
            <w:noWrap w:val="0"/>
            <w:vAlign w:val="center"/>
          </w:tcPr>
          <w:p w14:paraId="58B50DB5">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2.5</w:t>
            </w: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038B756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2.5</w:t>
            </w:r>
          </w:p>
        </w:tc>
      </w:tr>
      <w:tr w14:paraId="5D4C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2C9A53C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31EF26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297E30A">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3DCCEF6">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6CB04CF3">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社会公众或服务对象满意度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59E7A6F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123865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w:t>
            </w:r>
          </w:p>
        </w:tc>
      </w:tr>
      <w:tr w14:paraId="154A0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387441B7">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4E38F18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394D18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F2F8CB3">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gridSpan w:val="4"/>
            <w:tcBorders>
              <w:top w:val="single" w:color="000000" w:sz="4" w:space="0"/>
              <w:left w:val="single" w:color="000000" w:sz="4" w:space="0"/>
              <w:bottom w:val="single" w:color="000000" w:sz="4" w:space="0"/>
              <w:right w:val="single" w:color="000000" w:sz="4" w:space="0"/>
            </w:tcBorders>
            <w:noWrap w:val="0"/>
            <w:vAlign w:val="center"/>
          </w:tcPr>
          <w:p w14:paraId="71EE55B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B1CE37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BF63303">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86</w:t>
            </w:r>
          </w:p>
        </w:tc>
      </w:tr>
      <w:tr w14:paraId="05A3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6B346CB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11"/>
            <w:noWrap w:val="0"/>
            <w:vAlign w:val="center"/>
          </w:tcPr>
          <w:p w14:paraId="0590704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A3"/>
            </w:r>
            <w:r>
              <w:rPr>
                <w:rFonts w:hint="eastAsia" w:ascii="宋体" w:hAnsi="宋体" w:eastAsia="宋体" w:cs="宋体"/>
                <w:color w:val="000000"/>
                <w:kern w:val="0"/>
                <w:sz w:val="18"/>
                <w:szCs w:val="18"/>
              </w:rPr>
              <w:t xml:space="preserve">        良</w:t>
            </w:r>
            <w:r>
              <w:rPr>
                <w:rFonts w:hint="eastAsia" w:ascii="宋体" w:hAnsi="宋体" w:cs="宋体"/>
                <w:color w:val="000000"/>
                <w:kern w:val="0"/>
                <w:sz w:val="18"/>
                <w:szCs w:val="18"/>
                <w:lang w:eastAsia="zh-CN"/>
              </w:rPr>
              <w:t>☑</w:t>
            </w:r>
            <w:r>
              <w:rPr>
                <w:rFonts w:hint="eastAsia" w:ascii="宋体" w:hAnsi="宋体" w:eastAsia="宋体" w:cs="宋体"/>
                <w:color w:val="000000"/>
                <w:kern w:val="0"/>
                <w:sz w:val="18"/>
                <w:szCs w:val="18"/>
              </w:rPr>
              <w:t xml:space="preserve">       中 □       差□</w:t>
            </w:r>
          </w:p>
        </w:tc>
      </w:tr>
      <w:tr w14:paraId="760C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617A9750">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11"/>
            <w:noWrap w:val="0"/>
            <w:vAlign w:val="center"/>
          </w:tcPr>
          <w:p w14:paraId="582CEBA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5700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413" w:type="dxa"/>
            <w:noWrap w:val="0"/>
            <w:vAlign w:val="center"/>
          </w:tcPr>
          <w:p w14:paraId="424C4A21">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问题和建议</w:t>
            </w:r>
          </w:p>
        </w:tc>
        <w:tc>
          <w:tcPr>
            <w:tcW w:w="7606" w:type="dxa"/>
            <w:gridSpan w:val="11"/>
            <w:noWrap w:val="0"/>
            <w:vAlign w:val="top"/>
          </w:tcPr>
          <w:p w14:paraId="0DFFDA62">
            <w:pPr>
              <w:pStyle w:val="16"/>
              <w:ind w:left="0" w:leftChars="0" w:firstLine="0" w:firstLineChars="0"/>
              <w:rPr>
                <w:rFonts w:hint="eastAsia" w:ascii="宋体" w:hAnsi="宋体" w:eastAsia="宋体" w:cs="宋体"/>
                <w:color w:val="000000"/>
                <w:kern w:val="0"/>
                <w:sz w:val="18"/>
                <w:szCs w:val="18"/>
                <w:lang w:val="en-US" w:eastAsia="zh-CN"/>
              </w:rPr>
            </w:pPr>
          </w:p>
          <w:p w14:paraId="3F174278">
            <w:pPr>
              <w:pStyle w:val="16"/>
              <w:ind w:firstLine="0" w:firstLineChars="0"/>
              <w:jc w:val="both"/>
              <w:rPr>
                <w:rFonts w:hint="eastAsia" w:ascii="宋体" w:hAnsi="宋体" w:cs="宋体"/>
                <w:color w:val="000000"/>
                <w:kern w:val="0"/>
                <w:sz w:val="18"/>
                <w:szCs w:val="18"/>
                <w:lang w:val="en-US" w:eastAsia="zh-CN"/>
              </w:rPr>
            </w:pPr>
            <w:r>
              <w:rPr>
                <w:rFonts w:hint="eastAsia" w:ascii="宋体" w:hAnsi="宋体" w:cs="宋体"/>
                <w:color w:val="000000"/>
                <w:kern w:val="0"/>
                <w:sz w:val="18"/>
                <w:szCs w:val="18"/>
                <w:lang w:val="en-US" w:eastAsia="zh-CN"/>
              </w:rPr>
              <w:t>问题：绩效管理认识不够</w:t>
            </w:r>
          </w:p>
          <w:p w14:paraId="63B3BCAD">
            <w:pPr>
              <w:pStyle w:val="16"/>
              <w:ind w:firstLine="0" w:firstLineChars="0"/>
              <w:jc w:val="both"/>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建议：</w:t>
            </w:r>
            <w:r>
              <w:rPr>
                <w:rFonts w:hint="eastAsia" w:ascii="宋体" w:hAnsi="宋体" w:eastAsia="宋体" w:cs="宋体"/>
                <w:color w:val="000000"/>
                <w:kern w:val="0"/>
                <w:sz w:val="18"/>
                <w:szCs w:val="18"/>
                <w:lang w:val="en-US" w:eastAsia="zh-CN"/>
              </w:rPr>
              <w:t>进一步加强对预算绩效人才队伍的培养</w:t>
            </w:r>
          </w:p>
          <w:p w14:paraId="6E7F88F3">
            <w:pPr>
              <w:pStyle w:val="16"/>
              <w:rPr>
                <w:rFonts w:hint="eastAsia" w:ascii="宋体" w:hAnsi="宋体" w:eastAsia="宋体" w:cs="宋体"/>
                <w:color w:val="000000"/>
                <w:kern w:val="0"/>
                <w:sz w:val="18"/>
                <w:szCs w:val="18"/>
                <w:lang w:val="en-US" w:eastAsia="zh-CN"/>
              </w:rPr>
            </w:pPr>
          </w:p>
        </w:tc>
      </w:tr>
      <w:tr w14:paraId="55A9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019" w:type="dxa"/>
            <w:gridSpan w:val="12"/>
            <w:noWrap w:val="0"/>
            <w:vAlign w:val="center"/>
          </w:tcPr>
          <w:p w14:paraId="0DED70C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30CC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0133515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06A95DC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57F60B7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429" w:type="dxa"/>
            <w:gridSpan w:val="3"/>
            <w:noWrap w:val="0"/>
            <w:vAlign w:val="center"/>
          </w:tcPr>
          <w:p w14:paraId="1CE11D9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3792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1E8D95FA">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19F9CDD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6A47A8F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238BB76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6EDC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25EEF77C">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29AE5052">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429B714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308525E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1F98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6F73942D">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31E18F8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23B3B6C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2110DD55">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6E18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45291BD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159" w:type="dxa"/>
            <w:gridSpan w:val="3"/>
            <w:noWrap w:val="0"/>
            <w:vAlign w:val="top"/>
          </w:tcPr>
          <w:p w14:paraId="65794EE5">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832" w:type="dxa"/>
            <w:gridSpan w:val="4"/>
            <w:noWrap w:val="0"/>
            <w:vAlign w:val="top"/>
          </w:tcPr>
          <w:p w14:paraId="49C0034F">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c>
          <w:tcPr>
            <w:tcW w:w="2429" w:type="dxa"/>
            <w:gridSpan w:val="3"/>
            <w:noWrap w:val="0"/>
            <w:vAlign w:val="top"/>
          </w:tcPr>
          <w:p w14:paraId="0B37E66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rPr>
            </w:pPr>
          </w:p>
        </w:tc>
      </w:tr>
      <w:tr w14:paraId="0041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019" w:type="dxa"/>
            <w:gridSpan w:val="12"/>
            <w:noWrap w:val="0"/>
            <w:vAlign w:val="center"/>
          </w:tcPr>
          <w:p w14:paraId="21D32FCF">
            <w:pPr>
              <w:spacing w:line="400" w:lineRule="exact"/>
            </w:pPr>
            <w:r>
              <w:rPr>
                <w:rFonts w:hint="eastAsia"/>
              </w:rPr>
              <w:t xml:space="preserve">填报人（签字）：                                  </w:t>
            </w:r>
            <w:r>
              <w:rPr>
                <w:rFonts w:hint="eastAsia"/>
                <w:lang w:val="en-US" w:eastAsia="zh-CN"/>
              </w:rPr>
              <w:t xml:space="preserve">    </w:t>
            </w:r>
            <w:r>
              <w:rPr>
                <w:rFonts w:hint="eastAsia"/>
              </w:rPr>
              <w:t xml:space="preserve">年   月   日                                        </w:t>
            </w:r>
          </w:p>
          <w:p w14:paraId="49A12C6F">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 xml:space="preserve">评价组组长（签字）：       </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年   月   日</w:t>
            </w:r>
          </w:p>
          <w:p w14:paraId="00F6E93F">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价部门负责人（签字并盖章）：                        年   月   日</w:t>
            </w:r>
          </w:p>
        </w:tc>
      </w:tr>
    </w:tbl>
    <w:p w14:paraId="5D8D89BE">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4D3FD6ED">
      <w:pPr>
        <w:pStyle w:val="5"/>
        <w:rPr>
          <w:rFonts w:hint="eastAsia" w:ascii="仿宋_GB2312" w:hAnsi="仿宋_GB2312" w:eastAsia="仿宋_GB2312" w:cs="仿宋_GB2312"/>
          <w:b/>
          <w:bCs/>
          <w:sz w:val="21"/>
          <w:szCs w:val="24"/>
          <w:lang w:val="en-US" w:eastAsia="zh-CN"/>
        </w:rPr>
      </w:pPr>
    </w:p>
    <w:p w14:paraId="1852A18F">
      <w:pPr>
        <w:rPr>
          <w:rFonts w:hint="eastAsia" w:ascii="仿宋_GB2312" w:hAnsi="仿宋_GB2312" w:eastAsia="仿宋_GB2312" w:cs="仿宋_GB2312"/>
          <w:b/>
          <w:bCs/>
          <w:sz w:val="21"/>
          <w:szCs w:val="24"/>
          <w:lang w:val="en-US" w:eastAsia="zh-CN"/>
        </w:rPr>
      </w:pPr>
    </w:p>
    <w:p w14:paraId="4E2B3258">
      <w:pPr>
        <w:pStyle w:val="5"/>
        <w:rPr>
          <w:rFonts w:hint="eastAsia" w:ascii="仿宋_GB2312" w:hAnsi="仿宋_GB2312" w:eastAsia="仿宋_GB2312" w:cs="仿宋_GB2312"/>
          <w:b/>
          <w:bCs/>
          <w:sz w:val="21"/>
          <w:szCs w:val="24"/>
          <w:lang w:val="en-US" w:eastAsia="zh-CN"/>
        </w:rPr>
      </w:pPr>
    </w:p>
    <w:p w14:paraId="51F8A31D">
      <w:pPr>
        <w:rPr>
          <w:rFonts w:hint="eastAsia" w:ascii="仿宋_GB2312" w:hAnsi="仿宋_GB2312" w:eastAsia="仿宋_GB2312" w:cs="仿宋_GB2312"/>
          <w:b/>
          <w:bCs/>
          <w:sz w:val="21"/>
          <w:szCs w:val="24"/>
          <w:lang w:val="en-US" w:eastAsia="zh-CN"/>
        </w:rPr>
      </w:pPr>
    </w:p>
    <w:p w14:paraId="57CFFCAE">
      <w:pPr>
        <w:pStyle w:val="5"/>
        <w:rPr>
          <w:rFonts w:hint="eastAsia" w:ascii="仿宋_GB2312" w:hAnsi="仿宋_GB2312" w:eastAsia="仿宋_GB2312" w:cs="仿宋_GB2312"/>
          <w:b/>
          <w:bCs/>
          <w:sz w:val="21"/>
          <w:szCs w:val="24"/>
          <w:lang w:val="en-US" w:eastAsia="zh-CN"/>
        </w:rPr>
      </w:pPr>
    </w:p>
    <w:p w14:paraId="567CAF29">
      <w:pPr>
        <w:rPr>
          <w:rFonts w:hint="eastAsia" w:ascii="仿宋_GB2312" w:hAnsi="仿宋_GB2312" w:eastAsia="仿宋_GB2312" w:cs="仿宋_GB2312"/>
          <w:b/>
          <w:bCs/>
          <w:sz w:val="21"/>
          <w:szCs w:val="24"/>
          <w:lang w:val="en-US" w:eastAsia="zh-CN"/>
        </w:rPr>
      </w:pPr>
    </w:p>
    <w:p w14:paraId="661B8AA8">
      <w:pPr>
        <w:pStyle w:val="5"/>
        <w:rPr>
          <w:rFonts w:hint="eastAsia" w:ascii="仿宋_GB2312" w:hAnsi="仿宋_GB2312" w:eastAsia="仿宋_GB2312" w:cs="仿宋_GB2312"/>
          <w:b/>
          <w:bCs/>
          <w:sz w:val="21"/>
          <w:szCs w:val="24"/>
          <w:lang w:val="en-US" w:eastAsia="zh-CN"/>
        </w:rPr>
      </w:pPr>
    </w:p>
    <w:p w14:paraId="351F23BF">
      <w:pPr>
        <w:rPr>
          <w:rFonts w:hint="eastAsia" w:ascii="仿宋_GB2312" w:hAnsi="仿宋_GB2312" w:eastAsia="仿宋_GB2312" w:cs="仿宋_GB2312"/>
          <w:b/>
          <w:bCs/>
          <w:sz w:val="21"/>
          <w:szCs w:val="24"/>
          <w:lang w:val="en-US" w:eastAsia="zh-CN"/>
        </w:rPr>
      </w:pPr>
    </w:p>
    <w:p w14:paraId="6352133D">
      <w:pPr>
        <w:pStyle w:val="5"/>
        <w:rPr>
          <w:rFonts w:hint="eastAsia" w:ascii="仿宋_GB2312" w:hAnsi="仿宋_GB2312" w:eastAsia="仿宋_GB2312" w:cs="仿宋_GB2312"/>
          <w:b/>
          <w:bCs/>
          <w:sz w:val="21"/>
          <w:szCs w:val="24"/>
          <w:lang w:val="en-US" w:eastAsia="zh-CN"/>
        </w:rPr>
      </w:pPr>
    </w:p>
    <w:p w14:paraId="4449ACF2">
      <w:pPr>
        <w:rPr>
          <w:rFonts w:hint="eastAsia" w:ascii="仿宋_GB2312" w:hAnsi="仿宋_GB2312" w:eastAsia="仿宋_GB2312" w:cs="仿宋_GB2312"/>
          <w:b/>
          <w:bCs/>
          <w:sz w:val="21"/>
          <w:szCs w:val="24"/>
          <w:lang w:val="en-US" w:eastAsia="zh-CN"/>
        </w:rPr>
      </w:pPr>
    </w:p>
    <w:p w14:paraId="3F3FB981">
      <w:pPr>
        <w:pStyle w:val="5"/>
        <w:rPr>
          <w:rFonts w:hint="eastAsia" w:ascii="仿宋_GB2312" w:hAnsi="仿宋_GB2312" w:eastAsia="仿宋_GB2312" w:cs="仿宋_GB2312"/>
          <w:b/>
          <w:bCs/>
          <w:sz w:val="21"/>
          <w:szCs w:val="24"/>
          <w:lang w:val="en-US" w:eastAsia="zh-CN"/>
        </w:rPr>
      </w:pPr>
    </w:p>
    <w:p w14:paraId="64AAB6B5">
      <w:pPr>
        <w:rPr>
          <w:rFonts w:hint="eastAsia" w:ascii="仿宋_GB2312" w:hAnsi="仿宋_GB2312" w:eastAsia="仿宋_GB2312" w:cs="仿宋_GB2312"/>
          <w:b/>
          <w:bCs/>
          <w:sz w:val="21"/>
          <w:szCs w:val="24"/>
          <w:lang w:val="en-US" w:eastAsia="zh-CN"/>
        </w:rPr>
      </w:pPr>
    </w:p>
    <w:p w14:paraId="6FA56C52">
      <w:pPr>
        <w:pStyle w:val="5"/>
        <w:rPr>
          <w:rFonts w:hint="eastAsia" w:ascii="仿宋_GB2312" w:hAnsi="仿宋_GB2312" w:eastAsia="仿宋_GB2312" w:cs="仿宋_GB2312"/>
          <w:b/>
          <w:bCs/>
          <w:sz w:val="21"/>
          <w:szCs w:val="24"/>
          <w:lang w:val="en-US" w:eastAsia="zh-CN"/>
        </w:rPr>
      </w:pPr>
    </w:p>
    <w:p w14:paraId="193D00F6">
      <w:pPr>
        <w:rPr>
          <w:rFonts w:hint="eastAsia" w:ascii="仿宋_GB2312" w:hAnsi="仿宋_GB2312" w:eastAsia="仿宋_GB2312" w:cs="仿宋_GB2312"/>
          <w:b/>
          <w:bCs/>
          <w:sz w:val="21"/>
          <w:szCs w:val="24"/>
          <w:lang w:val="en-US" w:eastAsia="zh-CN"/>
        </w:rPr>
      </w:pPr>
    </w:p>
    <w:p w14:paraId="7CD665E1">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p>
    <w:p w14:paraId="10F4887A">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063C0A0E">
      <w:pPr>
        <w:keepNext w:val="0"/>
        <w:keepLines w:val="0"/>
        <w:pageBreakBefore w:val="0"/>
        <w:widowControl/>
        <w:kinsoku/>
        <w:wordWrap/>
        <w:overflowPunct/>
        <w:topLinePunct w:val="0"/>
        <w:autoSpaceDE/>
        <w:autoSpaceDN/>
        <w:bidi w:val="0"/>
        <w:adjustRightInd/>
        <w:snapToGrid/>
        <w:spacing w:after="0" w:line="560" w:lineRule="exact"/>
        <w:ind w:left="0" w:right="0" w:firstLine="880" w:firstLineChars="20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69F5DB8B">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17664CA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1F3573B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（一）项目概况</w:t>
      </w:r>
    </w:p>
    <w:p w14:paraId="66EB8A95">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根据中共五华区委宣传部“十三五”工作总结、“十四五”工作计划的相关要求，每年需完成网络安全检查演练、网络舆情监测、网络舆论引导、网评队伍、网络文明建设及举办员队伍组织培训等具体任务。</w:t>
      </w:r>
    </w:p>
    <w:p w14:paraId="7C1B8198">
      <w:pPr>
        <w:pStyle w:val="12"/>
        <w:keepNext w:val="0"/>
        <w:keepLines w:val="0"/>
        <w:pageBreakBefore w:val="0"/>
        <w:widowControl w:val="0"/>
        <w:kinsoku/>
        <w:wordWrap/>
        <w:overflowPunct/>
        <w:topLinePunct w:val="0"/>
        <w:autoSpaceDE/>
        <w:autoSpaceDN/>
        <w:bidi w:val="0"/>
        <w:adjustRightInd/>
        <w:snapToGrid w:val="0"/>
        <w:spacing w:line="580" w:lineRule="exact"/>
        <w:ind w:firstLine="600" w:firstLineChars="200"/>
        <w:textAlignment w:val="auto"/>
        <w:rPr>
          <w:rFonts w:hint="eastAsia" w:ascii="仿宋" w:hAnsi="仿宋" w:eastAsia="仿宋" w:cs="仿宋"/>
          <w:b w:val="0"/>
          <w:bCs w:val="0"/>
          <w:kern w:val="2"/>
          <w:sz w:val="30"/>
          <w:szCs w:val="30"/>
          <w:lang w:val="en-US" w:eastAsia="zh-CN" w:bidi="ar-SA"/>
        </w:rPr>
      </w:pPr>
      <w:r>
        <w:rPr>
          <w:rFonts w:hint="eastAsia" w:ascii="仿宋" w:hAnsi="仿宋" w:eastAsia="仿宋" w:cs="仿宋"/>
          <w:b w:val="0"/>
          <w:bCs w:val="0"/>
          <w:kern w:val="2"/>
          <w:sz w:val="30"/>
          <w:szCs w:val="30"/>
          <w:lang w:val="en-US" w:eastAsia="zh-CN" w:bidi="ar-SA"/>
        </w:rPr>
        <w:t>中国共产党昆明市五华区委员会宣传部网络安全及网络生态治理经费来源于财政资金，全年预算数为64万元，全年执行数为40.36万元，执行率为63.06%。资金使用具有安全性、规范性及有效性，支付标准、支付进度、支付依据合规合法、与预算相符。网络安全及网络生态治理经费到位数为64万元、及时性高、到位率为100%。</w:t>
      </w:r>
    </w:p>
    <w:p w14:paraId="6CC0A2AF">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项目绩效目标。</w:t>
      </w:r>
    </w:p>
    <w:p w14:paraId="60C19FB0">
      <w:pPr>
        <w:pStyle w:val="12"/>
        <w:rPr>
          <w:rFonts w:hint="eastAsia"/>
        </w:rPr>
      </w:pPr>
    </w:p>
    <w:p w14:paraId="4F49DC25">
      <w:pPr>
        <w:pStyle w:val="12"/>
        <w:numPr>
          <w:ilvl w:val="0"/>
          <w:numId w:val="0"/>
        </w:numPr>
        <w:ind w:firstLine="600" w:firstLineChars="200"/>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1.总体目标</w:t>
      </w:r>
    </w:p>
    <w:p w14:paraId="24A6BBB2">
      <w:pPr>
        <w:spacing w:line="580" w:lineRule="exact"/>
        <w:ind w:firstLine="600" w:firstLineChars="200"/>
        <w:jc w:val="left"/>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不断建设积极向上向善的网络文化</w:t>
      </w:r>
    </w:p>
    <w:p w14:paraId="14822718">
      <w:pPr>
        <w:spacing w:line="580" w:lineRule="exact"/>
        <w:ind w:firstLine="640"/>
        <w:jc w:val="left"/>
        <w:rPr>
          <w:rFonts w:hint="eastAsia" w:ascii="仿宋" w:hAnsi="仿宋" w:eastAsia="仿宋" w:cs="仿宋"/>
          <w:sz w:val="30"/>
          <w:szCs w:val="30"/>
        </w:rPr>
      </w:pPr>
      <w:r>
        <w:rPr>
          <w:rFonts w:hint="eastAsia" w:ascii="仿宋" w:hAnsi="仿宋" w:eastAsia="仿宋" w:cs="仿宋"/>
          <w:sz w:val="30"/>
          <w:szCs w:val="30"/>
        </w:rPr>
        <w:t>切实做好习近平新时代中国特色社会主义</w:t>
      </w:r>
      <w:r>
        <w:rPr>
          <w:rFonts w:hint="eastAsia" w:ascii="仿宋" w:hAnsi="仿宋" w:eastAsia="仿宋" w:cs="仿宋"/>
          <w:sz w:val="30"/>
          <w:szCs w:val="30"/>
          <w:lang w:val="en-US" w:eastAsia="zh-CN"/>
        </w:rPr>
        <w:t>思想</w:t>
      </w:r>
      <w:r>
        <w:rPr>
          <w:rFonts w:hint="eastAsia" w:ascii="仿宋" w:hAnsi="仿宋" w:eastAsia="仿宋" w:cs="仿宋"/>
          <w:sz w:val="30"/>
          <w:szCs w:val="30"/>
        </w:rPr>
        <w:t>、十九届六中全会思想网上宣传，</w:t>
      </w:r>
      <w:r>
        <w:rPr>
          <w:rFonts w:hint="eastAsia" w:ascii="仿宋" w:hAnsi="仿宋" w:eastAsia="仿宋" w:cs="仿宋"/>
          <w:color w:val="000000"/>
          <w:sz w:val="30"/>
          <w:szCs w:val="30"/>
        </w:rPr>
        <w:t>把学习宣传贯彻习近平新时代中国特色社会主义思想作为首要政治任务和长期工作主题。</w:t>
      </w:r>
      <w:r>
        <w:rPr>
          <w:rFonts w:hint="eastAsia" w:ascii="仿宋" w:hAnsi="仿宋" w:eastAsia="仿宋" w:cs="仿宋"/>
          <w:bCs/>
          <w:kern w:val="0"/>
          <w:sz w:val="30"/>
          <w:szCs w:val="30"/>
        </w:rPr>
        <w:t>围绕中央和省、市、区重大决策部署和中心工作，结合</w:t>
      </w:r>
      <w:bookmarkStart w:id="0" w:name="_GoBack"/>
      <w:bookmarkEnd w:id="0"/>
      <w:r>
        <w:rPr>
          <w:rFonts w:hint="eastAsia" w:ascii="仿宋" w:hAnsi="仿宋" w:eastAsia="仿宋" w:cs="仿宋"/>
          <w:bCs/>
          <w:kern w:val="0"/>
          <w:sz w:val="30"/>
          <w:szCs w:val="30"/>
        </w:rPr>
        <w:t>涉及疫情防控、复工复产复学、民生、社会等群众、媒体关心关注的问题，持续加强网络宣传。</w:t>
      </w:r>
      <w:r>
        <w:rPr>
          <w:rFonts w:hint="eastAsia" w:ascii="仿宋" w:hAnsi="仿宋" w:eastAsia="仿宋" w:cs="仿宋"/>
          <w:bCs/>
          <w:color w:val="000000"/>
          <w:kern w:val="0"/>
          <w:sz w:val="30"/>
          <w:szCs w:val="30"/>
        </w:rPr>
        <w:t>认真履行区应对疫情防控指挥部舆情监测和宣传组工作，继续对</w:t>
      </w:r>
      <w:r>
        <w:rPr>
          <w:rFonts w:hint="eastAsia" w:ascii="仿宋" w:hAnsi="仿宋" w:eastAsia="仿宋" w:cs="仿宋"/>
          <w:sz w:val="30"/>
          <w:szCs w:val="30"/>
        </w:rPr>
        <w:t>疫情防控舆论进行引导。</w:t>
      </w:r>
    </w:p>
    <w:p w14:paraId="6BA7B22E">
      <w:pPr>
        <w:pStyle w:val="6"/>
        <w:adjustRightInd w:val="0"/>
        <w:snapToGrid w:val="0"/>
        <w:spacing w:before="0" w:line="58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推进网络舆情处置制度化</w:t>
      </w:r>
    </w:p>
    <w:p w14:paraId="78FCE881">
      <w:pPr>
        <w:spacing w:line="580" w:lineRule="exact"/>
        <w:ind w:firstLine="640"/>
        <w:jc w:val="left"/>
        <w:rPr>
          <w:rFonts w:hint="eastAsia" w:ascii="仿宋" w:hAnsi="仿宋" w:eastAsia="仿宋" w:cs="仿宋"/>
          <w:color w:val="000000"/>
          <w:kern w:val="0"/>
          <w:sz w:val="30"/>
          <w:szCs w:val="30"/>
        </w:rPr>
      </w:pPr>
      <w:r>
        <w:rPr>
          <w:rFonts w:hint="eastAsia" w:ascii="仿宋" w:hAnsi="仿宋" w:eastAsia="仿宋" w:cs="仿宋"/>
          <w:sz w:val="30"/>
          <w:szCs w:val="30"/>
        </w:rPr>
        <w:t>不断完善制度保障，</w:t>
      </w:r>
      <w:r>
        <w:rPr>
          <w:rFonts w:hint="eastAsia" w:ascii="仿宋" w:hAnsi="仿宋" w:eastAsia="仿宋" w:cs="仿宋"/>
          <w:color w:val="000000"/>
          <w:sz w:val="30"/>
          <w:szCs w:val="30"/>
        </w:rPr>
        <w:t>为实现舆情处置精准化提供有力的保障和支撑。</w:t>
      </w:r>
      <w:r>
        <w:rPr>
          <w:rFonts w:hint="eastAsia" w:ascii="仿宋" w:hAnsi="仿宋" w:eastAsia="仿宋" w:cs="仿宋"/>
          <w:sz w:val="30"/>
          <w:szCs w:val="30"/>
        </w:rPr>
        <w:t>加强网上信息监控、排查，及时掌握网上动态、获取情报信息，做好舆情监测。创新舆论引导体系，</w:t>
      </w:r>
      <w:r>
        <w:rPr>
          <w:rFonts w:hint="eastAsia" w:ascii="仿宋" w:hAnsi="仿宋" w:eastAsia="仿宋" w:cs="仿宋"/>
          <w:color w:val="000000"/>
          <w:kern w:val="0"/>
          <w:sz w:val="30"/>
          <w:szCs w:val="30"/>
        </w:rPr>
        <w:t>推进网信工作创新。</w:t>
      </w:r>
    </w:p>
    <w:p w14:paraId="759B6070">
      <w:pPr>
        <w:pStyle w:val="6"/>
        <w:spacing w:line="580" w:lineRule="exact"/>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3</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加强网络阵地建设</w:t>
      </w:r>
    </w:p>
    <w:p w14:paraId="28E60D55">
      <w:pPr>
        <w:spacing w:line="580" w:lineRule="exact"/>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坚持党管宣传、党管意识形态、党管媒体这一基本原则不动摇，</w:t>
      </w:r>
      <w:r>
        <w:rPr>
          <w:rFonts w:hint="eastAsia" w:ascii="仿宋" w:hAnsi="仿宋" w:eastAsia="仿宋" w:cs="仿宋"/>
          <w:kern w:val="0"/>
          <w:sz w:val="30"/>
          <w:szCs w:val="30"/>
        </w:rPr>
        <w:t>强化网络阵地建设。</w:t>
      </w:r>
      <w:r>
        <w:rPr>
          <w:rFonts w:hint="eastAsia" w:ascii="仿宋" w:hAnsi="仿宋" w:eastAsia="仿宋" w:cs="仿宋"/>
          <w:color w:val="000000"/>
          <w:kern w:val="0"/>
          <w:sz w:val="30"/>
          <w:szCs w:val="30"/>
        </w:rPr>
        <w:t>规范网评员队伍建设，管好用好网评力量。落实网络意识形态工作要求</w:t>
      </w:r>
      <w:r>
        <w:rPr>
          <w:rFonts w:hint="eastAsia" w:ascii="仿宋" w:hAnsi="仿宋" w:eastAsia="仿宋" w:cs="仿宋"/>
          <w:sz w:val="30"/>
          <w:szCs w:val="30"/>
          <w:lang w:val="zh-CN"/>
        </w:rPr>
        <w:t>，</w:t>
      </w:r>
      <w:r>
        <w:rPr>
          <w:rFonts w:hint="eastAsia" w:ascii="仿宋" w:hAnsi="仿宋" w:eastAsia="仿宋" w:cs="仿宋"/>
          <w:color w:val="000000"/>
          <w:kern w:val="0"/>
          <w:sz w:val="30"/>
          <w:szCs w:val="30"/>
        </w:rPr>
        <w:t>按质按量做好我区舆情信息、经验材料报送工作。</w:t>
      </w:r>
    </w:p>
    <w:p w14:paraId="2688EB24">
      <w:pPr>
        <w:pStyle w:val="6"/>
        <w:spacing w:line="580" w:lineRule="exact"/>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4</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积极履行管网治网职责</w:t>
      </w:r>
    </w:p>
    <w:p w14:paraId="321CE0C3">
      <w:pPr>
        <w:spacing w:line="580" w:lineRule="exact"/>
        <w:rPr>
          <w:rFonts w:hint="eastAsia" w:ascii="仿宋" w:hAnsi="仿宋" w:eastAsia="仿宋" w:cs="仿宋"/>
          <w:sz w:val="30"/>
          <w:szCs w:val="30"/>
        </w:rPr>
      </w:pPr>
      <w:r>
        <w:rPr>
          <w:rFonts w:hint="eastAsia" w:ascii="仿宋" w:hAnsi="仿宋" w:eastAsia="仿宋" w:cs="仿宋"/>
          <w:sz w:val="30"/>
          <w:szCs w:val="30"/>
        </w:rPr>
        <w:t xml:space="preserve">      开展网络安全监管，加强网络安全秩序整治，保障无线政务信息交换平台安全，</w:t>
      </w:r>
      <w:r>
        <w:rPr>
          <w:rFonts w:hint="eastAsia" w:ascii="仿宋" w:hAnsi="仿宋" w:eastAsia="仿宋" w:cs="仿宋"/>
          <w:color w:val="000000"/>
          <w:kern w:val="0"/>
          <w:sz w:val="30"/>
          <w:szCs w:val="30"/>
        </w:rPr>
        <w:t>做好网络日常保障维护工作，</w:t>
      </w:r>
      <w:r>
        <w:rPr>
          <w:rFonts w:hint="eastAsia" w:ascii="仿宋" w:hAnsi="仿宋" w:eastAsia="仿宋" w:cs="仿宋"/>
          <w:sz w:val="30"/>
          <w:szCs w:val="30"/>
        </w:rPr>
        <w:t>推进信息化建设。</w:t>
      </w:r>
    </w:p>
    <w:p w14:paraId="56DD48B0">
      <w:pPr>
        <w:adjustRightInd w:val="0"/>
        <w:snapToGrid w:val="0"/>
        <w:spacing w:line="58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w:t>
      </w:r>
      <w:r>
        <w:rPr>
          <w:rFonts w:hint="eastAsia" w:ascii="仿宋" w:hAnsi="仿宋" w:eastAsia="仿宋" w:cs="仿宋"/>
          <w:sz w:val="30"/>
          <w:szCs w:val="30"/>
        </w:rPr>
        <w:t>做好互联网行业党建工作</w:t>
      </w:r>
    </w:p>
    <w:p w14:paraId="2AE9D298">
      <w:pPr>
        <w:pStyle w:val="12"/>
        <w:rPr>
          <w:rFonts w:hint="eastAsia" w:ascii="仿宋" w:hAnsi="仿宋" w:eastAsia="仿宋" w:cs="仿宋"/>
          <w:sz w:val="30"/>
          <w:szCs w:val="30"/>
        </w:rPr>
      </w:pPr>
      <w:r>
        <w:rPr>
          <w:rFonts w:hint="eastAsia" w:ascii="仿宋" w:hAnsi="仿宋" w:eastAsia="仿宋" w:cs="仿宋"/>
          <w:sz w:val="30"/>
          <w:szCs w:val="30"/>
        </w:rPr>
        <w:t>加强互联网行业党组织建设，发挥互联网行业党委带头示范作用。</w:t>
      </w:r>
    </w:p>
    <w:p w14:paraId="5911018E">
      <w:pPr>
        <w:rPr>
          <w:rFonts w:hint="eastAsia"/>
        </w:rPr>
      </w:pPr>
    </w:p>
    <w:p w14:paraId="4191B12B">
      <w:pPr>
        <w:pStyle w:val="12"/>
        <w:numPr>
          <w:ilvl w:val="0"/>
          <w:numId w:val="0"/>
        </w:numPr>
        <w:ind w:firstLine="600" w:firstLineChars="200"/>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2.具体目标</w:t>
      </w:r>
    </w:p>
    <w:p w14:paraId="36EF2934">
      <w:pPr>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1</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 xml:space="preserve">网络舆论监测工作至少1次；                                      </w:t>
      </w:r>
    </w:p>
    <w:p w14:paraId="24A56446">
      <w:pPr>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2</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 xml:space="preserve">网络综合治理工作至少1次；                                   </w:t>
      </w:r>
    </w:p>
    <w:p w14:paraId="414B4845">
      <w:pPr>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3</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 xml:space="preserve">党政群新媒体监测至少1次；                                   </w:t>
      </w:r>
    </w:p>
    <w:p w14:paraId="30109A0B">
      <w:pPr>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4</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 xml:space="preserve">网络安全检查及演练至少1次 ；                                       </w:t>
      </w:r>
    </w:p>
    <w:p w14:paraId="1C53029F">
      <w:pPr>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5</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 xml:space="preserve">网络文明建设及网络文化活动 至少1次；                                                                    </w:t>
      </w:r>
    </w:p>
    <w:p w14:paraId="53DCEFC7">
      <w:pPr>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6</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网评员、举报员队伍建设及培训活动至少1次；</w:t>
      </w:r>
    </w:p>
    <w:p w14:paraId="68D8C520">
      <w:pPr>
        <w:ind w:firstLine="600" w:firstLineChars="200"/>
        <w:rPr>
          <w:rFonts w:hint="eastAsia" w:ascii="仿宋" w:hAnsi="仿宋" w:eastAsia="仿宋" w:cs="仿宋"/>
          <w:sz w:val="30"/>
          <w:szCs w:val="30"/>
          <w:lang w:val="en-US" w:eastAsia="zh-CN"/>
        </w:rPr>
      </w:pP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7</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网络安全宣传周活动至少1次，网络安全宣传次数至少20次；制作（编印）宣传材料数量至少20册。</w:t>
      </w:r>
    </w:p>
    <w:p w14:paraId="10A2C06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14:paraId="4955F4C5">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1.制度建设</w:t>
      </w:r>
    </w:p>
    <w:p w14:paraId="3766ABA8">
      <w:pPr>
        <w:pStyle w:val="16"/>
        <w:ind w:firstLine="600" w:firstLineChars="200"/>
        <w:jc w:val="both"/>
        <w:rPr>
          <w:rFonts w:hint="eastAsia" w:ascii="仿宋" w:hAnsi="仿宋" w:eastAsia="仿宋" w:cs="仿宋"/>
          <w:sz w:val="30"/>
          <w:szCs w:val="30"/>
          <w:lang w:val="en-US" w:eastAsia="zh-CN"/>
        </w:rPr>
      </w:pPr>
      <w:r>
        <w:rPr>
          <w:rFonts w:hint="eastAsia" w:ascii="仿宋" w:hAnsi="仿宋" w:eastAsia="仿宋" w:cs="仿宋"/>
          <w:sz w:val="30"/>
          <w:szCs w:val="30"/>
        </w:rPr>
        <w:t>根据中共五华区委宣传部“十三五”工作总结、“十四五”工作计划的相关要求</w:t>
      </w:r>
      <w:r>
        <w:rPr>
          <w:rFonts w:hint="eastAsia" w:ascii="仿宋" w:hAnsi="仿宋" w:eastAsia="仿宋" w:cs="仿宋"/>
          <w:sz w:val="30"/>
          <w:szCs w:val="30"/>
          <w:lang w:eastAsia="zh-CN"/>
        </w:rPr>
        <w:t>。</w:t>
      </w:r>
    </w:p>
    <w:p w14:paraId="4ADAFF20">
      <w:pPr>
        <w:keepNext w:val="0"/>
        <w:keepLines w:val="0"/>
        <w:pageBreakBefore w:val="0"/>
        <w:kinsoku/>
        <w:wordWrap/>
        <w:overflowPunct/>
        <w:autoSpaceDE/>
        <w:autoSpaceDN/>
        <w:bidi w:val="0"/>
        <w:spacing w:line="560" w:lineRule="exact"/>
        <w:ind w:firstLine="600" w:firstLineChars="200"/>
        <w:jc w:val="left"/>
        <w:textAlignment w:val="auto"/>
        <w:rPr>
          <w:rFonts w:hint="eastAsia" w:ascii="仿宋" w:hAnsi="仿宋" w:eastAsia="仿宋" w:cs="仿宋"/>
          <w:b w:val="0"/>
          <w:bCs/>
          <w:sz w:val="30"/>
          <w:szCs w:val="30"/>
        </w:rPr>
      </w:pPr>
      <w:r>
        <w:rPr>
          <w:rFonts w:hint="eastAsia" w:ascii="仿宋" w:hAnsi="仿宋" w:eastAsia="仿宋" w:cs="仿宋"/>
          <w:b w:val="0"/>
          <w:bCs/>
          <w:sz w:val="30"/>
          <w:szCs w:val="30"/>
          <w:lang w:val="en-US" w:eastAsia="zh-CN"/>
        </w:rPr>
        <w:t>2.</w:t>
      </w:r>
      <w:r>
        <w:rPr>
          <w:rFonts w:hint="eastAsia" w:ascii="仿宋" w:hAnsi="仿宋" w:eastAsia="仿宋" w:cs="仿宋"/>
          <w:b w:val="0"/>
          <w:bCs/>
          <w:sz w:val="30"/>
          <w:szCs w:val="30"/>
        </w:rPr>
        <w:t>组织管理</w:t>
      </w:r>
    </w:p>
    <w:p w14:paraId="08CF75CC">
      <w:pPr>
        <w:keepNext w:val="0"/>
        <w:keepLines w:val="0"/>
        <w:pageBreakBefore w:val="0"/>
        <w:kinsoku/>
        <w:wordWrap/>
        <w:overflowPunct/>
        <w:autoSpaceDE/>
        <w:autoSpaceDN/>
        <w:bidi w:val="0"/>
        <w:spacing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将预算收支全面纳入绩效管理。所有收入要纳入财务统一管理，全面统筹使用。围绕职能职责、行业发展规划和工作任务，严格按照预算支出标准和绩效管理等相关规定编制部门预算，根据绩效高低、轻重缓急，推进</w:t>
      </w:r>
      <w:r>
        <w:rPr>
          <w:rFonts w:hint="eastAsia" w:ascii="仿宋" w:hAnsi="仿宋" w:eastAsia="仿宋" w:cs="仿宋"/>
          <w:sz w:val="30"/>
          <w:szCs w:val="30"/>
          <w:lang w:val="en-US" w:eastAsia="zh-CN"/>
        </w:rPr>
        <w:t>单位内部</w:t>
      </w:r>
      <w:r>
        <w:rPr>
          <w:rFonts w:hint="eastAsia" w:ascii="仿宋" w:hAnsi="仿宋" w:eastAsia="仿宋" w:cs="仿宋"/>
          <w:sz w:val="30"/>
          <w:szCs w:val="30"/>
        </w:rPr>
        <w:t>资金统筹使用。以预算资金管理为主线，统筹考虑资产和业务活动，从运行成本、管理效率、履职效能、社会效应、可持续发展能力和服务对象满意度等方面，衡量该项目实施效果，推动提高宣传部</w:t>
      </w:r>
      <w:r>
        <w:rPr>
          <w:rFonts w:hint="eastAsia" w:ascii="仿宋" w:hAnsi="仿宋" w:eastAsia="仿宋" w:cs="仿宋"/>
          <w:sz w:val="30"/>
          <w:szCs w:val="30"/>
          <w:lang w:eastAsia="zh-CN"/>
        </w:rPr>
        <w:t>网络安全及网络生态治理经费</w:t>
      </w:r>
      <w:r>
        <w:rPr>
          <w:rFonts w:hint="eastAsia" w:ascii="仿宋" w:hAnsi="仿宋" w:eastAsia="仿宋" w:cs="仿宋"/>
          <w:sz w:val="30"/>
          <w:szCs w:val="30"/>
        </w:rPr>
        <w:t>项目绩效水平。</w:t>
      </w:r>
    </w:p>
    <w:p w14:paraId="1C2AF4BE">
      <w:pPr>
        <w:keepNext w:val="0"/>
        <w:keepLines w:val="0"/>
        <w:pageBreakBefore w:val="0"/>
        <w:kinsoku/>
        <w:wordWrap/>
        <w:overflowPunct/>
        <w:autoSpaceDE/>
        <w:autoSpaceDN/>
        <w:bidi w:val="0"/>
        <w:spacing w:line="560" w:lineRule="exact"/>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项目管理</w:t>
      </w:r>
    </w:p>
    <w:p w14:paraId="36200872">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_GB2312" w:hAnsi="仿宋_GB2312" w:eastAsia="仿宋_GB2312" w:cs="仿宋_GB2312"/>
          <w:color w:val="auto"/>
          <w:sz w:val="32"/>
          <w:szCs w:val="32"/>
        </w:rPr>
      </w:pPr>
      <w:r>
        <w:rPr>
          <w:rFonts w:hint="eastAsia" w:ascii="仿宋" w:hAnsi="仿宋" w:eastAsia="仿宋" w:cs="仿宋"/>
          <w:sz w:val="30"/>
          <w:szCs w:val="30"/>
        </w:rPr>
        <w:t>执行过程中，中心成立绩效评价小组，日常进行监督检查，对预算进度的执行情况进行时时跟踪，在资金使用安全上做到了全程监管。同时，在经费使用审批上严格执行“三重一大”集体决策及中心主任办公会制度，重要议题报主任办公会研究讨论。各种费用的支出需事前请示分管领导同意后方能开支，事前未经请示同意的不予报销，报账时提供的原始凭证，必须合法、真实、准确、完整，原始凭证必须是财政部门或税务机关认可的原始凭证，实行“先批后支”制度。实行报帐凭证由经办人签字、验收人或证明人签字、分管领导审核签字后报主任审批制度。严格使用公务卡和支票结算，除特殊情况不能使用公务卡的小额现金需事先报批同意外，一律使用公务卡和支票结算。</w:t>
      </w:r>
    </w:p>
    <w:p w14:paraId="1EA1729C">
      <w:pPr>
        <w:pStyle w:val="12"/>
        <w:rPr>
          <w:rFonts w:hint="eastAsia"/>
        </w:rPr>
      </w:pPr>
    </w:p>
    <w:p w14:paraId="2ACE08F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4C1C939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14:paraId="50EC3EAF">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通过本次绩效评价，总结</w:t>
      </w:r>
      <w:r>
        <w:rPr>
          <w:rFonts w:hint="eastAsia" w:ascii="仿宋" w:hAnsi="仿宋" w:eastAsia="仿宋" w:cs="仿宋"/>
          <w:color w:val="auto"/>
          <w:sz w:val="30"/>
          <w:szCs w:val="30"/>
          <w:lang w:val="en-US" w:eastAsia="zh-CN"/>
        </w:rPr>
        <w:t>网络安全及网络生态治理经费</w:t>
      </w:r>
      <w:r>
        <w:rPr>
          <w:rFonts w:hint="eastAsia" w:ascii="仿宋" w:hAnsi="仿宋" w:eastAsia="仿宋" w:cs="仿宋"/>
          <w:color w:val="auto"/>
          <w:sz w:val="30"/>
          <w:szCs w:val="30"/>
        </w:rPr>
        <w:t>项目支出在决策、执行等方面的经验，查找其存在的不足，提出相关科学合理的政策建议，从而加强和规范</w:t>
      </w:r>
      <w:r>
        <w:rPr>
          <w:rFonts w:hint="eastAsia" w:ascii="仿宋" w:hAnsi="仿宋" w:eastAsia="仿宋" w:cs="仿宋"/>
          <w:color w:val="auto"/>
          <w:sz w:val="30"/>
          <w:szCs w:val="30"/>
          <w:lang w:eastAsia="zh-CN"/>
        </w:rPr>
        <w:t>中国共产党昆明市五华区委员会宣传部</w:t>
      </w:r>
      <w:r>
        <w:rPr>
          <w:rFonts w:hint="eastAsia" w:ascii="仿宋" w:hAnsi="仿宋" w:eastAsia="仿宋" w:cs="仿宋"/>
          <w:color w:val="auto"/>
          <w:sz w:val="30"/>
          <w:szCs w:val="30"/>
        </w:rPr>
        <w:t>预算管理工作，合理配置公共资源，促进财政资金在</w:t>
      </w:r>
      <w:r>
        <w:rPr>
          <w:rFonts w:hint="eastAsia" w:ascii="仿宋" w:hAnsi="仿宋" w:eastAsia="仿宋" w:cs="仿宋"/>
          <w:color w:val="auto"/>
          <w:sz w:val="30"/>
          <w:szCs w:val="30"/>
          <w:lang w:val="en-US" w:eastAsia="zh-CN"/>
        </w:rPr>
        <w:t>网络安全及网络生态治理经费</w:t>
      </w:r>
      <w:r>
        <w:rPr>
          <w:rFonts w:hint="eastAsia" w:ascii="仿宋" w:hAnsi="仿宋" w:eastAsia="仿宋" w:cs="仿宋"/>
          <w:color w:val="auto"/>
          <w:sz w:val="30"/>
          <w:szCs w:val="30"/>
        </w:rPr>
        <w:t>支出项目中的使用效益。</w:t>
      </w:r>
    </w:p>
    <w:p w14:paraId="140867DB">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rPr>
      </w:pPr>
      <w:r>
        <w:rPr>
          <w:rFonts w:hint="eastAsia" w:ascii="仿宋" w:hAnsi="仿宋" w:eastAsia="仿宋" w:cs="仿宋"/>
          <w:color w:val="auto"/>
          <w:sz w:val="30"/>
          <w:szCs w:val="30"/>
        </w:rPr>
        <w:t>本次绩效评价对象为</w:t>
      </w:r>
      <w:r>
        <w:rPr>
          <w:rFonts w:hint="eastAsia" w:ascii="仿宋" w:hAnsi="仿宋" w:eastAsia="仿宋" w:cs="仿宋"/>
          <w:color w:val="auto"/>
          <w:sz w:val="30"/>
          <w:szCs w:val="30"/>
          <w:lang w:val="en-US" w:eastAsia="zh-CN"/>
        </w:rPr>
        <w:t>网络安全及网络生态治理经费</w:t>
      </w:r>
      <w:r>
        <w:rPr>
          <w:rFonts w:hint="eastAsia" w:ascii="仿宋" w:hAnsi="仿宋" w:eastAsia="仿宋" w:cs="仿宋"/>
          <w:color w:val="auto"/>
          <w:sz w:val="30"/>
          <w:szCs w:val="30"/>
        </w:rPr>
        <w:t>项目支出，评价范围为202</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年</w:t>
      </w:r>
      <w:r>
        <w:rPr>
          <w:rFonts w:hint="eastAsia" w:ascii="仿宋" w:hAnsi="仿宋" w:eastAsia="仿宋" w:cs="仿宋"/>
          <w:color w:val="auto"/>
          <w:sz w:val="30"/>
          <w:szCs w:val="30"/>
          <w:lang w:val="en-US" w:eastAsia="zh-CN"/>
        </w:rPr>
        <w:t>项目资金使用的决策，过程，产出，效益。</w:t>
      </w:r>
    </w:p>
    <w:p w14:paraId="387BA0CC">
      <w:pPr>
        <w:keepNext w:val="0"/>
        <w:keepLines w:val="0"/>
        <w:pageBreakBefore w:val="0"/>
        <w:numPr>
          <w:ilvl w:val="0"/>
          <w:numId w:val="1"/>
        </w:numPr>
        <w:kinsoku/>
        <w:wordWrap/>
        <w:overflowPunct/>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绩效评价原则、依据、评价指标体系、评价方法、评价标准、评价抽样等。</w:t>
      </w:r>
    </w:p>
    <w:p w14:paraId="1580746E">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1.绩效评价的原则及标准：</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 1 \* GB3 \* MERGEFORMAT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rPr>
        <w:t>①</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科学公正。绩效评价应当运用科学合理的方法，按照规范的程序，对项目绩效进行客观、公正的反映；</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 2 \* GB3 \* MERGEFORMAT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rPr>
        <w:t>②</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统筹兼顾。单位自评、部门评价和财政评价应职责明确，各有侧重，相互衔接。单位自评应由项目单位自主实施，即“谁支出、谁自评”。部门评价和财政评价应在单位自评的基础上开展，必要时可委托第三方机构实施；</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 3 \* GB3 \* MERGEFORMAT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rPr>
        <w:t>③</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激励约束。绩效评价结果应与预算安排、政策调整、改进管理实质性挂钩，体现奖优罚劣和激励相容导向，有效要安排、低效要压减、无效要问责；</w:t>
      </w:r>
      <w:r>
        <w:rPr>
          <w:rFonts w:hint="eastAsia" w:ascii="仿宋" w:hAnsi="仿宋" w:eastAsia="仿宋" w:cs="仿宋"/>
          <w:color w:val="auto"/>
          <w:sz w:val="30"/>
          <w:szCs w:val="30"/>
          <w:lang w:val="en-US" w:eastAsia="zh-CN"/>
        </w:rPr>
        <w:fldChar w:fldCharType="begin"/>
      </w:r>
      <w:r>
        <w:rPr>
          <w:rFonts w:hint="eastAsia" w:ascii="仿宋" w:hAnsi="仿宋" w:eastAsia="仿宋" w:cs="仿宋"/>
          <w:color w:val="auto"/>
          <w:sz w:val="30"/>
          <w:szCs w:val="30"/>
          <w:lang w:val="en-US" w:eastAsia="zh-CN"/>
        </w:rPr>
        <w:instrText xml:space="preserve"> = 4 \* GB3 \* MERGEFORMAT </w:instrText>
      </w:r>
      <w:r>
        <w:rPr>
          <w:rFonts w:hint="eastAsia" w:ascii="仿宋" w:hAnsi="仿宋" w:eastAsia="仿宋" w:cs="仿宋"/>
          <w:color w:val="auto"/>
          <w:sz w:val="30"/>
          <w:szCs w:val="30"/>
          <w:lang w:val="en-US" w:eastAsia="zh-CN"/>
        </w:rPr>
        <w:fldChar w:fldCharType="separate"/>
      </w:r>
      <w:r>
        <w:rPr>
          <w:rFonts w:hint="eastAsia" w:ascii="仿宋" w:hAnsi="仿宋" w:eastAsia="仿宋" w:cs="仿宋"/>
          <w:color w:val="auto"/>
          <w:sz w:val="30"/>
          <w:szCs w:val="30"/>
        </w:rPr>
        <w:t>④</w:t>
      </w:r>
      <w:r>
        <w:rPr>
          <w:rFonts w:hint="eastAsia" w:ascii="仿宋" w:hAnsi="仿宋" w:eastAsia="仿宋" w:cs="仿宋"/>
          <w:color w:val="auto"/>
          <w:sz w:val="30"/>
          <w:szCs w:val="30"/>
          <w:lang w:val="en-US" w:eastAsia="zh-CN"/>
        </w:rPr>
        <w:fldChar w:fldCharType="end"/>
      </w:r>
      <w:r>
        <w:rPr>
          <w:rFonts w:hint="eastAsia" w:ascii="仿宋" w:hAnsi="仿宋" w:eastAsia="仿宋" w:cs="仿宋"/>
          <w:color w:val="auto"/>
          <w:sz w:val="30"/>
          <w:szCs w:val="30"/>
          <w:lang w:val="en-US" w:eastAsia="zh-CN"/>
        </w:rPr>
        <w:t>公开透明。绩效评价结果应依法依规公开，并自觉接受社会监督。</w:t>
      </w:r>
    </w:p>
    <w:p w14:paraId="16972035">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2.绩效</w:t>
      </w:r>
      <w:r>
        <w:rPr>
          <w:rFonts w:hint="eastAsia" w:ascii="仿宋" w:hAnsi="仿宋" w:eastAsia="仿宋" w:cs="仿宋"/>
          <w:color w:val="auto"/>
          <w:sz w:val="30"/>
          <w:szCs w:val="30"/>
        </w:rPr>
        <w:t>评价</w:t>
      </w:r>
      <w:r>
        <w:rPr>
          <w:rFonts w:hint="eastAsia" w:ascii="仿宋" w:hAnsi="仿宋" w:eastAsia="仿宋" w:cs="仿宋"/>
          <w:color w:val="auto"/>
          <w:sz w:val="30"/>
          <w:szCs w:val="30"/>
          <w:lang w:val="en-US" w:eastAsia="zh-CN"/>
        </w:rPr>
        <w:t>依据</w:t>
      </w:r>
      <w:r>
        <w:rPr>
          <w:rFonts w:hint="eastAsia" w:ascii="仿宋" w:hAnsi="仿宋" w:eastAsia="仿宋" w:cs="仿宋"/>
          <w:color w:val="auto"/>
          <w:sz w:val="30"/>
          <w:szCs w:val="30"/>
          <w:lang w:eastAsia="zh-CN"/>
        </w:rPr>
        <w:t>：中国共产党昆明市五华区委员会宣传部</w:t>
      </w:r>
      <w:r>
        <w:rPr>
          <w:rFonts w:hint="eastAsia" w:ascii="仿宋" w:hAnsi="仿宋" w:eastAsia="仿宋" w:cs="仿宋"/>
          <w:color w:val="auto"/>
          <w:sz w:val="30"/>
          <w:szCs w:val="30"/>
        </w:rPr>
        <w:t>202</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年的工作计划以及202</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年预算管理和绩效跟踪。</w:t>
      </w:r>
    </w:p>
    <w:p w14:paraId="47BF7927">
      <w:pPr>
        <w:keepNext w:val="0"/>
        <w:keepLines w:val="0"/>
        <w:pageBreakBefore w:val="0"/>
        <w:widowControl/>
        <w:numPr>
          <w:ilvl w:val="0"/>
          <w:numId w:val="0"/>
        </w:numPr>
        <w:kinsoku/>
        <w:wordWrap/>
        <w:overflowPunct/>
        <w:topLinePunct w:val="0"/>
        <w:autoSpaceDE/>
        <w:autoSpaceDN/>
        <w:bidi w:val="0"/>
        <w:adjustRightInd/>
        <w:snapToGrid/>
        <w:spacing w:line="560" w:lineRule="exact"/>
        <w:ind w:right="0" w:rightChars="0" w:firstLine="600" w:firstLineChars="200"/>
        <w:textAlignment w:val="auto"/>
        <w:rPr>
          <w:rFonts w:hint="eastAsia" w:ascii="仿宋_GB2312" w:hAnsi="仿宋_GB2312" w:eastAsia="仿宋_GB2312" w:cs="仿宋_GB2312"/>
          <w:color w:val="auto"/>
          <w:sz w:val="32"/>
          <w:szCs w:val="32"/>
        </w:rPr>
      </w:pPr>
      <w:r>
        <w:rPr>
          <w:rFonts w:hint="eastAsia" w:ascii="仿宋" w:hAnsi="仿宋" w:eastAsia="仿宋" w:cs="仿宋"/>
          <w:color w:val="auto"/>
          <w:sz w:val="30"/>
          <w:szCs w:val="30"/>
          <w:lang w:val="en-US" w:eastAsia="zh-CN"/>
        </w:rPr>
        <w:t>3.绩效</w:t>
      </w:r>
      <w:r>
        <w:rPr>
          <w:rFonts w:hint="eastAsia" w:ascii="仿宋" w:hAnsi="仿宋" w:eastAsia="仿宋" w:cs="仿宋"/>
          <w:color w:val="auto"/>
          <w:sz w:val="30"/>
          <w:szCs w:val="30"/>
        </w:rPr>
        <w:t>评价</w:t>
      </w:r>
      <w:r>
        <w:rPr>
          <w:rFonts w:hint="eastAsia" w:ascii="仿宋" w:hAnsi="仿宋" w:eastAsia="仿宋" w:cs="仿宋"/>
          <w:color w:val="auto"/>
          <w:sz w:val="30"/>
          <w:szCs w:val="30"/>
          <w:lang w:val="en-US" w:eastAsia="zh-CN"/>
        </w:rPr>
        <w:t>指标体系、方法、抽样</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中国共产党昆明市五华区委员会宣传部</w:t>
      </w:r>
      <w:r>
        <w:rPr>
          <w:rFonts w:hint="eastAsia" w:ascii="仿宋" w:hAnsi="仿宋" w:eastAsia="仿宋" w:cs="仿宋"/>
          <w:color w:val="auto"/>
          <w:sz w:val="30"/>
          <w:szCs w:val="30"/>
        </w:rPr>
        <w:t>确认当年度</w:t>
      </w:r>
      <w:r>
        <w:rPr>
          <w:rFonts w:hint="eastAsia" w:ascii="仿宋" w:hAnsi="仿宋" w:eastAsia="仿宋" w:cs="仿宋"/>
          <w:color w:val="auto"/>
          <w:sz w:val="30"/>
          <w:szCs w:val="30"/>
          <w:lang w:val="en-US" w:eastAsia="zh-CN"/>
        </w:rPr>
        <w:t>项目</w:t>
      </w:r>
      <w:r>
        <w:rPr>
          <w:rFonts w:hint="eastAsia" w:ascii="仿宋" w:hAnsi="仿宋" w:eastAsia="仿宋" w:cs="仿宋"/>
          <w:color w:val="auto"/>
          <w:sz w:val="30"/>
          <w:szCs w:val="30"/>
        </w:rPr>
        <w:t>支出的绩效目标→梳理单位内部管理制度及存量资源→分析确定当年度</w:t>
      </w:r>
      <w:r>
        <w:rPr>
          <w:rFonts w:hint="eastAsia" w:ascii="仿宋" w:hAnsi="仿宋" w:eastAsia="仿宋" w:cs="仿宋"/>
          <w:color w:val="auto"/>
          <w:sz w:val="30"/>
          <w:szCs w:val="30"/>
          <w:lang w:val="en-US" w:eastAsia="zh-CN"/>
        </w:rPr>
        <w:t>项目</w:t>
      </w:r>
      <w:r>
        <w:rPr>
          <w:rFonts w:hint="eastAsia" w:ascii="仿宋" w:hAnsi="仿宋" w:eastAsia="仿宋" w:cs="仿宋"/>
          <w:color w:val="auto"/>
          <w:sz w:val="30"/>
          <w:szCs w:val="30"/>
        </w:rPr>
        <w:t>支出的评价重点→构建绩效评价指标体系。</w:t>
      </w:r>
    </w:p>
    <w:p w14:paraId="04F8185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14:paraId="549178B5">
      <w:pPr>
        <w:keepNext w:val="0"/>
        <w:keepLines w:val="0"/>
        <w:pageBreakBefore w:val="0"/>
        <w:numPr>
          <w:ilvl w:val="0"/>
          <w:numId w:val="0"/>
        </w:numPr>
        <w:shd w:val="clear"/>
        <w:kinsoku/>
        <w:wordWrap/>
        <w:overflowPunct/>
        <w:autoSpaceDE/>
        <w:autoSpaceDN/>
        <w:bidi w:val="0"/>
        <w:spacing w:line="560" w:lineRule="exact"/>
        <w:ind w:firstLine="600" w:firstLineChars="200"/>
        <w:textAlignment w:val="auto"/>
        <w:rPr>
          <w:rFonts w:hint="eastAsia"/>
        </w:rPr>
      </w:pPr>
      <w:r>
        <w:rPr>
          <w:rFonts w:hint="eastAsia" w:ascii="仿宋" w:hAnsi="仿宋" w:eastAsia="仿宋" w:cs="仿宋"/>
          <w:color w:val="auto"/>
          <w:sz w:val="30"/>
          <w:szCs w:val="30"/>
          <w:lang w:val="en-US" w:eastAsia="zh-CN"/>
        </w:rPr>
        <w:t>1、确定绩效评价对象；2、下达绩效评价通知，在实施具体评价工作前，应下达评价通知，内容包括评价任务、目的、依据、评价时间和有关要求等；3、确定绩效评价工作人员，由主管部门或负责单位绩效评价小组，负责绩效评价工作的组织领导；4、制订绩效评价工作方案，工作方案的基本内容包括：评价对象与负责人、评价目的、评价的依据、评价指标、评价标准、评价工作的时间安排、拟采用的评价方法、拟选用的评价标准、需要被评价对象及单位准备的评价资料及相关工作要求。5、收集绩效评价相关资料，评价小组根据需要，采取现场勘查、问卷调查与询问等多种方式收集基础资料。基础资料包括绩效评价对象的基本概况、财务信息、统计报表、财政资金使用情况、绩效自我评价报告等；6、对资料进行审查核实；7、综合分析并形成评价结论，评价资料整理出后，评价小组按照评价方案的要求进行评价工作，并作出评价的初步结论；8、撰写与提交评价报告。</w:t>
      </w:r>
    </w:p>
    <w:p w14:paraId="07A409A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w:t>
      </w:r>
    </w:p>
    <w:p w14:paraId="1594F96D">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（一）绩效评价综合结论。</w:t>
      </w:r>
    </w:p>
    <w:p w14:paraId="44D7E9A9">
      <w:pPr>
        <w:keepNext w:val="0"/>
        <w:keepLines w:val="0"/>
        <w:pageBreakBefore w:val="0"/>
        <w:widowControl/>
        <w:numPr>
          <w:ilvl w:val="0"/>
          <w:numId w:val="0"/>
        </w:numPr>
        <w:shd w:val="clear"/>
        <w:kinsoku/>
        <w:wordWrap/>
        <w:overflowPunct/>
        <w:topLinePunct w:val="0"/>
        <w:autoSpaceDE/>
        <w:autoSpaceDN/>
        <w:bidi w:val="0"/>
        <w:adjustRightInd/>
        <w:snapToGrid/>
        <w:spacing w:after="0" w:line="560" w:lineRule="exact"/>
        <w:ind w:right="0" w:rightChars="0" w:firstLine="600" w:firstLineChars="200"/>
        <w:textAlignment w:val="auto"/>
        <w:rPr>
          <w:rFonts w:hint="eastAsia"/>
        </w:rPr>
      </w:pPr>
      <w:r>
        <w:rPr>
          <w:rFonts w:hint="eastAsia" w:ascii="仿宋" w:hAnsi="仿宋" w:eastAsia="仿宋" w:cs="仿宋"/>
          <w:color w:val="auto"/>
          <w:sz w:val="30"/>
          <w:szCs w:val="30"/>
          <w:lang w:val="en-US" w:eastAsia="zh-CN"/>
        </w:rPr>
        <w:t>2023年我单位网络安全及网络生态治理经费项目评价总体得分为86分，总体来看项目完成情况良好，可作为下一年度的相关开展重要依据。</w:t>
      </w:r>
    </w:p>
    <w:p w14:paraId="16252AA5">
      <w:pPr>
        <w:keepNext w:val="0"/>
        <w:keepLines w:val="0"/>
        <w:pageBreakBefore w:val="0"/>
        <w:widowControl/>
        <w:numPr>
          <w:ilvl w:val="0"/>
          <w:numId w:val="2"/>
        </w:numPr>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绩效目标实现情况等。</w:t>
      </w:r>
    </w:p>
    <w:p w14:paraId="2C838F09">
      <w:pPr>
        <w:keepNext w:val="0"/>
        <w:keepLines w:val="0"/>
        <w:pageBreakBefore w:val="0"/>
        <w:widowControl/>
        <w:numPr>
          <w:ilvl w:val="0"/>
          <w:numId w:val="0"/>
        </w:numPr>
        <w:shd w:val="clea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网络舆情监测率、网络安全宣传覆盖率、网络安全检查覆盖率、重大主题舆论引导覆盖率、网络安全检查及时率、受益对象满意度达到90%，持续维护网络环境。</w:t>
      </w:r>
    </w:p>
    <w:p w14:paraId="07C8817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76498446">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795C94C4">
      <w:pPr>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textAlignment w:val="auto"/>
        <w:rPr>
          <w:rFonts w:hint="eastAsia"/>
          <w:lang w:eastAsia="zh-CN"/>
        </w:rPr>
      </w:pPr>
      <w:r>
        <w:rPr>
          <w:rFonts w:hint="eastAsia" w:ascii="仿宋" w:hAnsi="仿宋" w:eastAsia="仿宋" w:cs="仿宋"/>
          <w:color w:val="auto"/>
          <w:sz w:val="30"/>
          <w:szCs w:val="30"/>
          <w:lang w:val="en-US" w:eastAsia="zh-CN"/>
        </w:rPr>
        <w:t>2023年我单位网络安全及网络生态治理经费项目立项完全符合法律法规、相关政策、发展规划以及部门职责，并且项目申请、设立过程符合相关要求。本项目所设定的绩效目标依据充分，符合客观实际；依据绩效目标设定的绩效指标清晰、细化、可衡量；项目预算编制经过科学论证、有明确标准，资金额度与年度目标相适应；项目预算资金分配有测算依据，与地方实际相适应。</w:t>
      </w:r>
    </w:p>
    <w:p w14:paraId="2B39F9B9">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项目过程情况分析。</w:t>
      </w:r>
    </w:p>
    <w:p w14:paraId="68254755">
      <w:pPr>
        <w:keepNext w:val="0"/>
        <w:keepLines w:val="0"/>
        <w:pageBreakBefore w:val="0"/>
        <w:numPr>
          <w:ilvl w:val="0"/>
          <w:numId w:val="0"/>
        </w:numPr>
        <w:shd w:val="clear"/>
        <w:kinsoku/>
        <w:wordWrap/>
        <w:overflowPunct/>
        <w:autoSpaceDE/>
        <w:autoSpaceDN/>
        <w:bidi w:val="0"/>
        <w:spacing w:line="560" w:lineRule="exact"/>
        <w:ind w:firstLine="600" w:firstLineChars="200"/>
        <w:textAlignment w:val="auto"/>
        <w:rPr>
          <w:rFonts w:hint="eastAsia"/>
        </w:rPr>
      </w:pPr>
      <w:r>
        <w:rPr>
          <w:rFonts w:hint="eastAsia" w:ascii="仿宋" w:hAnsi="仿宋" w:eastAsia="仿宋" w:cs="仿宋"/>
          <w:sz w:val="30"/>
          <w:szCs w:val="30"/>
          <w:lang w:eastAsia="zh-CN"/>
        </w:rPr>
        <w:t>网络安全及网络生态治理经费</w:t>
      </w:r>
      <w:r>
        <w:rPr>
          <w:rFonts w:hint="eastAsia" w:ascii="仿宋" w:hAnsi="仿宋" w:eastAsia="仿宋" w:cs="仿宋"/>
          <w:color w:val="auto"/>
          <w:sz w:val="30"/>
          <w:szCs w:val="30"/>
          <w:lang w:val="en-US" w:eastAsia="zh-CN"/>
        </w:rPr>
        <w:t>实际到位资金与预算资金的比率为100%，项目预算资金按照计划执行，项目资金使用符合相关的财务管理制度规定，项目实施单位的财务和业务管理制度健全，项目实施符合相关管理规定。</w:t>
      </w:r>
    </w:p>
    <w:p w14:paraId="33DD532C">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项目产出情况分析。</w:t>
      </w:r>
    </w:p>
    <w:p w14:paraId="4620BEE9">
      <w:pPr>
        <w:keepNext w:val="0"/>
        <w:keepLines w:val="0"/>
        <w:pageBreakBefore w:val="0"/>
        <w:numPr>
          <w:ilvl w:val="0"/>
          <w:numId w:val="0"/>
        </w:numPr>
        <w:shd w:val="clear"/>
        <w:kinsoku/>
        <w:wordWrap/>
        <w:overflowPunct/>
        <w:autoSpaceDE/>
        <w:autoSpaceDN/>
        <w:bidi w:val="0"/>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开展网络文化活动场次1次，网络安全宣传次数不低于30次，持续维护网络环境等等。</w:t>
      </w:r>
    </w:p>
    <w:p w14:paraId="12262EBD">
      <w:pPr>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项目效益情况分析。</w:t>
      </w:r>
    </w:p>
    <w:p w14:paraId="433D3604">
      <w:pPr>
        <w:pStyle w:val="16"/>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both"/>
        <w:textAlignment w:val="auto"/>
        <w:rPr>
          <w:rFonts w:hint="eastAsia"/>
        </w:rPr>
      </w:pPr>
      <w:r>
        <w:rPr>
          <w:rFonts w:hint="eastAsia" w:ascii="仿宋" w:hAnsi="仿宋" w:eastAsia="仿宋" w:cs="仿宋"/>
          <w:color w:val="auto"/>
          <w:sz w:val="30"/>
          <w:szCs w:val="30"/>
          <w:lang w:val="en-US" w:eastAsia="zh-CN"/>
        </w:rPr>
        <w:t>网络舆情监测率、网络安全宣传覆盖率、网络安全检查覆盖率、重大主题舆论引导覆盖率、网络安全检查及时率、受益对象满意度达到90%，持续维护网络环境。</w:t>
      </w:r>
    </w:p>
    <w:p w14:paraId="23054AFE">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主要经验及做法</w:t>
      </w:r>
    </w:p>
    <w:p w14:paraId="389EDD75">
      <w:pPr>
        <w:keepNext w:val="0"/>
        <w:keepLines w:val="0"/>
        <w:pageBreakBefore w:val="0"/>
        <w:numPr>
          <w:ilvl w:val="0"/>
          <w:numId w:val="0"/>
        </w:numPr>
        <w:shd w:val="clear"/>
        <w:kinsoku/>
        <w:wordWrap/>
        <w:overflowPunct/>
        <w:autoSpaceDE/>
        <w:autoSpaceDN/>
        <w:bidi w:val="0"/>
        <w:spacing w:line="560" w:lineRule="exact"/>
        <w:ind w:firstLine="600" w:firstLineChars="200"/>
        <w:textAlignment w:val="auto"/>
        <w:rPr>
          <w:rFonts w:hint="eastAsia"/>
        </w:rPr>
      </w:pPr>
      <w:r>
        <w:rPr>
          <w:rFonts w:hint="eastAsia" w:ascii="仿宋" w:hAnsi="仿宋" w:eastAsia="仿宋" w:cs="仿宋"/>
          <w:sz w:val="30"/>
          <w:szCs w:val="30"/>
          <w:lang w:val="en-US" w:eastAsia="zh-CN"/>
        </w:rPr>
        <w:t>根据单位年度各科室可预见的工作任务，确定单位年度预算目标，细化预算指标,科学合理编制部门预算，推进预算编制科学化、准确化。年度预算编制后，加强预算执行管理，实际情况，定期做好预算执行分析，掌握预算执行进度，及时找出预算实际执行情况与预算目标之间存在的差异，采取有效措施纠正偏差，提高预算执行时效性和均衡性，提高预算支出执行效率，同时为下次科学、准确编制部门预算提供经验。</w:t>
      </w:r>
    </w:p>
    <w:p w14:paraId="4A86C19D">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14:paraId="193D10AB">
      <w:pPr>
        <w:pStyle w:val="16"/>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绩效管理认识不够，在填报项目支出时不够细化分解、量化。</w:t>
      </w:r>
    </w:p>
    <w:p w14:paraId="26E1AA53">
      <w:pPr>
        <w:keepNext w:val="0"/>
        <w:keepLines w:val="0"/>
        <w:pageBreakBefore w:val="0"/>
        <w:widowControl/>
        <w:numPr>
          <w:ilvl w:val="0"/>
          <w:numId w:val="3"/>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有关建议</w:t>
      </w:r>
    </w:p>
    <w:p w14:paraId="31BEAB48">
      <w:pPr>
        <w:keepNext w:val="0"/>
        <w:keepLines w:val="0"/>
        <w:pageBreakBefore w:val="0"/>
        <w:kinsoku/>
        <w:wordWrap/>
        <w:overflowPunct/>
        <w:autoSpaceDE/>
        <w:autoSpaceDN/>
        <w:bidi w:val="0"/>
        <w:adjustRightInd w:val="0"/>
        <w:snapToGrid w:val="0"/>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通过对宣传部2023年</w:t>
      </w:r>
      <w:r>
        <w:rPr>
          <w:rFonts w:hint="eastAsia" w:ascii="仿宋" w:hAnsi="仿宋" w:eastAsia="仿宋" w:cs="仿宋"/>
          <w:color w:val="auto"/>
          <w:sz w:val="30"/>
          <w:szCs w:val="30"/>
          <w:lang w:val="en-US" w:eastAsia="zh-CN"/>
        </w:rPr>
        <w:t>网络安全及网络生态治理经费</w:t>
      </w:r>
      <w:r>
        <w:rPr>
          <w:rFonts w:hint="eastAsia" w:ascii="仿宋" w:hAnsi="仿宋" w:eastAsia="仿宋" w:cs="仿宋"/>
          <w:sz w:val="30"/>
          <w:szCs w:val="30"/>
          <w:lang w:val="en-US" w:eastAsia="zh-CN"/>
        </w:rPr>
        <w:t>绩效工作的梳理总结，我部均严格按照各项规定完成，在下一步的工作中，将针对存在的问题做好整改，具体措施如下 ：</w:t>
      </w:r>
    </w:p>
    <w:p w14:paraId="763A6F51">
      <w:pPr>
        <w:keepNext w:val="0"/>
        <w:keepLines w:val="0"/>
        <w:pageBreakBefore w:val="0"/>
        <w:kinsoku/>
        <w:wordWrap/>
        <w:overflowPunct/>
        <w:autoSpaceDE/>
        <w:autoSpaceDN/>
        <w:bidi w:val="0"/>
        <w:adjustRightInd w:val="0"/>
        <w:snapToGrid w:val="0"/>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（一）进一步提高对部门</w:t>
      </w:r>
      <w:r>
        <w:rPr>
          <w:rFonts w:hint="eastAsia" w:ascii="仿宋" w:hAnsi="仿宋" w:eastAsia="仿宋" w:cs="仿宋"/>
          <w:color w:val="auto"/>
          <w:sz w:val="30"/>
          <w:szCs w:val="30"/>
          <w:lang w:val="en-US" w:eastAsia="zh-CN"/>
        </w:rPr>
        <w:t>网络安全及网络生态治理经费</w:t>
      </w:r>
      <w:r>
        <w:rPr>
          <w:rFonts w:hint="eastAsia" w:ascii="仿宋" w:hAnsi="仿宋" w:eastAsia="仿宋" w:cs="仿宋"/>
          <w:sz w:val="30"/>
          <w:szCs w:val="30"/>
          <w:lang w:val="en-US" w:eastAsia="zh-CN"/>
        </w:rPr>
        <w:t>支出绩效管理工作的认识，完善预算资金使用的制度建设，确保以制度做好监督，使财政预算部门支出绩效工作能够合法合理，科学有效开展。</w:t>
      </w:r>
    </w:p>
    <w:p w14:paraId="721A6656">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（二）加强过程监督，提高资金使用效益，完善绩效指标体系，尽可能合理的细化、量化指标体系，使各项指标能充分反映在预算管理工作中。</w:t>
      </w:r>
    </w:p>
    <w:p w14:paraId="29FF8CAD">
      <w:pPr>
        <w:keepNext w:val="0"/>
        <w:keepLines w:val="0"/>
        <w:pageBreakBefore w:val="0"/>
        <w:kinsoku/>
        <w:wordWrap/>
        <w:overflowPunct/>
        <w:autoSpaceDE/>
        <w:autoSpaceDN/>
        <w:bidi w:val="0"/>
        <w:adjustRightInd w:val="0"/>
        <w:snapToGrid w:val="0"/>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根据《预算法》及实施条例，宣传部结合本单位自身情况，设定明确、合规、合理的绩效目标，并将目标量化、细化分解，严谨、科学的编制年度预算，制定合理的绩效目标，部门预算经财政局批复下达后做好预算执行中的跟踪监督，不断完善统战部的部门支出预算和绩效管理工作。</w:t>
      </w:r>
    </w:p>
    <w:p w14:paraId="12A95D03">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rPr>
      </w:pPr>
      <w:r>
        <w:rPr>
          <w:rFonts w:hint="eastAsia" w:ascii="仿宋" w:hAnsi="仿宋" w:eastAsia="仿宋" w:cs="仿宋"/>
          <w:sz w:val="30"/>
          <w:szCs w:val="30"/>
          <w:lang w:val="en-US" w:eastAsia="zh-CN"/>
        </w:rPr>
        <w:t>（四）</w:t>
      </w:r>
      <w:r>
        <w:rPr>
          <w:rFonts w:hint="eastAsia" w:ascii="仿宋" w:hAnsi="仿宋" w:eastAsia="仿宋" w:cs="仿宋"/>
          <w:sz w:val="30"/>
          <w:szCs w:val="30"/>
          <w:lang w:eastAsia="zh-CN"/>
        </w:rPr>
        <w:t>会</w:t>
      </w:r>
      <w:r>
        <w:rPr>
          <w:rFonts w:hint="eastAsia" w:ascii="仿宋" w:hAnsi="仿宋" w:eastAsia="仿宋" w:cs="仿宋"/>
          <w:sz w:val="30"/>
          <w:szCs w:val="30"/>
        </w:rPr>
        <w:t>积极参加预算绩效管理培训并结合实际情况，汇总、对比以往年度项目预算，从而科学、有依据的做出下一年的项目资金预算，编制更为合理的预算，优化项目资金预算。</w:t>
      </w:r>
    </w:p>
    <w:p w14:paraId="002F6BC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1F241E0E">
      <w:pPr>
        <w:keepNext w:val="0"/>
        <w:keepLines w:val="0"/>
        <w:pageBreakBefore w:val="0"/>
        <w:widowControl/>
        <w:kinsoku/>
        <w:wordWrap/>
        <w:overflowPunct/>
        <w:topLinePunct w:val="0"/>
        <w:autoSpaceDE/>
        <w:autoSpaceDN/>
        <w:bidi w:val="0"/>
        <w:adjustRightInd/>
        <w:snapToGrid/>
        <w:spacing w:line="560" w:lineRule="exact"/>
        <w:ind w:left="0" w:right="0" w:firstLine="600" w:firstLineChars="200"/>
        <w:textAlignment w:val="auto"/>
        <w:rPr>
          <w:rFonts w:hint="eastAsia"/>
          <w:lang w:eastAsia="zh-CN"/>
        </w:rPr>
      </w:pPr>
      <w:r>
        <w:rPr>
          <w:rFonts w:hint="eastAsia" w:ascii="仿宋_GB2312" w:hAnsi="仿宋_GB2312" w:eastAsia="仿宋_GB2312" w:cs="仿宋_GB2312"/>
          <w:sz w:val="30"/>
          <w:szCs w:val="30"/>
          <w:lang w:val="en-US" w:eastAsia="zh-CN"/>
        </w:rPr>
        <w:t>无</w:t>
      </w:r>
    </w:p>
    <w:p w14:paraId="105C9ABD">
      <w:pPr>
        <w:pStyle w:val="16"/>
        <w:rPr>
          <w:rFonts w:hint="eastAsia"/>
          <w:lang w:eastAsia="zh-CN"/>
        </w:rPr>
      </w:pPr>
    </w:p>
    <w:p w14:paraId="29FE952B">
      <w:pPr>
        <w:pStyle w:val="16"/>
        <w:jc w:val="both"/>
        <w:rPr>
          <w:rFonts w:hint="eastAsia"/>
          <w:lang w:eastAsia="zh-CN"/>
        </w:rPr>
      </w:pPr>
    </w:p>
    <w:p w14:paraId="0406FCBE">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方正小标宋简体" w:hAnsi="方正小标宋简体" w:eastAsia="方正小标宋简体" w:cs="方正小标宋简体"/>
          <w:color w:val="auto"/>
          <w:sz w:val="44"/>
          <w:szCs w:val="44"/>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3：</w:t>
      </w:r>
    </w:p>
    <w:p w14:paraId="185321A0">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中国共产党昆明市五华区委员会宣传部网络安全及网络生态治理经费项目</w:t>
      </w:r>
      <w:r>
        <w:rPr>
          <w:rFonts w:hint="eastAsia" w:ascii="方正小标宋简体" w:hAnsi="方正小标宋简体" w:eastAsia="方正小标宋简体" w:cs="方正小标宋简体"/>
          <w:color w:val="auto"/>
          <w:sz w:val="44"/>
          <w:szCs w:val="44"/>
        </w:rPr>
        <w:t>绩效</w:t>
      </w:r>
      <w:r>
        <w:rPr>
          <w:rFonts w:hint="eastAsia" w:ascii="方正小标宋简体" w:hAnsi="方正小标宋简体" w:eastAsia="方正小标宋简体" w:cs="方正小标宋简体"/>
          <w:color w:val="auto"/>
          <w:sz w:val="44"/>
          <w:szCs w:val="44"/>
          <w:lang w:eastAsia="zh-CN"/>
        </w:rPr>
        <w:t>评价</w:t>
      </w:r>
      <w:r>
        <w:rPr>
          <w:rFonts w:hint="eastAsia" w:ascii="方正小标宋简体" w:hAnsi="方正小标宋简体" w:eastAsia="方正小标宋简体" w:cs="方正小标宋简体"/>
          <w:color w:val="auto"/>
          <w:sz w:val="44"/>
          <w:szCs w:val="44"/>
        </w:rPr>
        <w:t>问题清单</w:t>
      </w:r>
    </w:p>
    <w:tbl>
      <w:tblPr>
        <w:tblStyle w:val="17"/>
        <w:tblpPr w:leftFromText="180" w:rightFromText="180" w:vertAnchor="text" w:horzAnchor="page" w:tblpXSpec="center" w:tblpY="269"/>
        <w:tblOverlap w:val="never"/>
        <w:tblW w:w="9118" w:type="dxa"/>
        <w:jc w:val="center"/>
        <w:tblLayout w:type="fixed"/>
        <w:tblCellMar>
          <w:top w:w="0" w:type="dxa"/>
          <w:left w:w="108" w:type="dxa"/>
          <w:bottom w:w="0" w:type="dxa"/>
          <w:right w:w="108" w:type="dxa"/>
        </w:tblCellMar>
      </w:tblPr>
      <w:tblGrid>
        <w:gridCol w:w="2594"/>
        <w:gridCol w:w="886"/>
        <w:gridCol w:w="2018"/>
        <w:gridCol w:w="3620"/>
      </w:tblGrid>
      <w:tr w14:paraId="347854EF">
        <w:tblPrEx>
          <w:tblCellMar>
            <w:top w:w="0" w:type="dxa"/>
            <w:left w:w="108" w:type="dxa"/>
            <w:bottom w:w="0" w:type="dxa"/>
            <w:right w:w="108" w:type="dxa"/>
          </w:tblCellMar>
        </w:tblPrEx>
        <w:trPr>
          <w:trHeight w:val="589"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0182B616">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84114CC">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F3947A6">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6856944">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00859327">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5264D501">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项目立项存在的问题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72317C3">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41028C4">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D6437D0">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50BE5239">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15824B">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8F15B88">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30CFB25">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6ADBF4D">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5517E0EA">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230497BB">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资金管理存在的问题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798BFF1">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A78039B">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9B8ECD0">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864AA3F">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B8FC9D">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D45E028">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D7B8A15">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29BA2AD">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4642A522">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1FFD5A38">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业务管理存在的问题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53F93C3D">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CC0D848">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6D575B45">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1E5323A9">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1BF149">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4716230">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5643C10">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58603A8">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FD155DF">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5C80A129">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项目产出存在的问题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08E76DE">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563AB4D">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24B6D9F8">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3EEC445">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82B016">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8085269">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E6C9D87">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00802A1">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156CE1FD">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single" w:color="000000" w:sz="4" w:space="0"/>
              <w:right w:val="single" w:color="000000" w:sz="4" w:space="0"/>
            </w:tcBorders>
            <w:noWrap/>
            <w:vAlign w:val="center"/>
          </w:tcPr>
          <w:p w14:paraId="39A359B9">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项目效益存在的问题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6DA45B6">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119A5660">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4AE23FBC">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163A4A7F">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88824">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75624E4">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79B9359D">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3FBD199">
            <w:pPr>
              <w:spacing w:line="420" w:lineRule="exac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无</w:t>
            </w:r>
          </w:p>
        </w:tc>
      </w:tr>
      <w:tr w14:paraId="3F7B4E28">
        <w:tblPrEx>
          <w:tblCellMar>
            <w:top w:w="0" w:type="dxa"/>
            <w:left w:w="108" w:type="dxa"/>
            <w:bottom w:w="0" w:type="dxa"/>
            <w:right w:w="108" w:type="dxa"/>
          </w:tblCellMar>
        </w:tblPrEx>
        <w:trPr>
          <w:trHeight w:val="418" w:hRule="atLeast"/>
          <w:jc w:val="center"/>
        </w:trPr>
        <w:tc>
          <w:tcPr>
            <w:tcW w:w="2594" w:type="dxa"/>
            <w:vMerge w:val="restart"/>
            <w:tcBorders>
              <w:top w:val="single" w:color="000000" w:sz="4" w:space="0"/>
              <w:left w:val="single" w:color="000000" w:sz="4" w:space="0"/>
              <w:bottom w:val="nil"/>
              <w:right w:val="single" w:color="000000" w:sz="4" w:space="0"/>
            </w:tcBorders>
            <w:noWrap/>
            <w:vAlign w:val="center"/>
          </w:tcPr>
          <w:p w14:paraId="232A1CA9">
            <w:pPr>
              <w:widowControl/>
              <w:spacing w:line="420" w:lineRule="exact"/>
              <w:jc w:val="center"/>
              <w:textAlignment w:val="center"/>
              <w:rPr>
                <w:rFonts w:ascii="宋体" w:hAnsi="宋体" w:cs="宋体"/>
                <w:color w:val="000000"/>
                <w:kern w:val="0"/>
                <w:sz w:val="24"/>
              </w:rPr>
            </w:pPr>
            <w:r>
              <w:rPr>
                <w:rFonts w:hint="eastAsia" w:ascii="宋体" w:hAnsi="宋体" w:cs="宋体"/>
                <w:color w:val="000000"/>
                <w:kern w:val="0"/>
                <w:sz w:val="24"/>
              </w:rPr>
              <w:t>其他问题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4B45B1A8">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227ADAD8">
            <w:pPr>
              <w:spacing w:line="420" w:lineRule="exact"/>
              <w:rPr>
                <w:rFonts w:ascii="宋体" w:hAnsi="宋体" w:cs="宋体"/>
                <w:color w:val="000000"/>
                <w:sz w:val="22"/>
                <w:szCs w:val="22"/>
              </w:rPr>
            </w:pPr>
            <w:r>
              <w:rPr>
                <w:rFonts w:hint="eastAsia" w:ascii="宋体" w:hAnsi="宋体" w:cs="宋体"/>
                <w:color w:val="000000"/>
                <w:sz w:val="22"/>
                <w:szCs w:val="22"/>
                <w:lang w:val="en-US" w:eastAsia="zh-CN"/>
              </w:rPr>
              <w:t>中国共产党昆明市五华区委员会宣传部</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9FFCE49">
            <w:pPr>
              <w:pStyle w:val="16"/>
              <w:ind w:firstLine="0" w:firstLineChars="0"/>
              <w:rPr>
                <w:rFonts w:hint="default" w:ascii="宋体" w:hAnsi="宋体" w:eastAsia="宋体" w:cs="宋体"/>
                <w:color w:val="000000"/>
                <w:kern w:val="2"/>
                <w:sz w:val="22"/>
                <w:szCs w:val="22"/>
                <w:lang w:val="en-US" w:eastAsia="zh-CN" w:bidi="ar-SA"/>
              </w:rPr>
            </w:pPr>
            <w:r>
              <w:rPr>
                <w:rFonts w:hint="eastAsia" w:ascii="宋体" w:hAnsi="宋体" w:eastAsia="宋体" w:cs="宋体"/>
                <w:color w:val="000000"/>
                <w:kern w:val="2"/>
                <w:sz w:val="22"/>
                <w:szCs w:val="22"/>
                <w:lang w:val="en-US" w:eastAsia="zh-CN" w:bidi="ar-SA"/>
              </w:rPr>
              <w:t>绩效管理认识不够</w:t>
            </w:r>
          </w:p>
          <w:p w14:paraId="7C61DE02">
            <w:pPr>
              <w:spacing w:line="420" w:lineRule="exact"/>
              <w:rPr>
                <w:rFonts w:ascii="宋体" w:hAnsi="宋体" w:cs="宋体"/>
                <w:color w:val="000000"/>
                <w:sz w:val="22"/>
                <w:szCs w:val="22"/>
              </w:rPr>
            </w:pPr>
          </w:p>
        </w:tc>
      </w:tr>
      <w:tr w14:paraId="261901E7">
        <w:tblPrEx>
          <w:tblCellMar>
            <w:top w:w="0" w:type="dxa"/>
            <w:left w:w="108" w:type="dxa"/>
            <w:bottom w:w="0" w:type="dxa"/>
            <w:right w:w="108" w:type="dxa"/>
          </w:tblCellMar>
        </w:tblPrEx>
        <w:trPr>
          <w:trHeight w:val="418" w:hRule="atLeast"/>
          <w:jc w:val="center"/>
        </w:trPr>
        <w:tc>
          <w:tcPr>
            <w:tcW w:w="2594" w:type="dxa"/>
            <w:vMerge w:val="continue"/>
            <w:tcBorders>
              <w:top w:val="single" w:color="000000" w:sz="4" w:space="0"/>
              <w:left w:val="single" w:color="000000" w:sz="4" w:space="0"/>
              <w:bottom w:val="nil"/>
              <w:right w:val="single" w:color="000000" w:sz="4" w:space="0"/>
            </w:tcBorders>
            <w:noWrap w:val="0"/>
            <w:vAlign w:val="center"/>
          </w:tcPr>
          <w:p w14:paraId="1CEA8C4F">
            <w:pPr>
              <w:widowControl/>
              <w:jc w:val="left"/>
              <w:rPr>
                <w:rFonts w:ascii="宋体" w:hAnsi="宋体" w:cs="宋体"/>
                <w:color w:val="000000"/>
                <w:kern w:val="0"/>
                <w:sz w:val="24"/>
              </w:rPr>
            </w:pP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87CFC1E">
            <w:pPr>
              <w:widowControl/>
              <w:spacing w:line="420" w:lineRule="exact"/>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F0DC9AE">
            <w:pPr>
              <w:spacing w:line="420" w:lineRule="exact"/>
              <w:rPr>
                <w:rFonts w:ascii="宋体" w:hAnsi="宋体" w:cs="宋体"/>
                <w:color w:val="000000"/>
                <w:sz w:val="22"/>
                <w:szCs w:val="22"/>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60BC6F7">
            <w:pPr>
              <w:spacing w:line="420" w:lineRule="exact"/>
              <w:rPr>
                <w:rFonts w:ascii="宋体" w:hAnsi="宋体" w:cs="宋体"/>
                <w:color w:val="000000"/>
                <w:sz w:val="22"/>
                <w:szCs w:val="22"/>
              </w:rPr>
            </w:pPr>
          </w:p>
        </w:tc>
      </w:tr>
      <w:tr w14:paraId="12B3D312">
        <w:tblPrEx>
          <w:tblCellMar>
            <w:top w:w="0" w:type="dxa"/>
            <w:left w:w="108" w:type="dxa"/>
            <w:bottom w:w="0" w:type="dxa"/>
            <w:right w:w="108" w:type="dxa"/>
          </w:tblCellMar>
        </w:tblPrEx>
        <w:trPr>
          <w:trHeight w:val="680" w:hRule="exact"/>
          <w:jc w:val="center"/>
        </w:trPr>
        <w:tc>
          <w:tcPr>
            <w:tcW w:w="9118" w:type="dxa"/>
            <w:gridSpan w:val="4"/>
            <w:tcBorders>
              <w:top w:val="single" w:color="000000" w:sz="4" w:space="0"/>
              <w:left w:val="single" w:color="000000" w:sz="4" w:space="0"/>
              <w:bottom w:val="single" w:color="000000" w:sz="4" w:space="0"/>
              <w:right w:val="single" w:color="000000" w:sz="4" w:space="0"/>
            </w:tcBorders>
            <w:noWrap/>
            <w:vAlign w:val="top"/>
          </w:tcPr>
          <w:p w14:paraId="7B93EB29">
            <w:pPr>
              <w:spacing w:line="420" w:lineRule="exact"/>
              <w:rPr>
                <w:rFonts w:hint="eastAsia" w:ascii="宋体" w:hAnsi="宋体" w:cs="宋体"/>
                <w:color w:val="000000"/>
                <w:kern w:val="0"/>
                <w:sz w:val="24"/>
              </w:rPr>
            </w:pPr>
            <w:r>
              <w:rPr>
                <w:rFonts w:hint="eastAsia" w:ascii="宋体" w:hAnsi="宋体" w:cs="宋体"/>
                <w:color w:val="000000"/>
                <w:kern w:val="0"/>
                <w:sz w:val="24"/>
              </w:rPr>
              <w:t>备  注</w:t>
            </w:r>
            <w:r>
              <w:rPr>
                <w:rFonts w:hint="eastAsia" w:ascii="宋体" w:hAnsi="宋体" w:cs="宋体"/>
                <w:color w:val="000000"/>
                <w:kern w:val="0"/>
                <w:sz w:val="24"/>
                <w:lang w:eastAsia="zh-CN"/>
              </w:rPr>
              <w:t>：</w:t>
            </w:r>
          </w:p>
          <w:p w14:paraId="0BE6D635">
            <w:pPr>
              <w:spacing w:line="420" w:lineRule="exact"/>
              <w:rPr>
                <w:rFonts w:hint="eastAsia" w:ascii="宋体" w:hAnsi="宋体" w:cs="宋体"/>
                <w:color w:val="000000"/>
                <w:kern w:val="0"/>
                <w:sz w:val="24"/>
              </w:rPr>
            </w:pPr>
          </w:p>
        </w:tc>
      </w:tr>
    </w:tbl>
    <w:p w14:paraId="1C5679D8">
      <w:pPr>
        <w:pStyle w:val="16"/>
        <w:ind w:left="0" w:leftChars="0" w:firstLine="0" w:firstLineChars="0"/>
        <w:jc w:val="both"/>
        <w:rPr>
          <w:rFonts w:hint="eastAsia"/>
          <w:lang w:val="en-US" w:eastAsia="zh-CN"/>
        </w:rPr>
      </w:pPr>
    </w:p>
    <w:sectPr>
      <w:headerReference r:id="rId3" w:type="default"/>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D6ECD68-6831-4951-A991-2D5AA25B972A}"/>
  </w:font>
  <w:font w:name="黑体">
    <w:panose1 w:val="02010609060101010101"/>
    <w:charset w:val="86"/>
    <w:family w:val="auto"/>
    <w:pitch w:val="default"/>
    <w:sig w:usb0="800002BF" w:usb1="38CF7CFA" w:usb2="00000016" w:usb3="00000000" w:csb0="00040001" w:csb1="00000000"/>
    <w:embedRegular r:id="rId2" w:fontKey="{D78F5DE5-87E0-46F1-8C6D-11E1E689A6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7F1B094-DBD6-4030-B64C-629EA4C45886}"/>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83EF1A79-C9B2-4FCB-A045-62BC7DCD0D14}"/>
  </w:font>
  <w:font w:name="方正小标宋简体">
    <w:panose1 w:val="02000000000000000000"/>
    <w:charset w:val="86"/>
    <w:family w:val="auto"/>
    <w:pitch w:val="default"/>
    <w:sig w:usb0="A00002BF" w:usb1="184F6CFA" w:usb2="00000012" w:usb3="00000000" w:csb0="00040001" w:csb1="00000000"/>
    <w:embedRegular r:id="rId5" w:fontKey="{6ECD4731-003E-4062-B933-84D16390C403}"/>
  </w:font>
  <w:font w:name="Wingdings 2">
    <w:panose1 w:val="05020102010507070707"/>
    <w:charset w:val="02"/>
    <w:family w:val="auto"/>
    <w:pitch w:val="default"/>
    <w:sig w:usb0="00000000" w:usb1="00000000" w:usb2="00000000" w:usb3="00000000" w:csb0="80000000" w:csb1="00000000"/>
    <w:embedRegular r:id="rId6" w:fontKey="{32AA53B0-6696-4EA0-BA8C-06908205F9EC}"/>
  </w:font>
  <w:font w:name="仿宋">
    <w:panose1 w:val="02010609060101010101"/>
    <w:charset w:val="86"/>
    <w:family w:val="auto"/>
    <w:pitch w:val="default"/>
    <w:sig w:usb0="800002BF" w:usb1="38CF7CFA" w:usb2="00000016" w:usb3="00000000" w:csb0="00040001" w:csb1="00000000"/>
    <w:embedRegular r:id="rId7" w:fontKey="{72CC8B52-880D-44A0-932E-6EA2B167457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3AD37">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EB6BC"/>
    <w:multiLevelType w:val="singleLevel"/>
    <w:tmpl w:val="8BDEB6BC"/>
    <w:lvl w:ilvl="0" w:tentative="0">
      <w:start w:val="2"/>
      <w:numFmt w:val="chineseCounting"/>
      <w:suff w:val="nothing"/>
      <w:lvlText w:val="（%1）"/>
      <w:lvlJc w:val="left"/>
      <w:rPr>
        <w:rFonts w:hint="eastAsia"/>
      </w:rPr>
    </w:lvl>
  </w:abstractNum>
  <w:abstractNum w:abstractNumId="1">
    <w:nsid w:val="3C0F6D32"/>
    <w:multiLevelType w:val="singleLevel"/>
    <w:tmpl w:val="3C0F6D32"/>
    <w:lvl w:ilvl="0" w:tentative="0">
      <w:start w:val="5"/>
      <w:numFmt w:val="chineseCounting"/>
      <w:suff w:val="nothing"/>
      <w:lvlText w:val="%1、"/>
      <w:lvlJc w:val="left"/>
      <w:rPr>
        <w:rFonts w:hint="eastAsia"/>
      </w:rPr>
    </w:lvl>
  </w:abstractNum>
  <w:abstractNum w:abstractNumId="2">
    <w:nsid w:val="6FF9A464"/>
    <w:multiLevelType w:val="singleLevel"/>
    <w:tmpl w:val="6FF9A46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NzQyMzg5YmZjMjE5ZTE1MTdiMzJkYzQxNmE5NDcifQ=="/>
  </w:docVars>
  <w:rsids>
    <w:rsidRoot w:val="0020402E"/>
    <w:rsid w:val="00017A8F"/>
    <w:rsid w:val="00047AB7"/>
    <w:rsid w:val="0009075B"/>
    <w:rsid w:val="00090D52"/>
    <w:rsid w:val="00146EE9"/>
    <w:rsid w:val="00175F9F"/>
    <w:rsid w:val="001852BB"/>
    <w:rsid w:val="001D0E44"/>
    <w:rsid w:val="001F5CC3"/>
    <w:rsid w:val="0020402E"/>
    <w:rsid w:val="002413BA"/>
    <w:rsid w:val="00252E79"/>
    <w:rsid w:val="00285A6A"/>
    <w:rsid w:val="002B6CB3"/>
    <w:rsid w:val="00316CB8"/>
    <w:rsid w:val="00323104"/>
    <w:rsid w:val="00333AF7"/>
    <w:rsid w:val="00353839"/>
    <w:rsid w:val="003C3A4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C784E"/>
    <w:rsid w:val="00EE17E0"/>
    <w:rsid w:val="00F21861"/>
    <w:rsid w:val="00F47909"/>
    <w:rsid w:val="00F56884"/>
    <w:rsid w:val="00F80A48"/>
    <w:rsid w:val="00FC428C"/>
    <w:rsid w:val="00FD313A"/>
    <w:rsid w:val="00FE5B35"/>
    <w:rsid w:val="01DB367D"/>
    <w:rsid w:val="01DE1773"/>
    <w:rsid w:val="02251150"/>
    <w:rsid w:val="025F4662"/>
    <w:rsid w:val="02671768"/>
    <w:rsid w:val="026C0DFE"/>
    <w:rsid w:val="02F474A0"/>
    <w:rsid w:val="03157FFB"/>
    <w:rsid w:val="031F2043"/>
    <w:rsid w:val="03265180"/>
    <w:rsid w:val="03474314"/>
    <w:rsid w:val="03577A2F"/>
    <w:rsid w:val="03962305"/>
    <w:rsid w:val="03E23540"/>
    <w:rsid w:val="04003C23"/>
    <w:rsid w:val="046B5540"/>
    <w:rsid w:val="04E909D6"/>
    <w:rsid w:val="050F6813"/>
    <w:rsid w:val="054C5DAB"/>
    <w:rsid w:val="057564AB"/>
    <w:rsid w:val="05B71742"/>
    <w:rsid w:val="06C346F1"/>
    <w:rsid w:val="06C54798"/>
    <w:rsid w:val="071F6AB6"/>
    <w:rsid w:val="074D53D1"/>
    <w:rsid w:val="07593D76"/>
    <w:rsid w:val="076C47CE"/>
    <w:rsid w:val="07C37441"/>
    <w:rsid w:val="080F73BE"/>
    <w:rsid w:val="08114650"/>
    <w:rsid w:val="084A1910"/>
    <w:rsid w:val="084C6591"/>
    <w:rsid w:val="08514A4D"/>
    <w:rsid w:val="08AC4379"/>
    <w:rsid w:val="08AF45C5"/>
    <w:rsid w:val="08FA3336"/>
    <w:rsid w:val="09442803"/>
    <w:rsid w:val="095E38C5"/>
    <w:rsid w:val="09F42AD2"/>
    <w:rsid w:val="0A1C14CC"/>
    <w:rsid w:val="0A2040E7"/>
    <w:rsid w:val="0A2E773B"/>
    <w:rsid w:val="0A4D6167"/>
    <w:rsid w:val="0A622F41"/>
    <w:rsid w:val="0A8E01DA"/>
    <w:rsid w:val="0AC27E84"/>
    <w:rsid w:val="0B6757B7"/>
    <w:rsid w:val="0B6B4B9F"/>
    <w:rsid w:val="0C943AA2"/>
    <w:rsid w:val="0CA77331"/>
    <w:rsid w:val="0CE20369"/>
    <w:rsid w:val="0D774F56"/>
    <w:rsid w:val="0E0013EF"/>
    <w:rsid w:val="0E15476E"/>
    <w:rsid w:val="0E2D1318"/>
    <w:rsid w:val="0E7771D7"/>
    <w:rsid w:val="0EBD757C"/>
    <w:rsid w:val="0FBB0301"/>
    <w:rsid w:val="0FC458FE"/>
    <w:rsid w:val="100D1BA1"/>
    <w:rsid w:val="100D7DF3"/>
    <w:rsid w:val="1041184B"/>
    <w:rsid w:val="104B0B11"/>
    <w:rsid w:val="10831E63"/>
    <w:rsid w:val="111331E7"/>
    <w:rsid w:val="11401B02"/>
    <w:rsid w:val="119836EC"/>
    <w:rsid w:val="11AB1672"/>
    <w:rsid w:val="11E3705D"/>
    <w:rsid w:val="12310D91"/>
    <w:rsid w:val="123E2F93"/>
    <w:rsid w:val="125D4824"/>
    <w:rsid w:val="128B56D9"/>
    <w:rsid w:val="13224E04"/>
    <w:rsid w:val="13AE4AD7"/>
    <w:rsid w:val="13C05F21"/>
    <w:rsid w:val="140137CB"/>
    <w:rsid w:val="14263231"/>
    <w:rsid w:val="143040B0"/>
    <w:rsid w:val="148166BA"/>
    <w:rsid w:val="14BE19FD"/>
    <w:rsid w:val="14C96294"/>
    <w:rsid w:val="14D56A06"/>
    <w:rsid w:val="15150691"/>
    <w:rsid w:val="153573E4"/>
    <w:rsid w:val="154C4F1A"/>
    <w:rsid w:val="15C2343F"/>
    <w:rsid w:val="16513469"/>
    <w:rsid w:val="16930926"/>
    <w:rsid w:val="16F40CC3"/>
    <w:rsid w:val="17427051"/>
    <w:rsid w:val="176A5B2B"/>
    <w:rsid w:val="176F3141"/>
    <w:rsid w:val="187262FD"/>
    <w:rsid w:val="18D70F9E"/>
    <w:rsid w:val="18FA2EDF"/>
    <w:rsid w:val="18FE652B"/>
    <w:rsid w:val="193A6353"/>
    <w:rsid w:val="197E766C"/>
    <w:rsid w:val="19871FA6"/>
    <w:rsid w:val="19BD33E6"/>
    <w:rsid w:val="1AA21F20"/>
    <w:rsid w:val="1AD83484"/>
    <w:rsid w:val="1AFB36D2"/>
    <w:rsid w:val="1B201DBF"/>
    <w:rsid w:val="1B2C0724"/>
    <w:rsid w:val="1B2F4438"/>
    <w:rsid w:val="1B4B493C"/>
    <w:rsid w:val="1B6E7E45"/>
    <w:rsid w:val="1B83455A"/>
    <w:rsid w:val="1B8F5B60"/>
    <w:rsid w:val="1BFB4FA4"/>
    <w:rsid w:val="1C2A3ADB"/>
    <w:rsid w:val="1C393D1E"/>
    <w:rsid w:val="1C492847"/>
    <w:rsid w:val="1C5A43C0"/>
    <w:rsid w:val="1C737230"/>
    <w:rsid w:val="1C7D1E5D"/>
    <w:rsid w:val="1C8925AF"/>
    <w:rsid w:val="1C9A47BD"/>
    <w:rsid w:val="1CBB2985"/>
    <w:rsid w:val="1CE67A02"/>
    <w:rsid w:val="1D205DE2"/>
    <w:rsid w:val="1D6F5C49"/>
    <w:rsid w:val="1D994A74"/>
    <w:rsid w:val="1DB418AE"/>
    <w:rsid w:val="1DD43CFE"/>
    <w:rsid w:val="1DD97567"/>
    <w:rsid w:val="1E5866DD"/>
    <w:rsid w:val="1E8C45D9"/>
    <w:rsid w:val="1E93139D"/>
    <w:rsid w:val="1E960FB4"/>
    <w:rsid w:val="1EA5569B"/>
    <w:rsid w:val="1F106FB8"/>
    <w:rsid w:val="1F2E5690"/>
    <w:rsid w:val="1F4135B5"/>
    <w:rsid w:val="1F615A66"/>
    <w:rsid w:val="1F6410B2"/>
    <w:rsid w:val="1F843502"/>
    <w:rsid w:val="1FAD2A59"/>
    <w:rsid w:val="201F02E4"/>
    <w:rsid w:val="20256A93"/>
    <w:rsid w:val="20B147CB"/>
    <w:rsid w:val="20B971DB"/>
    <w:rsid w:val="211F0493"/>
    <w:rsid w:val="21311468"/>
    <w:rsid w:val="21C44F09"/>
    <w:rsid w:val="21D45042"/>
    <w:rsid w:val="21D56297"/>
    <w:rsid w:val="21DE339D"/>
    <w:rsid w:val="227814F2"/>
    <w:rsid w:val="22A16179"/>
    <w:rsid w:val="22DB78DD"/>
    <w:rsid w:val="23FE7D27"/>
    <w:rsid w:val="24156E1F"/>
    <w:rsid w:val="24247062"/>
    <w:rsid w:val="251D41DD"/>
    <w:rsid w:val="252722E2"/>
    <w:rsid w:val="25284930"/>
    <w:rsid w:val="268B7490"/>
    <w:rsid w:val="26ED5E31"/>
    <w:rsid w:val="270C62B7"/>
    <w:rsid w:val="271D04C4"/>
    <w:rsid w:val="276C34ED"/>
    <w:rsid w:val="27885693"/>
    <w:rsid w:val="27EB2370"/>
    <w:rsid w:val="28047D00"/>
    <w:rsid w:val="28433F5A"/>
    <w:rsid w:val="285048C9"/>
    <w:rsid w:val="28642123"/>
    <w:rsid w:val="29272FC4"/>
    <w:rsid w:val="29512318"/>
    <w:rsid w:val="29791BFE"/>
    <w:rsid w:val="29C56BF1"/>
    <w:rsid w:val="2A7570EB"/>
    <w:rsid w:val="2AA963F5"/>
    <w:rsid w:val="2ADC4E13"/>
    <w:rsid w:val="2B151983"/>
    <w:rsid w:val="2C534818"/>
    <w:rsid w:val="2C7F39CF"/>
    <w:rsid w:val="2CCF04B2"/>
    <w:rsid w:val="2CF37C0E"/>
    <w:rsid w:val="2D841961"/>
    <w:rsid w:val="2D9E1C33"/>
    <w:rsid w:val="2DC43283"/>
    <w:rsid w:val="2DE51610"/>
    <w:rsid w:val="2E0D3F2A"/>
    <w:rsid w:val="2E6C1D31"/>
    <w:rsid w:val="2FB514D0"/>
    <w:rsid w:val="2FFC690A"/>
    <w:rsid w:val="301D1535"/>
    <w:rsid w:val="30842FF2"/>
    <w:rsid w:val="309E0C3C"/>
    <w:rsid w:val="30CB0B45"/>
    <w:rsid w:val="30D66C72"/>
    <w:rsid w:val="31224929"/>
    <w:rsid w:val="31B269F5"/>
    <w:rsid w:val="32BE4F4A"/>
    <w:rsid w:val="333A23FE"/>
    <w:rsid w:val="33E67E90"/>
    <w:rsid w:val="33ED3BCC"/>
    <w:rsid w:val="33FD3B57"/>
    <w:rsid w:val="34142C4F"/>
    <w:rsid w:val="34777DA9"/>
    <w:rsid w:val="34B00BC9"/>
    <w:rsid w:val="34D523DE"/>
    <w:rsid w:val="35523A2F"/>
    <w:rsid w:val="35784879"/>
    <w:rsid w:val="35D46B3A"/>
    <w:rsid w:val="363D0213"/>
    <w:rsid w:val="366C4FC4"/>
    <w:rsid w:val="36842191"/>
    <w:rsid w:val="368857DA"/>
    <w:rsid w:val="36AA1648"/>
    <w:rsid w:val="3719610A"/>
    <w:rsid w:val="374B4BD9"/>
    <w:rsid w:val="376712E7"/>
    <w:rsid w:val="377C2FE5"/>
    <w:rsid w:val="37DE3C9F"/>
    <w:rsid w:val="382A0C93"/>
    <w:rsid w:val="38B844F1"/>
    <w:rsid w:val="38C53A27"/>
    <w:rsid w:val="38CF35E8"/>
    <w:rsid w:val="38E01351"/>
    <w:rsid w:val="39072D82"/>
    <w:rsid w:val="392F0A56"/>
    <w:rsid w:val="395064D7"/>
    <w:rsid w:val="39965698"/>
    <w:rsid w:val="3A5B15D7"/>
    <w:rsid w:val="3A744447"/>
    <w:rsid w:val="3A7C154E"/>
    <w:rsid w:val="3AD578E1"/>
    <w:rsid w:val="3B1654FE"/>
    <w:rsid w:val="3C1663B1"/>
    <w:rsid w:val="3C761AAA"/>
    <w:rsid w:val="3CA974C2"/>
    <w:rsid w:val="3CD967E3"/>
    <w:rsid w:val="3CFF3309"/>
    <w:rsid w:val="3D5B0142"/>
    <w:rsid w:val="3DD75329"/>
    <w:rsid w:val="3DEA67CE"/>
    <w:rsid w:val="3E3363C7"/>
    <w:rsid w:val="3E3839DE"/>
    <w:rsid w:val="3E844FE1"/>
    <w:rsid w:val="3F2F4DE1"/>
    <w:rsid w:val="3F52287D"/>
    <w:rsid w:val="3FE45BCB"/>
    <w:rsid w:val="4013025E"/>
    <w:rsid w:val="401D2E8B"/>
    <w:rsid w:val="40297539"/>
    <w:rsid w:val="40414948"/>
    <w:rsid w:val="4050500F"/>
    <w:rsid w:val="407D1B7C"/>
    <w:rsid w:val="40AA0BC3"/>
    <w:rsid w:val="40C637D8"/>
    <w:rsid w:val="410B53D9"/>
    <w:rsid w:val="41203D79"/>
    <w:rsid w:val="4125649B"/>
    <w:rsid w:val="41780CC1"/>
    <w:rsid w:val="41CC4F14"/>
    <w:rsid w:val="42120659"/>
    <w:rsid w:val="426A72E7"/>
    <w:rsid w:val="42E554C1"/>
    <w:rsid w:val="438576C5"/>
    <w:rsid w:val="43A15B81"/>
    <w:rsid w:val="43AD2778"/>
    <w:rsid w:val="44812A1C"/>
    <w:rsid w:val="44C24001"/>
    <w:rsid w:val="44DA0652"/>
    <w:rsid w:val="44E16B7D"/>
    <w:rsid w:val="4568638C"/>
    <w:rsid w:val="457E4086"/>
    <w:rsid w:val="45A35BE1"/>
    <w:rsid w:val="45CE0BFE"/>
    <w:rsid w:val="46D0054F"/>
    <w:rsid w:val="46DA32A9"/>
    <w:rsid w:val="46F801AE"/>
    <w:rsid w:val="47217705"/>
    <w:rsid w:val="474B4782"/>
    <w:rsid w:val="47505984"/>
    <w:rsid w:val="484140EE"/>
    <w:rsid w:val="489505CE"/>
    <w:rsid w:val="48A153C2"/>
    <w:rsid w:val="48A56114"/>
    <w:rsid w:val="48D25011"/>
    <w:rsid w:val="48E01D74"/>
    <w:rsid w:val="48E409EA"/>
    <w:rsid w:val="49391826"/>
    <w:rsid w:val="49976A8B"/>
    <w:rsid w:val="49F41101"/>
    <w:rsid w:val="4A314103"/>
    <w:rsid w:val="4AB42380"/>
    <w:rsid w:val="4ACC3E2B"/>
    <w:rsid w:val="4B6B53F2"/>
    <w:rsid w:val="4B702A09"/>
    <w:rsid w:val="4B895879"/>
    <w:rsid w:val="4B9B4038"/>
    <w:rsid w:val="4BB1223F"/>
    <w:rsid w:val="4BE56F53"/>
    <w:rsid w:val="4C261319"/>
    <w:rsid w:val="4C6B2057"/>
    <w:rsid w:val="4C8056D4"/>
    <w:rsid w:val="4C8D1398"/>
    <w:rsid w:val="4C8F2F6F"/>
    <w:rsid w:val="4CB4635D"/>
    <w:rsid w:val="4CC56D84"/>
    <w:rsid w:val="4CCC314C"/>
    <w:rsid w:val="4CCF375F"/>
    <w:rsid w:val="4CD32934"/>
    <w:rsid w:val="4CD6689C"/>
    <w:rsid w:val="4CD945DE"/>
    <w:rsid w:val="4D387556"/>
    <w:rsid w:val="4D565C2E"/>
    <w:rsid w:val="4D682A48"/>
    <w:rsid w:val="4D832C78"/>
    <w:rsid w:val="4DBA322B"/>
    <w:rsid w:val="4DD50F91"/>
    <w:rsid w:val="4DF01BDF"/>
    <w:rsid w:val="4E271D7B"/>
    <w:rsid w:val="4E7740AE"/>
    <w:rsid w:val="4E7E2684"/>
    <w:rsid w:val="4EAB7E41"/>
    <w:rsid w:val="4F744DEB"/>
    <w:rsid w:val="50B508AC"/>
    <w:rsid w:val="50F934A0"/>
    <w:rsid w:val="51C70EA9"/>
    <w:rsid w:val="51CC64BF"/>
    <w:rsid w:val="51D52940"/>
    <w:rsid w:val="51F55A16"/>
    <w:rsid w:val="521B7236"/>
    <w:rsid w:val="52354064"/>
    <w:rsid w:val="523E38F5"/>
    <w:rsid w:val="52416EAD"/>
    <w:rsid w:val="527E1EEC"/>
    <w:rsid w:val="5285323E"/>
    <w:rsid w:val="52923265"/>
    <w:rsid w:val="52CC2C1B"/>
    <w:rsid w:val="52E87329"/>
    <w:rsid w:val="53395DD6"/>
    <w:rsid w:val="533D5A7E"/>
    <w:rsid w:val="538232A1"/>
    <w:rsid w:val="53D14ABD"/>
    <w:rsid w:val="53FF0DCE"/>
    <w:rsid w:val="54761817"/>
    <w:rsid w:val="547D1124"/>
    <w:rsid w:val="54CF07A0"/>
    <w:rsid w:val="54F975CB"/>
    <w:rsid w:val="552D5EC0"/>
    <w:rsid w:val="55652EB2"/>
    <w:rsid w:val="557673CF"/>
    <w:rsid w:val="55825812"/>
    <w:rsid w:val="56380A98"/>
    <w:rsid w:val="56C137C7"/>
    <w:rsid w:val="56FA587C"/>
    <w:rsid w:val="57517B92"/>
    <w:rsid w:val="576A0C54"/>
    <w:rsid w:val="57875362"/>
    <w:rsid w:val="57B7551B"/>
    <w:rsid w:val="5818245E"/>
    <w:rsid w:val="58BF0B2C"/>
    <w:rsid w:val="58DC7930"/>
    <w:rsid w:val="58F5279F"/>
    <w:rsid w:val="590B2E55"/>
    <w:rsid w:val="599F6108"/>
    <w:rsid w:val="59B61F2F"/>
    <w:rsid w:val="59B9557B"/>
    <w:rsid w:val="59C04B5B"/>
    <w:rsid w:val="59D423B5"/>
    <w:rsid w:val="59E92304"/>
    <w:rsid w:val="5AB75993"/>
    <w:rsid w:val="5AC616FF"/>
    <w:rsid w:val="5AD00DCE"/>
    <w:rsid w:val="5AD07020"/>
    <w:rsid w:val="5AE4142E"/>
    <w:rsid w:val="5B8D4F11"/>
    <w:rsid w:val="5B9C33A6"/>
    <w:rsid w:val="5BCC5A39"/>
    <w:rsid w:val="5C125416"/>
    <w:rsid w:val="5C4541E2"/>
    <w:rsid w:val="5C5F065B"/>
    <w:rsid w:val="5C7A5495"/>
    <w:rsid w:val="5C877BB2"/>
    <w:rsid w:val="5C9F6CAA"/>
    <w:rsid w:val="5CB06720"/>
    <w:rsid w:val="5CBA1D36"/>
    <w:rsid w:val="5CC46711"/>
    <w:rsid w:val="5CD07982"/>
    <w:rsid w:val="5CDD3C76"/>
    <w:rsid w:val="5D0E5BDE"/>
    <w:rsid w:val="5D28108C"/>
    <w:rsid w:val="5D5F468B"/>
    <w:rsid w:val="5DA4554F"/>
    <w:rsid w:val="5DD1318C"/>
    <w:rsid w:val="5DDB01B6"/>
    <w:rsid w:val="5DE66B5A"/>
    <w:rsid w:val="5DEE5DA8"/>
    <w:rsid w:val="5E9B5562"/>
    <w:rsid w:val="5EB856E4"/>
    <w:rsid w:val="5EDB5F93"/>
    <w:rsid w:val="5F1F40D2"/>
    <w:rsid w:val="5F3465FA"/>
    <w:rsid w:val="5F426012"/>
    <w:rsid w:val="5F557A60"/>
    <w:rsid w:val="5F5C70D4"/>
    <w:rsid w:val="5F772160"/>
    <w:rsid w:val="5FE33352"/>
    <w:rsid w:val="5FF40209"/>
    <w:rsid w:val="60340580"/>
    <w:rsid w:val="6151078F"/>
    <w:rsid w:val="619A3EE4"/>
    <w:rsid w:val="619E5A94"/>
    <w:rsid w:val="61BC3E5A"/>
    <w:rsid w:val="62092C5F"/>
    <w:rsid w:val="624125B1"/>
    <w:rsid w:val="62511E3F"/>
    <w:rsid w:val="631321A0"/>
    <w:rsid w:val="63402869"/>
    <w:rsid w:val="638E7A78"/>
    <w:rsid w:val="63950E07"/>
    <w:rsid w:val="63CE4319"/>
    <w:rsid w:val="63F57AF7"/>
    <w:rsid w:val="6419080D"/>
    <w:rsid w:val="645415E8"/>
    <w:rsid w:val="64760C38"/>
    <w:rsid w:val="64874BF3"/>
    <w:rsid w:val="65404DA2"/>
    <w:rsid w:val="6549634D"/>
    <w:rsid w:val="659418B0"/>
    <w:rsid w:val="65F514C0"/>
    <w:rsid w:val="662A1850"/>
    <w:rsid w:val="66495ED8"/>
    <w:rsid w:val="665A1E94"/>
    <w:rsid w:val="66B5531C"/>
    <w:rsid w:val="66F32FE7"/>
    <w:rsid w:val="67087B42"/>
    <w:rsid w:val="672A3F5C"/>
    <w:rsid w:val="672C7221"/>
    <w:rsid w:val="673821D5"/>
    <w:rsid w:val="675D1C3B"/>
    <w:rsid w:val="678F03E3"/>
    <w:rsid w:val="67BB4BB4"/>
    <w:rsid w:val="67E73BFB"/>
    <w:rsid w:val="67F307F2"/>
    <w:rsid w:val="687234C5"/>
    <w:rsid w:val="687545A8"/>
    <w:rsid w:val="68A65864"/>
    <w:rsid w:val="68B166E3"/>
    <w:rsid w:val="68B40C28"/>
    <w:rsid w:val="691427CE"/>
    <w:rsid w:val="69E403F2"/>
    <w:rsid w:val="6A0C12EB"/>
    <w:rsid w:val="6A6C22B0"/>
    <w:rsid w:val="6A7A2B04"/>
    <w:rsid w:val="6B0C2013"/>
    <w:rsid w:val="6B1252E0"/>
    <w:rsid w:val="6BAD0DEB"/>
    <w:rsid w:val="6BCC4F2B"/>
    <w:rsid w:val="6C691293"/>
    <w:rsid w:val="6C9A748E"/>
    <w:rsid w:val="6CEB5F3B"/>
    <w:rsid w:val="6CFE5C6F"/>
    <w:rsid w:val="6D1F7993"/>
    <w:rsid w:val="6D4F0278"/>
    <w:rsid w:val="6D6A6E60"/>
    <w:rsid w:val="6D953B8F"/>
    <w:rsid w:val="6DAA54AF"/>
    <w:rsid w:val="6DF1132F"/>
    <w:rsid w:val="6E162B44"/>
    <w:rsid w:val="6EFC61DE"/>
    <w:rsid w:val="6F63480E"/>
    <w:rsid w:val="70396723"/>
    <w:rsid w:val="70501F38"/>
    <w:rsid w:val="70520021"/>
    <w:rsid w:val="70862203"/>
    <w:rsid w:val="70A97C9F"/>
    <w:rsid w:val="70AB1C6A"/>
    <w:rsid w:val="70B14DA6"/>
    <w:rsid w:val="70C8455E"/>
    <w:rsid w:val="714E19C4"/>
    <w:rsid w:val="71597917"/>
    <w:rsid w:val="71913A76"/>
    <w:rsid w:val="71A212BE"/>
    <w:rsid w:val="71E769F5"/>
    <w:rsid w:val="71F2795F"/>
    <w:rsid w:val="72643CC5"/>
    <w:rsid w:val="72717B4F"/>
    <w:rsid w:val="728132ED"/>
    <w:rsid w:val="72897D89"/>
    <w:rsid w:val="72BD6DD8"/>
    <w:rsid w:val="73075151"/>
    <w:rsid w:val="737A5923"/>
    <w:rsid w:val="73B57A63"/>
    <w:rsid w:val="741C1DA4"/>
    <w:rsid w:val="74381A66"/>
    <w:rsid w:val="743C5BB1"/>
    <w:rsid w:val="74814AD2"/>
    <w:rsid w:val="74AE06FF"/>
    <w:rsid w:val="74BB4EE4"/>
    <w:rsid w:val="74C652C4"/>
    <w:rsid w:val="751029E3"/>
    <w:rsid w:val="754206C3"/>
    <w:rsid w:val="75510B3F"/>
    <w:rsid w:val="764B0E32"/>
    <w:rsid w:val="765B3F2D"/>
    <w:rsid w:val="768A0573"/>
    <w:rsid w:val="76A03BC5"/>
    <w:rsid w:val="773F4EBA"/>
    <w:rsid w:val="77951598"/>
    <w:rsid w:val="785A0460"/>
    <w:rsid w:val="786A41B8"/>
    <w:rsid w:val="78AF606F"/>
    <w:rsid w:val="791954AD"/>
    <w:rsid w:val="795A422D"/>
    <w:rsid w:val="796208D7"/>
    <w:rsid w:val="799534B7"/>
    <w:rsid w:val="7A7C6425"/>
    <w:rsid w:val="7A8A0B42"/>
    <w:rsid w:val="7AE12ED0"/>
    <w:rsid w:val="7AE35816"/>
    <w:rsid w:val="7B14665D"/>
    <w:rsid w:val="7B947DA7"/>
    <w:rsid w:val="7BA45C33"/>
    <w:rsid w:val="7BC260B9"/>
    <w:rsid w:val="7BE2675B"/>
    <w:rsid w:val="7C036DFE"/>
    <w:rsid w:val="7C1E59E5"/>
    <w:rsid w:val="7C8917B4"/>
    <w:rsid w:val="7CEB62C4"/>
    <w:rsid w:val="7D284642"/>
    <w:rsid w:val="7D755AD9"/>
    <w:rsid w:val="7E123328"/>
    <w:rsid w:val="7E673BD9"/>
    <w:rsid w:val="7E991353"/>
    <w:rsid w:val="7E9C52E7"/>
    <w:rsid w:val="7ECB797B"/>
    <w:rsid w:val="7EEA2523"/>
    <w:rsid w:val="7FCF08A9"/>
    <w:rsid w:val="7FDC2C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4"/>
    <w:next w:val="1"/>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5">
    <w:name w:val="heading 2"/>
    <w:basedOn w:val="1"/>
    <w:next w:val="1"/>
    <w:qFormat/>
    <w:uiPriority w:val="0"/>
    <w:pPr>
      <w:keepNext/>
      <w:keepLines/>
      <w:spacing w:line="560" w:lineRule="exact"/>
      <w:ind w:firstLine="640"/>
      <w:outlineLvl w:val="1"/>
    </w:pPr>
    <w:rPr>
      <w:rFonts w:eastAsia="黑体"/>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Title"/>
    <w:basedOn w:val="1"/>
    <w:next w:val="1"/>
    <w:link w:val="24"/>
    <w:qFormat/>
    <w:uiPriority w:val="0"/>
    <w:pPr>
      <w:adjustRightInd w:val="0"/>
      <w:spacing w:before="240" w:after="60" w:line="312" w:lineRule="atLeast"/>
      <w:jc w:val="center"/>
      <w:textAlignment w:val="baseline"/>
    </w:pPr>
    <w:rPr>
      <w:rFonts w:ascii="Arial" w:hAnsi="Arial"/>
      <w:b/>
      <w:kern w:val="28"/>
      <w:sz w:val="32"/>
      <w:szCs w:val="20"/>
    </w:rPr>
  </w:style>
  <w:style w:type="paragraph" w:styleId="6">
    <w:name w:val="toa heading"/>
    <w:basedOn w:val="1"/>
    <w:next w:val="1"/>
    <w:unhideWhenUsed/>
    <w:qFormat/>
    <w:uiPriority w:val="99"/>
    <w:pPr>
      <w:spacing w:before="120"/>
    </w:pPr>
    <w:rPr>
      <w:rFonts w:ascii="Cambria" w:hAnsi="Cambria" w:cs="Times New Roman"/>
      <w:sz w:val="24"/>
      <w:szCs w:val="24"/>
    </w:rPr>
  </w:style>
  <w:style w:type="paragraph" w:styleId="7">
    <w:name w:val="Body Text"/>
    <w:basedOn w:val="1"/>
    <w:qFormat/>
    <w:uiPriority w:val="0"/>
    <w:rPr>
      <w:rFonts w:ascii="Calibri" w:hAnsi="Calibri" w:eastAsia="宋体" w:cs="Times New Roman"/>
    </w:rPr>
  </w:style>
  <w:style w:type="paragraph" w:styleId="8">
    <w:name w:val="Body Text Indent"/>
    <w:basedOn w:val="1"/>
    <w:unhideWhenUsed/>
    <w:qFormat/>
    <w:uiPriority w:val="0"/>
    <w:pPr>
      <w:ind w:firstLine="640" w:firstLineChars="200"/>
    </w:pPr>
    <w:rPr>
      <w:rFonts w:ascii="仿宋_GB2312" w:hAnsi="Times New Roman" w:eastAsia="仿宋_GB2312"/>
      <w:sz w:val="32"/>
      <w:szCs w:val="24"/>
    </w:rPr>
  </w:style>
  <w:style w:type="paragraph" w:styleId="9">
    <w:name w:val="toc 5"/>
    <w:basedOn w:val="1"/>
    <w:next w:val="1"/>
    <w:qFormat/>
    <w:uiPriority w:val="0"/>
    <w:pPr>
      <w:ind w:left="800" w:leftChars="800"/>
    </w:pPr>
    <w:rPr>
      <w:rFonts w:ascii="Times New Roman" w:hAnsi="Times New Roman"/>
    </w:rPr>
  </w:style>
  <w:style w:type="paragraph" w:styleId="10">
    <w:name w:val="Plain Text"/>
    <w:basedOn w:val="1"/>
    <w:qFormat/>
    <w:uiPriority w:val="99"/>
    <w:rPr>
      <w:rFonts w:ascii="宋体" w:hAnsi="Courier New" w:cs="宋体"/>
      <w:kern w:val="0"/>
      <w:sz w:val="20"/>
      <w:szCs w:val="21"/>
    </w:rPr>
  </w:style>
  <w:style w:type="paragraph" w:styleId="11">
    <w:name w:val="Date"/>
    <w:basedOn w:val="1"/>
    <w:next w:val="1"/>
    <w:link w:val="25"/>
    <w:qFormat/>
    <w:uiPriority w:val="0"/>
    <w:pPr>
      <w:ind w:left="100" w:leftChars="2500"/>
    </w:pPr>
  </w:style>
  <w:style w:type="paragraph" w:styleId="12">
    <w:name w:val="footer"/>
    <w:basedOn w:val="1"/>
    <w:next w:val="1"/>
    <w:link w:val="26"/>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6">
    <w:name w:val="Body Text First Indent"/>
    <w:basedOn w:val="7"/>
    <w:qFormat/>
    <w:uiPriority w:val="0"/>
    <w:pPr>
      <w:snapToGrid/>
      <w:spacing w:line="520" w:lineRule="exact"/>
      <w:ind w:firstLine="0" w:firstLineChars="0"/>
      <w:jc w:val="center"/>
    </w:pPr>
    <w:rPr>
      <w:rFonts w:ascii="Times New Roman" w:hAnsi="Times New Roman"/>
      <w:sz w:val="24"/>
      <w:szCs w:val="20"/>
    </w:rPr>
  </w:style>
  <w:style w:type="table" w:styleId="18">
    <w:name w:val="Table Grid"/>
    <w:basedOn w:val="17"/>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page number"/>
    <w:basedOn w:val="19"/>
    <w:qFormat/>
    <w:uiPriority w:val="0"/>
  </w:style>
  <w:style w:type="character" w:customStyle="1" w:styleId="22">
    <w:name w:val="公文文种"/>
    <w:basedOn w:val="19"/>
    <w:qFormat/>
    <w:uiPriority w:val="0"/>
    <w:rPr>
      <w:rFonts w:eastAsia="宋体"/>
      <w:sz w:val="32"/>
    </w:rPr>
  </w:style>
  <w:style w:type="character" w:customStyle="1" w:styleId="23">
    <w:name w:val="公文文号"/>
    <w:basedOn w:val="19"/>
    <w:qFormat/>
    <w:uiPriority w:val="0"/>
    <w:rPr>
      <w:rFonts w:eastAsia="仿宋_GB2312"/>
      <w:sz w:val="32"/>
    </w:rPr>
  </w:style>
  <w:style w:type="character" w:customStyle="1" w:styleId="24">
    <w:name w:val="标题 Char"/>
    <w:basedOn w:val="19"/>
    <w:link w:val="4"/>
    <w:qFormat/>
    <w:uiPriority w:val="0"/>
    <w:rPr>
      <w:rFonts w:ascii="Arial" w:hAnsi="Arial"/>
      <w:b/>
      <w:kern w:val="28"/>
      <w:sz w:val="32"/>
    </w:rPr>
  </w:style>
  <w:style w:type="character" w:customStyle="1" w:styleId="25">
    <w:name w:val="日期 Char"/>
    <w:basedOn w:val="19"/>
    <w:link w:val="11"/>
    <w:qFormat/>
    <w:uiPriority w:val="0"/>
    <w:rPr>
      <w:rFonts w:ascii="Calibri" w:hAnsi="Calibri"/>
      <w:kern w:val="2"/>
      <w:sz w:val="21"/>
      <w:szCs w:val="22"/>
    </w:rPr>
  </w:style>
  <w:style w:type="character" w:customStyle="1" w:styleId="26">
    <w:name w:val="页脚 Char"/>
    <w:basedOn w:val="19"/>
    <w:link w:val="12"/>
    <w:qFormat/>
    <w:uiPriority w:val="99"/>
    <w:rPr>
      <w:rFonts w:ascii="Calibri" w:hAnsi="Calibri"/>
      <w:kern w:val="2"/>
      <w:sz w:val="18"/>
      <w:szCs w:val="18"/>
    </w:rPr>
  </w:style>
  <w:style w:type="paragraph" w:customStyle="1" w:styleId="27">
    <w:name w:val="p0"/>
    <w:basedOn w:val="1"/>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8">
    <w:name w:val="样式2"/>
    <w:basedOn w:val="1"/>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29">
    <w:name w:val="apple-style-span"/>
    <w:qFormat/>
    <w:uiPriority w:val="99"/>
  </w:style>
  <w:style w:type="paragraph" w:customStyle="1" w:styleId="30">
    <w:name w:val="列出段落1"/>
    <w:basedOn w:val="1"/>
    <w:qFormat/>
    <w:uiPriority w:val="34"/>
    <w:pPr>
      <w:ind w:firstLine="420" w:firstLineChars="200"/>
    </w:pPr>
    <w:rPr>
      <w:rFonts w:asciiTheme="minorHAnsi" w:hAnsiTheme="minorHAnsi" w:eastAsiaTheme="minorEastAsia" w:cstheme="minorBidi"/>
    </w:rPr>
  </w:style>
  <w:style w:type="character" w:customStyle="1" w:styleId="31">
    <w:name w:val="公文正文"/>
    <w:qFormat/>
    <w:uiPriority w:val="0"/>
    <w:rPr>
      <w:rFonts w:hint="eastAsia" w:ascii="仿宋_GB2312" w:eastAsia="仿宋_GB2312"/>
      <w:sz w:val="32"/>
    </w:rPr>
  </w:style>
  <w:style w:type="paragraph" w:styleId="32">
    <w:name w:val="List Paragraph"/>
    <w:basedOn w:val="1"/>
    <w:qFormat/>
    <w:uiPriority w:val="34"/>
    <w:pPr>
      <w:ind w:firstLine="420" w:firstLineChars="200"/>
    </w:pPr>
    <w:rPr>
      <w:rFonts w:asciiTheme="minorHAnsi" w:hAnsiTheme="minorHAnsi" w:eastAsiaTheme="minorEastAsia" w:cstheme="minorBidi"/>
    </w:rPr>
  </w:style>
  <w:style w:type="paragraph" w:customStyle="1" w:styleId="33">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4">
    <w:name w:val="无间隔1"/>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D357-B6EF-4E04-995F-5AD6D1391CBC}">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12</Pages>
  <Words>4955</Words>
  <Characters>5088</Characters>
  <Lines>1</Lines>
  <Paragraphs>1</Paragraphs>
  <TotalTime>3</TotalTime>
  <ScaleCrop>false</ScaleCrop>
  <LinksUpToDate>false</LinksUpToDate>
  <CharactersWithSpaces>5841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景鸿成</cp:lastModifiedBy>
  <cp:lastPrinted>2024-04-08T03:39:00Z</cp:lastPrinted>
  <dcterms:modified xsi:type="dcterms:W3CDTF">2024-10-31T11:15:20Z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81C23AC4425E4A75A940AEC68D9D7EF1_13</vt:lpwstr>
  </property>
</Properties>
</file>