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0" w:firstLineChars="0"/>
        <w:jc w:val="center"/>
        <w:rPr>
          <w:rFonts w:hint="default" w:ascii="Times New Roman" w:hAnsi="Times New Roman" w:eastAsia="宋体" w:cs="Times New Roman"/>
          <w:b/>
          <w:snapToGrid/>
          <w:color w:val="FF0000"/>
          <w:w w:val="66"/>
          <w:kern w:val="2"/>
          <w:sz w:val="90"/>
          <w:szCs w:val="90"/>
          <w:lang w:val="en-US" w:eastAsia="zh-CN"/>
        </w:rPr>
      </w:pPr>
      <w:r>
        <w:rPr>
          <w:rFonts w:hint="default" w:ascii="Times New Roman" w:hAnsi="Times New Roman" w:eastAsia="宋体" w:cs="Times New Roman"/>
          <w:b/>
          <w:snapToGrid/>
          <w:color w:val="FF0000"/>
          <w:w w:val="66"/>
          <w:kern w:val="2"/>
          <w:sz w:val="90"/>
          <w:szCs w:val="90"/>
        </w:rPr>
        <w:t>昆明市五华区住房和城乡建设局</w:t>
      </w:r>
      <w:r>
        <w:rPr>
          <w:rFonts w:hint="default" w:ascii="Times New Roman" w:hAnsi="Times New Roman" w:eastAsia="宋体" w:cs="Times New Roman"/>
          <w:b/>
          <w:snapToGrid/>
          <w:color w:val="FF0000"/>
          <w:w w:val="66"/>
          <w:kern w:val="2"/>
          <w:sz w:val="90"/>
          <w:szCs w:val="9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54" w:lineRule="exact"/>
        <w:ind w:left="0" w:leftChars="0" w:firstLine="0" w:firstLineChars="0"/>
        <w:jc w:val="both"/>
        <w:textAlignment w:val="auto"/>
        <w:rPr>
          <w:rFonts w:hint="default" w:ascii="Times New Roman" w:hAnsi="Times New Roman" w:eastAsia="仿宋_GB2312" w:cs="Times New Roman"/>
          <w:color w:val="FF0000"/>
          <w:sz w:val="32"/>
          <w:szCs w:val="32"/>
        </w:rPr>
      </w:pPr>
      <w:r>
        <w:rPr>
          <w:rFonts w:hint="default" w:ascii="Times New Roman" w:hAnsi="Times New Roman" w:cs="Times New Roman"/>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15240</wp:posOffset>
                </wp:positionV>
                <wp:extent cx="5558790" cy="0"/>
                <wp:effectExtent l="0" t="12700" r="3810" b="15875"/>
                <wp:wrapNone/>
                <wp:docPr id="3" name="直接连接符 3"/>
                <wp:cNvGraphicFramePr/>
                <a:graphic xmlns:a="http://schemas.openxmlformats.org/drawingml/2006/main">
                  <a:graphicData uri="http://schemas.microsoft.com/office/word/2010/wordprocessingShape">
                    <wps:wsp>
                      <wps:cNvCnPr/>
                      <wps:spPr>
                        <a:xfrm>
                          <a:off x="0" y="0"/>
                          <a:ext cx="555879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pt;height:0pt;width:437.7pt;z-index:251663360;mso-width-relative:page;mso-height-relative:page;" filled="f" stroked="t" coordsize="21600,21600" o:gfxdata="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f6bX0wAAAAQBAAAPAAAAAAAAAAEAIAAAACIAAABkcnMvZG93bnJldi54bWxQ&#10;SwECFAAUAAAACACHTuJAppq1tfwBAADzAwAADgAAAAAAAAABACAAAAAiAQAAZHJzL2Uyb0RvYy54&#10;bWxQSwUGAAAAAAYABgBZAQAAkA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558790" cy="0"/>
                <wp:effectExtent l="0" t="12700" r="3810" b="17780"/>
                <wp:wrapNone/>
                <wp:docPr id="2" name="直接连接符 2"/>
                <wp:cNvGraphicFramePr/>
                <a:graphic xmlns:a="http://schemas.openxmlformats.org/drawingml/2006/main">
                  <a:graphicData uri="http://schemas.microsoft.com/office/word/2010/wordprocessingShape">
                    <wps:wsp>
                      <wps:cNvCnPr/>
                      <wps:spPr>
                        <a:xfrm>
                          <a:off x="0" y="0"/>
                          <a:ext cx="5558790" cy="0"/>
                        </a:xfrm>
                        <a:prstGeom prst="line">
                          <a:avLst/>
                        </a:prstGeom>
                        <a:ln w="25400"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pt;height:0pt;width:437.7pt;z-index:251659264;mso-width-relative:page;mso-height-relative:page;" filled="f" stroked="t" coordsize="21600,21600" o:gfxdata="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rpMNNUAAAAEAQAADwAAAAAAAAABACAAAAAiAAAAZHJzL2Rvd25yZXYueG1sUEsBAhQA&#10;FAAAAAgAh07iQJDXbRz1AQAA5QMAAA4AAAAAAAAAAQAgAAAAJAEAAGRycy9lMm9Eb2MueG1sUEsF&#10;BgAAAAAGAAYAWQEAAIsFAAAAAA==&#10;">
                <v:fill on="f" focussize="0,0"/>
                <v:stroke weight="2pt" color="#FFFFFF [3212]" joinstyle="round"/>
                <v:imagedata o:title=""/>
                <o:lock v:ext="edit" aspectratio="f"/>
              </v:line>
            </w:pict>
          </mc:Fallback>
        </mc:AlternateContent>
      </w:r>
      <w:r>
        <w:rPr>
          <w:rFonts w:hint="eastAsia" w:ascii="方正小标宋_GBK" w:hAnsi="方正小标宋_GBK" w:eastAsia="方正小标宋_GBK" w:cs="方正小标宋_GBK"/>
          <w:sz w:val="44"/>
          <w:szCs w:val="44"/>
          <w:lang w:val="en-US" w:eastAsia="zh-CN"/>
        </w:rPr>
        <w:t>五华区住房和城乡建设局2024年度市场监管领域联合“双随机，一公开”抽查工作方案</w:t>
      </w:r>
    </w:p>
    <w:p>
      <w:pPr>
        <w:keepNext w:val="0"/>
        <w:keepLines w:val="0"/>
        <w:pageBreakBefore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认真贯彻落实国务院、省政府、市政府关于“双随机、一公开”监管工作决策部署，深入推进部门联合“双随机、一公开”监管，根据《国务院关于在市场监管领域全面推行部门联合“双随机、一公开”监管的意见》（国发〔2019〕5号）、《云南省人民政府办公厅关于印发云南省市场监管领域部门联合“双随机、一公开”监管实施办法的通知》（云政办规〔2019〕5号）和《昆明市人民政府办公室关于印发昆明市进一步推进市场监管领域部门联合“双随机、一公开”监管工作实施方案的通知》（昆政办笺〔2019〕224）等文件精神，持续深化“放管服”改革，进一步优化营商环境，</w:t>
      </w:r>
      <w:r>
        <w:rPr>
          <w:rFonts w:hint="eastAsia"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年度五华区市场监管领域部门“双随机、一公开”抽查计划》和《202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年度五华区市场监管领域部门联合“双随机、一公开”抽查计划》</w:t>
      </w:r>
      <w:r>
        <w:rPr>
          <w:rFonts w:hint="eastAsia" w:eastAsia="仿宋_GB2312" w:cs="Times New Roman"/>
          <w:sz w:val="32"/>
          <w:szCs w:val="32"/>
          <w:lang w:val="en-US" w:eastAsia="zh-CN"/>
        </w:rPr>
        <w:t>的工作安排，结合我局职责职能联合区市场监管局、五华区消防救援大队，</w:t>
      </w:r>
      <w:r>
        <w:rPr>
          <w:rFonts w:hint="default" w:ascii="Times New Roman" w:hAnsi="Times New Roman" w:eastAsia="仿宋_GB2312" w:cs="Times New Roman"/>
          <w:sz w:val="32"/>
          <w:szCs w:val="32"/>
          <w:lang w:val="en-US" w:eastAsia="zh-CN"/>
        </w:rPr>
        <w:t>扎实开展</w:t>
      </w:r>
      <w:r>
        <w:rPr>
          <w:rFonts w:hint="eastAsia" w:eastAsia="仿宋_GB2312" w:cs="Times New Roman"/>
          <w:sz w:val="32"/>
          <w:szCs w:val="32"/>
          <w:lang w:val="en-US" w:eastAsia="zh-CN"/>
        </w:rPr>
        <w:t>2024年度燃气经营企业经营行为的行政管理检查监督执法检查</w:t>
      </w:r>
      <w:r>
        <w:rPr>
          <w:rFonts w:hint="default" w:ascii="Times New Roman" w:hAnsi="Times New Roman" w:eastAsia="仿宋_GB2312" w:cs="Times New Roman"/>
          <w:sz w:val="32"/>
          <w:szCs w:val="32"/>
          <w:lang w:val="en-US" w:eastAsia="zh-CN"/>
        </w:rPr>
        <w:t>工作，特制定本工作方案。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坚持以习近平新时代中国特色社会主义思想为指导，</w:t>
      </w:r>
      <w:r>
        <w:rPr>
          <w:rFonts w:hint="eastAsia" w:ascii="Times New Roman" w:hAnsi="Times New Roman" w:eastAsia="仿宋_GB2312" w:cs="Times New Roman"/>
          <w:sz w:val="32"/>
          <w:szCs w:val="32"/>
          <w:lang w:val="en-US" w:eastAsia="zh-CN"/>
        </w:rPr>
        <w:t>全面加强行业规范管理，</w:t>
      </w:r>
      <w:r>
        <w:rPr>
          <w:rFonts w:hint="default"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和树立高质量</w:t>
      </w:r>
      <w:r>
        <w:rPr>
          <w:rFonts w:hint="default" w:ascii="Times New Roman" w:hAnsi="Times New Roman" w:eastAsia="仿宋_GB2312" w:cs="Times New Roman"/>
          <w:sz w:val="32"/>
          <w:szCs w:val="32"/>
          <w:lang w:val="en-US" w:eastAsia="zh-CN"/>
        </w:rPr>
        <w:t>发展理念，压紧压实</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责任，为高</w:t>
      </w:r>
      <w:r>
        <w:rPr>
          <w:rFonts w:hint="eastAsia" w:ascii="Times New Roman" w:hAnsi="Times New Roman" w:eastAsia="仿宋_GB2312" w:cs="Times New Roman"/>
          <w:sz w:val="32"/>
          <w:szCs w:val="32"/>
          <w:lang w:val="en-US" w:eastAsia="zh-CN"/>
        </w:rPr>
        <w:t>品</w:t>
      </w:r>
      <w:r>
        <w:rPr>
          <w:rFonts w:hint="default" w:ascii="Times New Roman" w:hAnsi="Times New Roman" w:eastAsia="仿宋_GB2312" w:cs="Times New Roman"/>
          <w:sz w:val="32"/>
          <w:szCs w:val="32"/>
          <w:lang w:val="en-US" w:eastAsia="zh-CN"/>
        </w:rPr>
        <w:t>质推进</w:t>
      </w:r>
      <w:r>
        <w:rPr>
          <w:rFonts w:hint="eastAsia" w:ascii="Times New Roman" w:hAnsi="Times New Roman" w:eastAsia="仿宋_GB2312" w:cs="Times New Roman"/>
          <w:sz w:val="32"/>
          <w:szCs w:val="32"/>
          <w:lang w:val="en-US" w:eastAsia="zh-CN"/>
        </w:rPr>
        <w:t>我市成为</w:t>
      </w:r>
      <w:r>
        <w:rPr>
          <w:rFonts w:hint="default" w:ascii="Times New Roman" w:hAnsi="Times New Roman" w:eastAsia="仿宋_GB2312" w:cs="Times New Roman"/>
          <w:sz w:val="32"/>
          <w:szCs w:val="32"/>
          <w:lang w:val="en-US" w:eastAsia="zh-CN"/>
        </w:rPr>
        <w:t>区域性国际中心城市建设</w:t>
      </w:r>
      <w:r>
        <w:rPr>
          <w:rFonts w:hint="eastAsia" w:ascii="Times New Roman" w:hAnsi="Times New Roman" w:eastAsia="仿宋_GB2312" w:cs="Times New Roman"/>
          <w:sz w:val="32"/>
          <w:szCs w:val="32"/>
          <w:lang w:val="en-US" w:eastAsia="zh-CN"/>
        </w:rPr>
        <w:t>而奋斗和</w:t>
      </w:r>
      <w:r>
        <w:rPr>
          <w:rFonts w:hint="default" w:ascii="Times New Roman" w:hAnsi="Times New Roman" w:eastAsia="仿宋_GB2312" w:cs="Times New Roman"/>
          <w:sz w:val="32"/>
          <w:szCs w:val="32"/>
          <w:lang w:val="en-US" w:eastAsia="zh-CN"/>
        </w:rPr>
        <w:t>提供有力的保障。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二、重点和主题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lang w:val="en-US" w:eastAsia="zh-CN"/>
        </w:rPr>
        <w:t>规范行业行为</w:t>
      </w:r>
      <w:r>
        <w:rPr>
          <w:rFonts w:hint="default" w:ascii="Times New Roman" w:hAnsi="Times New Roman" w:eastAsia="仿宋_GB2312" w:cs="Times New Roman"/>
          <w:sz w:val="32"/>
          <w:szCs w:val="32"/>
          <w:lang w:val="en-US" w:eastAsia="zh-CN"/>
        </w:rPr>
        <w:t>为重点，</w:t>
      </w:r>
      <w:r>
        <w:rPr>
          <w:rFonts w:hint="eastAsia" w:ascii="Times New Roman" w:hAnsi="Times New Roman" w:eastAsia="仿宋_GB2312" w:cs="Times New Roman"/>
          <w:sz w:val="32"/>
          <w:szCs w:val="32"/>
          <w:lang w:val="en-US" w:eastAsia="zh-CN"/>
        </w:rPr>
        <w:t>以制度落实为责任，以服务企业为宗旨，以履行职业职责为已任，</w:t>
      </w:r>
      <w:r>
        <w:rPr>
          <w:rFonts w:hint="eastAsia" w:eastAsia="仿宋_GB2312" w:cs="Times New Roman"/>
          <w:sz w:val="32"/>
          <w:szCs w:val="32"/>
          <w:lang w:val="en-US" w:eastAsia="zh-CN"/>
        </w:rPr>
        <w:t>结合我局职责职能联合区市场监管局、五华区消防大队开展对燃气经营企业的</w:t>
      </w:r>
      <w:r>
        <w:rPr>
          <w:rFonts w:hint="eastAsia" w:ascii="Times New Roman" w:hAnsi="Times New Roman" w:eastAsia="仿宋_GB2312" w:cs="Times New Roman"/>
          <w:sz w:val="32"/>
          <w:szCs w:val="32"/>
          <w:lang w:val="en-US" w:eastAsia="zh-CN"/>
        </w:rPr>
        <w:t>监督执法检查</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依照法律法规规定，</w:t>
      </w:r>
      <w:r>
        <w:rPr>
          <w:rFonts w:hint="eastAsia"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辖区范围内</w:t>
      </w:r>
      <w:r>
        <w:rPr>
          <w:rFonts w:hint="eastAsia" w:eastAsia="仿宋_GB2312" w:cs="Times New Roman"/>
          <w:sz w:val="32"/>
          <w:szCs w:val="32"/>
          <w:lang w:val="en-US" w:eastAsia="zh-CN"/>
        </w:rPr>
        <w:t>的涉及领域单位，依照检查计划表，完成3家燃气企业的联合检查。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检查方式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与五华区市场监督管理局</w:t>
      </w:r>
      <w:r>
        <w:rPr>
          <w:rFonts w:hint="eastAsia" w:eastAsia="仿宋_GB2312" w:cs="Times New Roman"/>
          <w:sz w:val="32"/>
          <w:szCs w:val="32"/>
          <w:lang w:val="en-US" w:eastAsia="zh-CN"/>
        </w:rPr>
        <w:t>、五华区消防大队</w:t>
      </w:r>
      <w:r>
        <w:rPr>
          <w:rFonts w:hint="eastAsia" w:ascii="Times New Roman" w:hAnsi="Times New Roman" w:eastAsia="仿宋_GB2312" w:cs="Times New Roman"/>
          <w:sz w:val="32"/>
          <w:szCs w:val="32"/>
          <w:lang w:val="en-US" w:eastAsia="zh-CN"/>
        </w:rPr>
        <w:t>联合检查。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现场检查。查看证照、查看经营范围、查看业绩、查看项目合同、听取汇报、查看各项工作记录。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书面检查、网络查查相结。到现场查看各项书面记录和证照等，并从网上进一步查实。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找出问题。提出问题，交换意见。在交流中研究解决问题，达到既检查又帮助，既提出又解决，既发现又整改的目的。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依照</w:t>
      </w:r>
      <w:r>
        <w:rPr>
          <w:rFonts w:hint="eastAsia" w:eastAsia="仿宋_GB2312" w:cs="Times New Roman"/>
          <w:sz w:val="32"/>
          <w:szCs w:val="32"/>
          <w:lang w:val="en-US" w:eastAsia="zh-CN"/>
        </w:rPr>
        <w:t>《五华区住建局“双随机，一公开”年度计划表（联合检查）》所列的检查事项开展检查工作。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zh-CN" w:eastAsia="zh-CN"/>
        </w:rPr>
      </w:pPr>
      <w:r>
        <w:rPr>
          <w:rFonts w:hint="eastAsia" w:ascii="黑体" w:hAnsi="黑体" w:eastAsia="黑体" w:cs="黑体"/>
          <w:sz w:val="32"/>
          <w:szCs w:val="32"/>
          <w:lang w:val="zh-CN" w:eastAsia="zh-CN"/>
        </w:rPr>
        <w:t>七</w:t>
      </w:r>
      <w:r>
        <w:rPr>
          <w:rFonts w:hint="default" w:ascii="黑体" w:hAnsi="黑体" w:eastAsia="黑体" w:cs="黑体"/>
          <w:sz w:val="32"/>
          <w:szCs w:val="32"/>
          <w:lang w:val="zh-CN"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切实加强组织，明确责任</w:t>
      </w:r>
      <w:r>
        <w:rPr>
          <w:rFonts w:hint="eastAsia" w:ascii="Times New Roman" w:hAnsi="Times New Roman" w:eastAsia="仿宋_GB2312" w:cs="Times New Roman"/>
          <w:sz w:val="32"/>
          <w:szCs w:val="32"/>
          <w:lang w:val="en-US" w:eastAsia="zh-CN"/>
        </w:rPr>
        <w:t>到位</w:t>
      </w:r>
      <w:r>
        <w:rPr>
          <w:rFonts w:hint="default" w:ascii="Times New Roman" w:hAnsi="Times New Roman" w:eastAsia="仿宋_GB2312" w:cs="Times New Roman"/>
          <w:sz w:val="32"/>
          <w:szCs w:val="32"/>
          <w:lang w:val="en-US" w:eastAsia="zh-CN"/>
        </w:rPr>
        <w:t>、责任</w:t>
      </w:r>
      <w:r>
        <w:rPr>
          <w:rFonts w:hint="eastAsia" w:ascii="Times New Roman" w:hAnsi="Times New Roman" w:eastAsia="仿宋_GB2312" w:cs="Times New Roman"/>
          <w:sz w:val="32"/>
          <w:szCs w:val="32"/>
          <w:lang w:val="en-US" w:eastAsia="zh-CN"/>
        </w:rPr>
        <w:t>到</w:t>
      </w:r>
      <w:r>
        <w:rPr>
          <w:rFonts w:hint="default" w:ascii="Times New Roman" w:hAnsi="Times New Roman" w:eastAsia="仿宋_GB2312" w:cs="Times New Roman"/>
          <w:sz w:val="32"/>
          <w:szCs w:val="32"/>
          <w:lang w:val="en-US" w:eastAsia="zh-CN"/>
        </w:rPr>
        <w:t>人和时间节点</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根据“省、市双随机办”要求，各部门应于20</w:t>
      </w:r>
      <w:r>
        <w:rPr>
          <w:rFonts w:hint="eastAsia" w:eastAsia="仿宋_GB2312" w:cs="Times New Roman"/>
          <w:sz w:val="32"/>
          <w:szCs w:val="32"/>
          <w:lang w:val="en-US" w:eastAsia="zh-CN"/>
        </w:rPr>
        <w:t>24</w:t>
      </w:r>
      <w:r>
        <w:rPr>
          <w:rFonts w:hint="eastAsia"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月30日前登陆协同监管平台（云南），录入本部门年度抽查计划，制定抽查方案，202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年9月</w:t>
      </w:r>
      <w:r>
        <w:rPr>
          <w:rFonts w:hint="eastAsia" w:eastAsia="仿宋_GB2312" w:cs="Times New Roman"/>
          <w:sz w:val="32"/>
          <w:szCs w:val="32"/>
          <w:lang w:val="en-US" w:eastAsia="zh-CN"/>
        </w:rPr>
        <w:t>30</w:t>
      </w:r>
      <w:r>
        <w:rPr>
          <w:rFonts w:hint="eastAsia" w:ascii="Times New Roman" w:hAnsi="Times New Roman" w:eastAsia="仿宋_GB2312" w:cs="Times New Roman"/>
          <w:sz w:val="32"/>
          <w:szCs w:val="32"/>
          <w:lang w:val="en-US" w:eastAsia="zh-CN"/>
        </w:rPr>
        <w:t>日前完成率不低于60%</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10月30日前完成率不低于80%，于11月底前完成年度各项监管计划任务。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全面完成依法行政，佩证上岗，两人以上出行，不干扰检查对象的其他工作。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做好人力、物力和相关经费等保障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及时整改检查中发现的</w:t>
      </w:r>
      <w:r>
        <w:rPr>
          <w:rFonts w:hint="eastAsia"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能当面当时处理的当面当时处理，不能当时当面处理的限期整改，并</w:t>
      </w:r>
      <w:r>
        <w:rPr>
          <w:rFonts w:hint="default" w:ascii="Times New Roman" w:hAnsi="Times New Roman" w:eastAsia="仿宋_GB2312" w:cs="Times New Roman"/>
          <w:sz w:val="32"/>
          <w:szCs w:val="32"/>
          <w:lang w:val="en-US" w:eastAsia="zh-CN"/>
        </w:rPr>
        <w:t>跟踪监督整改情况，</w:t>
      </w:r>
      <w:r>
        <w:rPr>
          <w:rFonts w:hint="eastAsia" w:ascii="Times New Roman" w:hAnsi="Times New Roman" w:eastAsia="仿宋_GB2312" w:cs="Times New Roman"/>
          <w:sz w:val="32"/>
          <w:szCs w:val="32"/>
          <w:lang w:val="en-US" w:eastAsia="zh-CN"/>
        </w:rPr>
        <w:t>适时进行复查</w:t>
      </w:r>
      <w:r>
        <w:rPr>
          <w:rFonts w:hint="default"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、指导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督促</w:t>
      </w:r>
      <w:r>
        <w:rPr>
          <w:rFonts w:hint="eastAsia" w:ascii="Times New Roman" w:hAnsi="Times New Roman" w:eastAsia="仿宋_GB2312" w:cs="Times New Roman"/>
          <w:sz w:val="32"/>
          <w:szCs w:val="32"/>
          <w:lang w:val="en-US" w:eastAsia="zh-CN"/>
        </w:rPr>
        <w:t>的同时，遇到企业有经营困难的，对企业进行帮助，</w:t>
      </w:r>
      <w:r>
        <w:rPr>
          <w:rFonts w:hint="default" w:ascii="Times New Roman" w:hAnsi="Times New Roman" w:eastAsia="仿宋_GB2312" w:cs="Times New Roman"/>
          <w:sz w:val="32"/>
          <w:szCs w:val="32"/>
          <w:lang w:val="en-US" w:eastAsia="zh-CN"/>
        </w:rPr>
        <w:t>引导企业结合实际，开展多样化、切实可行的生产活动</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、请各企业务必重</w:t>
      </w:r>
      <w:r>
        <w:rPr>
          <w:rFonts w:hint="eastAsia" w:ascii="Times New Roman" w:hAnsi="Times New Roman" w:eastAsia="仿宋_GB2312" w:cs="Times New Roman"/>
          <w:sz w:val="32"/>
          <w:szCs w:val="32"/>
          <w:lang w:val="en-US" w:eastAsia="zh-CN"/>
        </w:rPr>
        <w:t>视</w:t>
      </w:r>
      <w:r>
        <w:rPr>
          <w:rFonts w:hint="default" w:ascii="Times New Roman" w:hAnsi="Times New Roman" w:eastAsia="仿宋_GB2312" w:cs="Times New Roman"/>
          <w:sz w:val="32"/>
          <w:szCs w:val="32"/>
          <w:lang w:val="en-US" w:eastAsia="zh-CN"/>
        </w:rPr>
        <w:t>检查工作，加大</w:t>
      </w:r>
      <w:r>
        <w:rPr>
          <w:rFonts w:hint="eastAsia" w:ascii="Times New Roman" w:hAnsi="Times New Roman" w:eastAsia="仿宋_GB2312" w:cs="Times New Roman"/>
          <w:sz w:val="32"/>
          <w:szCs w:val="32"/>
          <w:lang w:val="en-US" w:eastAsia="zh-CN"/>
        </w:rPr>
        <w:t>自身</w:t>
      </w:r>
      <w:r>
        <w:rPr>
          <w:rFonts w:hint="default" w:ascii="Times New Roman" w:hAnsi="Times New Roman" w:eastAsia="仿宋_GB2312" w:cs="Times New Roman"/>
          <w:sz w:val="32"/>
          <w:szCs w:val="32"/>
          <w:lang w:val="en-US" w:eastAsia="zh-CN"/>
        </w:rPr>
        <w:t>管理力度，针对本企业的实际情况</w:t>
      </w:r>
      <w:r>
        <w:rPr>
          <w:rFonts w:hint="eastAsia" w:ascii="Times New Roman" w:hAnsi="Times New Roman" w:eastAsia="仿宋_GB2312" w:cs="Times New Roman"/>
          <w:sz w:val="32"/>
          <w:szCs w:val="32"/>
          <w:lang w:val="en-US" w:eastAsia="zh-CN"/>
        </w:rPr>
        <w:t>预先</w:t>
      </w:r>
      <w:r>
        <w:rPr>
          <w:rFonts w:hint="default" w:ascii="Times New Roman" w:hAnsi="Times New Roman" w:eastAsia="仿宋_GB2312" w:cs="Times New Roman"/>
          <w:sz w:val="32"/>
          <w:szCs w:val="32"/>
          <w:lang w:val="en-US" w:eastAsia="zh-CN"/>
        </w:rPr>
        <w:t>开展自检自查，杜绝</w:t>
      </w:r>
      <w:r>
        <w:rPr>
          <w:rFonts w:hint="eastAsia" w:ascii="Times New Roman" w:hAnsi="Times New Roman" w:eastAsia="仿宋_GB2312" w:cs="Times New Roman"/>
          <w:sz w:val="32"/>
          <w:szCs w:val="32"/>
          <w:lang w:val="en-US" w:eastAsia="zh-CN"/>
        </w:rPr>
        <w:t>一问三不知。</w:t>
      </w:r>
    </w:p>
    <w:p>
      <w:pPr>
        <w:pStyle w:val="2"/>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五华区住房和城乡建设局</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lang w:val="en-US" w:eastAsia="zh-CN"/>
        </w:rPr>
      </w:pPr>
    </w:p>
    <w:p>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lang w:val="en-US" w:eastAsia="zh-CN"/>
        </w:rPr>
      </w:pPr>
      <w:r>
        <w:rPr>
          <w:rFonts w:hint="default" w:ascii="Times New Roman" w:hAnsi="Times New Roman" w:eastAsia="仿宋_GB2312" w:cs="Times New Roman"/>
          <w:kern w:val="0"/>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396240</wp:posOffset>
                </wp:positionV>
                <wp:extent cx="5591175" cy="0"/>
                <wp:effectExtent l="0" t="7620" r="1905" b="15240"/>
                <wp:wrapNone/>
                <wp:docPr id="6" name="直接连接符 6"/>
                <wp:cNvGraphicFramePr/>
                <a:graphic xmlns:a="http://schemas.openxmlformats.org/drawingml/2006/main">
                  <a:graphicData uri="http://schemas.microsoft.com/office/word/2010/wordprocessingShape">
                    <wps:wsp>
                      <wps:cNvCnPr/>
                      <wps:spPr>
                        <a:xfrm>
                          <a:off x="0" y="0"/>
                          <a:ext cx="559117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31.2pt;height:0pt;width:440.25pt;z-index:251660288;mso-width-relative:page;mso-height-relative:page;" filled="f" stroked="t" coordsize="21600,21600" o:gfxdata="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h/LHVAAAABgEAAA8AAAAAAAAAAQAgAAAAIgAAAGRycy9kb3ducmV2LnhtbFBL&#10;AQIUABQAAAAIAIdO4kCSyPfE+QEAAPMDAAAOAAAAAAAAAAEAIAAAACQ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43815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3.45pt;height:0pt;width:441pt;z-index:251661312;mso-width-relative:page;mso-height-relative:page;" filled="f" stroked="t" coordsize="21600,21600" o:gfxdata="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0e9KdMAAAAGAQAADwAAAAAAAAABACAAAAAiAAAAZHJzL2Rvd25yZXYueG1sUEsB&#10;AhQAFAAAAAgAh07iQM+Cex3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五华区住房城乡建设局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bookmarkStart w:id="0" w:name="_GoBack"/>
      <w:bookmarkEnd w:id="0"/>
      <w:r>
        <w:rPr>
          <w:rFonts w:hint="default" w:ascii="Times New Roman" w:hAnsi="Times New Roman" w:eastAsia="仿宋_GB2312" w:cs="Times New Roman"/>
          <w:sz w:val="28"/>
          <w:szCs w:val="28"/>
        </w:rPr>
        <w:t>202</w:t>
      </w:r>
      <w:r>
        <w:rPr>
          <w:rFonts w:hint="eastAsia" w:cs="Times New Roman"/>
          <w:sz w:val="28"/>
          <w:szCs w:val="28"/>
          <w:lang w:val="en-US" w:eastAsia="zh-CN"/>
        </w:rPr>
        <w:t>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cs="Times New Roman"/>
          <w:sz w:val="28"/>
          <w:szCs w:val="28"/>
          <w:lang w:val="en-US" w:eastAsia="zh-CN"/>
        </w:rPr>
        <w:t>9</w:t>
      </w:r>
      <w:r>
        <w:rPr>
          <w:rFonts w:hint="default" w:ascii="Times New Roman" w:hAnsi="Times New Roman" w:eastAsia="仿宋_GB2312" w:cs="Times New Roman"/>
          <w:sz w:val="28"/>
          <w:szCs w:val="28"/>
        </w:rPr>
        <w:t>印发</w:t>
      </w: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600700" cy="0"/>
                <wp:effectExtent l="0" t="7620" r="7620" b="1524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2pt;height:0pt;width:441pt;z-index:251662336;mso-width-relative:page;mso-height-relative:page;" filled="f" stroked="t" coordsize="21600,21600" o:gfxdata="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hW0O1QAAAAYBAAAPAAAAAAAAAAEAIAAAACIAAABkcnMvZG93bnJldi54bWxQ&#10;SwECFAAUAAAACACHTuJAAZpXwfoBAADzAwAADgAAAAAAAAABACAAAAAkAQAAZHJzL2Uyb0RvYy54&#10;bWxQSwUGAAAAAAYABgBZAQAAkAUAAAAA&#10;">
                <v:fill on="f" focussize="0,0"/>
                <v:stroke weight="1.25pt" color="#000000" joinstyle="round"/>
                <v:imagedata o:title=""/>
                <o:lock v:ext="edit" aspectratio="f"/>
              </v:line>
            </w:pict>
          </mc:Fallback>
        </mc:AlternateContent>
      </w:r>
    </w:p>
    <w:p>
      <w:pPr>
        <w:rPr>
          <w:rFonts w:hint="default"/>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pPr>
        <w:pStyle w:val="2"/>
        <w:rPr>
          <w:rFonts w:hint="default"/>
          <w:lang w:val="en-US" w:eastAsia="zh-CN"/>
        </w:rPr>
      </w:pPr>
      <w:r>
        <w:rPr>
          <w:rFonts w:hint="eastAsia"/>
          <w:lang w:val="en-US" w:eastAsia="zh-CN"/>
        </w:rPr>
        <w:t>附表</w:t>
      </w:r>
    </w:p>
    <w:p>
      <w:pPr>
        <w:pStyle w:val="2"/>
        <w:jc w:val="center"/>
        <w:rPr>
          <w:rFonts w:hint="eastAsia"/>
          <w:b/>
          <w:bCs/>
          <w:sz w:val="32"/>
          <w:szCs w:val="32"/>
          <w:lang w:val="en-US" w:eastAsia="zh-CN"/>
        </w:rPr>
      </w:pPr>
      <w:r>
        <w:rPr>
          <w:rFonts w:hint="eastAsia"/>
          <w:b/>
          <w:bCs/>
          <w:sz w:val="32"/>
          <w:szCs w:val="32"/>
          <w:lang w:val="en-US" w:eastAsia="zh-CN"/>
        </w:rPr>
        <w:t>五华区住建局“双随机，一公开”检查工作计划表（联合检查）</w:t>
      </w:r>
    </w:p>
    <w:tbl>
      <w:tblPr>
        <w:tblStyle w:val="7"/>
        <w:tblW w:w="14325" w:type="dxa"/>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0"/>
        <w:gridCol w:w="1558"/>
        <w:gridCol w:w="1382"/>
        <w:gridCol w:w="2923"/>
        <w:gridCol w:w="1080"/>
        <w:gridCol w:w="1245"/>
        <w:gridCol w:w="960"/>
        <w:gridCol w:w="1817"/>
        <w:gridCol w:w="99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4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序号</w:t>
            </w:r>
          </w:p>
        </w:tc>
        <w:tc>
          <w:tcPr>
            <w:tcW w:w="135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发起部门</w:t>
            </w:r>
          </w:p>
        </w:tc>
        <w:tc>
          <w:tcPr>
            <w:tcW w:w="1558"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配合部门</w:t>
            </w:r>
          </w:p>
        </w:tc>
        <w:tc>
          <w:tcPr>
            <w:tcW w:w="4305" w:type="dxa"/>
            <w:gridSpan w:val="2"/>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计划任务名称</w:t>
            </w:r>
          </w:p>
        </w:tc>
        <w:tc>
          <w:tcPr>
            <w:tcW w:w="108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检查对象</w:t>
            </w:r>
          </w:p>
        </w:tc>
        <w:tc>
          <w:tcPr>
            <w:tcW w:w="1245"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任务时间</w:t>
            </w:r>
          </w:p>
        </w:tc>
        <w:tc>
          <w:tcPr>
            <w:tcW w:w="96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抽查比例/户</w:t>
            </w:r>
          </w:p>
        </w:tc>
        <w:tc>
          <w:tcPr>
            <w:tcW w:w="1817"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检查方式</w:t>
            </w:r>
          </w:p>
        </w:tc>
        <w:tc>
          <w:tcPr>
            <w:tcW w:w="99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实施检查层级</w:t>
            </w:r>
          </w:p>
        </w:tc>
        <w:tc>
          <w:tcPr>
            <w:tcW w:w="480" w:type="dxa"/>
            <w:vMerge w:val="restart"/>
            <w:vAlign w:val="center"/>
          </w:tcPr>
          <w:p>
            <w:pPr>
              <w:jc w:val="center"/>
              <w:rPr>
                <w:rFonts w:hint="default"/>
                <w:b/>
                <w:bCs/>
                <w:sz w:val="18"/>
                <w:szCs w:val="18"/>
                <w:vertAlign w:val="baseline"/>
                <w:lang w:val="en-US" w:eastAsia="zh-CN"/>
              </w:rPr>
            </w:pPr>
            <w:r>
              <w:rPr>
                <w:rFonts w:hint="eastAsia"/>
                <w:b/>
                <w:bCs/>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40" w:type="dxa"/>
            <w:vMerge w:val="continue"/>
            <w:vAlign w:val="center"/>
          </w:tcPr>
          <w:p>
            <w:pPr>
              <w:jc w:val="center"/>
            </w:pPr>
          </w:p>
        </w:tc>
        <w:tc>
          <w:tcPr>
            <w:tcW w:w="1350" w:type="dxa"/>
            <w:vMerge w:val="continue"/>
            <w:vAlign w:val="center"/>
          </w:tcPr>
          <w:p>
            <w:pPr>
              <w:jc w:val="center"/>
            </w:pPr>
          </w:p>
        </w:tc>
        <w:tc>
          <w:tcPr>
            <w:tcW w:w="1558" w:type="dxa"/>
            <w:vMerge w:val="continue"/>
            <w:vAlign w:val="center"/>
          </w:tcPr>
          <w:p>
            <w:pPr>
              <w:jc w:val="center"/>
            </w:pPr>
          </w:p>
        </w:tc>
        <w:tc>
          <w:tcPr>
            <w:tcW w:w="1382"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检查事项</w:t>
            </w:r>
          </w:p>
        </w:tc>
        <w:tc>
          <w:tcPr>
            <w:tcW w:w="2923" w:type="dxa"/>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检查对象</w:t>
            </w:r>
          </w:p>
        </w:tc>
        <w:tc>
          <w:tcPr>
            <w:tcW w:w="1080" w:type="dxa"/>
            <w:vMerge w:val="continue"/>
            <w:vAlign w:val="center"/>
          </w:tcPr>
          <w:p>
            <w:pPr>
              <w:jc w:val="center"/>
              <w:rPr>
                <w:rFonts w:hint="eastAsia"/>
                <w:b/>
                <w:bCs/>
                <w:sz w:val="18"/>
                <w:szCs w:val="18"/>
                <w:vertAlign w:val="baseline"/>
                <w:lang w:val="en-US" w:eastAsia="zh-CN"/>
              </w:rPr>
            </w:pPr>
          </w:p>
        </w:tc>
        <w:tc>
          <w:tcPr>
            <w:tcW w:w="1245" w:type="dxa"/>
            <w:vMerge w:val="continue"/>
            <w:vAlign w:val="center"/>
          </w:tcPr>
          <w:p>
            <w:pPr>
              <w:jc w:val="center"/>
              <w:rPr>
                <w:rFonts w:hint="eastAsia"/>
                <w:b/>
                <w:bCs/>
                <w:sz w:val="18"/>
                <w:szCs w:val="18"/>
                <w:vertAlign w:val="baseline"/>
                <w:lang w:val="en-US" w:eastAsia="zh-CN"/>
              </w:rPr>
            </w:pPr>
          </w:p>
        </w:tc>
        <w:tc>
          <w:tcPr>
            <w:tcW w:w="960" w:type="dxa"/>
            <w:vMerge w:val="continue"/>
            <w:vAlign w:val="center"/>
          </w:tcPr>
          <w:p>
            <w:pPr>
              <w:jc w:val="center"/>
              <w:rPr>
                <w:rFonts w:hint="eastAsia"/>
                <w:b/>
                <w:bCs/>
                <w:sz w:val="18"/>
                <w:szCs w:val="18"/>
                <w:vertAlign w:val="baseline"/>
                <w:lang w:val="en-US" w:eastAsia="zh-CN"/>
              </w:rPr>
            </w:pPr>
          </w:p>
        </w:tc>
        <w:tc>
          <w:tcPr>
            <w:tcW w:w="1817" w:type="dxa"/>
            <w:vMerge w:val="continue"/>
            <w:vAlign w:val="center"/>
          </w:tcPr>
          <w:p>
            <w:pPr>
              <w:jc w:val="center"/>
              <w:rPr>
                <w:rFonts w:hint="eastAsia"/>
                <w:b/>
                <w:bCs/>
                <w:sz w:val="18"/>
                <w:szCs w:val="18"/>
                <w:vertAlign w:val="baseline"/>
                <w:lang w:val="en-US" w:eastAsia="zh-CN"/>
              </w:rPr>
            </w:pPr>
          </w:p>
        </w:tc>
        <w:tc>
          <w:tcPr>
            <w:tcW w:w="990" w:type="dxa"/>
            <w:vMerge w:val="continue"/>
            <w:vAlign w:val="center"/>
          </w:tcPr>
          <w:p>
            <w:pPr>
              <w:jc w:val="center"/>
              <w:rPr>
                <w:rFonts w:hint="eastAsia"/>
                <w:b/>
                <w:bCs/>
                <w:sz w:val="18"/>
                <w:szCs w:val="18"/>
                <w:vertAlign w:val="baseline"/>
                <w:lang w:val="en-US" w:eastAsia="zh-CN"/>
              </w:rPr>
            </w:pPr>
          </w:p>
        </w:tc>
        <w:tc>
          <w:tcPr>
            <w:tcW w:w="480" w:type="dxa"/>
            <w:vMerge w:val="continue"/>
            <w:vAlign w:val="center"/>
          </w:tcPr>
          <w:p>
            <w:pPr>
              <w:jc w:val="center"/>
              <w:rPr>
                <w:rFonts w:hint="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135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五华区住建局</w:t>
            </w:r>
          </w:p>
        </w:tc>
        <w:tc>
          <w:tcPr>
            <w:tcW w:w="1558" w:type="dxa"/>
            <w:vAlign w:val="center"/>
          </w:tcPr>
          <w:p>
            <w:pPr>
              <w:jc w:val="center"/>
              <w:rPr>
                <w:rFonts w:hint="default"/>
                <w:sz w:val="18"/>
                <w:szCs w:val="18"/>
                <w:vertAlign w:val="baseline"/>
                <w:lang w:val="en-US" w:eastAsia="zh-CN"/>
              </w:rPr>
            </w:pPr>
            <w:r>
              <w:rPr>
                <w:rFonts w:hint="default"/>
                <w:sz w:val="18"/>
                <w:szCs w:val="18"/>
                <w:vertAlign w:val="baseline"/>
                <w:lang w:val="en-US" w:eastAsia="zh-CN"/>
              </w:rPr>
              <w:t>五华区市场监督管理局</w:t>
            </w:r>
          </w:p>
        </w:tc>
        <w:tc>
          <w:tcPr>
            <w:tcW w:w="1382" w:type="dxa"/>
            <w:vAlign w:val="center"/>
          </w:tcPr>
          <w:p>
            <w:pPr>
              <w:jc w:val="both"/>
              <w:rPr>
                <w:rFonts w:hint="default"/>
                <w:sz w:val="18"/>
                <w:szCs w:val="18"/>
                <w:vertAlign w:val="baseline"/>
                <w:lang w:val="en-US" w:eastAsia="zh-CN"/>
              </w:rPr>
            </w:pPr>
            <w:r>
              <w:rPr>
                <w:rFonts w:hint="default"/>
                <w:sz w:val="18"/>
                <w:szCs w:val="18"/>
                <w:vertAlign w:val="baseline"/>
                <w:lang w:val="en-US" w:eastAsia="zh-CN"/>
              </w:rPr>
              <w:t>房地产市场监督执法检查</w:t>
            </w:r>
          </w:p>
        </w:tc>
        <w:tc>
          <w:tcPr>
            <w:tcW w:w="2923" w:type="dxa"/>
            <w:vAlign w:val="center"/>
          </w:tcPr>
          <w:p>
            <w:pPr>
              <w:jc w:val="both"/>
              <w:rPr>
                <w:rFonts w:hint="default"/>
                <w:sz w:val="18"/>
                <w:szCs w:val="18"/>
                <w:vertAlign w:val="baseline"/>
                <w:lang w:val="en-US" w:eastAsia="zh-CN"/>
              </w:rPr>
            </w:pPr>
            <w:r>
              <w:rPr>
                <w:rFonts w:hint="default"/>
                <w:sz w:val="18"/>
                <w:szCs w:val="18"/>
                <w:vertAlign w:val="baseline"/>
                <w:lang w:val="en-US" w:eastAsia="zh-CN"/>
              </w:rPr>
              <w:t>住房和城乡建设部门：房地产市场监管</w:t>
            </w:r>
          </w:p>
          <w:p>
            <w:pPr>
              <w:jc w:val="both"/>
              <w:rPr>
                <w:rFonts w:hint="default"/>
                <w:sz w:val="18"/>
                <w:szCs w:val="18"/>
                <w:vertAlign w:val="baseline"/>
                <w:lang w:val="en-US" w:eastAsia="zh-CN"/>
              </w:rPr>
            </w:pPr>
            <w:r>
              <w:rPr>
                <w:rFonts w:hint="default"/>
                <w:sz w:val="18"/>
                <w:szCs w:val="18"/>
                <w:vertAlign w:val="baseline"/>
                <w:lang w:val="en-US" w:eastAsia="zh-CN"/>
              </w:rPr>
              <w:t>市场监管部门：价格行为检查</w:t>
            </w:r>
          </w:p>
        </w:tc>
        <w:tc>
          <w:tcPr>
            <w:tcW w:w="108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房地产从业单位</w:t>
            </w:r>
          </w:p>
        </w:tc>
        <w:tc>
          <w:tcPr>
            <w:tcW w:w="1245"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2024年1月-11月</w:t>
            </w:r>
          </w:p>
        </w:tc>
        <w:tc>
          <w:tcPr>
            <w:tcW w:w="96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1817" w:type="dxa"/>
            <w:vAlign w:val="center"/>
          </w:tcPr>
          <w:p>
            <w:pPr>
              <w:jc w:val="both"/>
              <w:rPr>
                <w:rFonts w:hint="default"/>
                <w:sz w:val="18"/>
                <w:szCs w:val="18"/>
                <w:vertAlign w:val="baseline"/>
                <w:lang w:val="en-US" w:eastAsia="zh-CN"/>
              </w:rPr>
            </w:pPr>
            <w:r>
              <w:rPr>
                <w:rFonts w:hint="default"/>
                <w:sz w:val="18"/>
                <w:szCs w:val="18"/>
                <w:vertAlign w:val="baseline"/>
                <w:lang w:val="en-US" w:eastAsia="zh-CN"/>
              </w:rPr>
              <w:t>现场检查、书面检查、网络检查相结合方式</w:t>
            </w:r>
          </w:p>
        </w:tc>
        <w:tc>
          <w:tcPr>
            <w:tcW w:w="990" w:type="dxa"/>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县抽县检</w:t>
            </w:r>
          </w:p>
        </w:tc>
        <w:tc>
          <w:tcPr>
            <w:tcW w:w="480" w:type="dxa"/>
            <w:vAlign w:val="center"/>
          </w:tcPr>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135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五华区住建局</w:t>
            </w:r>
          </w:p>
        </w:tc>
        <w:tc>
          <w:tcPr>
            <w:tcW w:w="1558" w:type="dxa"/>
            <w:vAlign w:val="center"/>
          </w:tcPr>
          <w:p>
            <w:pPr>
              <w:jc w:val="center"/>
              <w:rPr>
                <w:rFonts w:hint="eastAsia"/>
                <w:sz w:val="18"/>
                <w:szCs w:val="18"/>
                <w:vertAlign w:val="baseline"/>
                <w:lang w:val="en-US" w:eastAsia="zh-CN"/>
              </w:rPr>
            </w:pPr>
            <w:r>
              <w:rPr>
                <w:rFonts w:hint="default"/>
                <w:sz w:val="18"/>
                <w:szCs w:val="18"/>
                <w:vertAlign w:val="baseline"/>
                <w:lang w:val="en-US" w:eastAsia="zh-CN"/>
              </w:rPr>
              <w:t>五华区市场监督管理局</w:t>
            </w:r>
            <w:r>
              <w:rPr>
                <w:rFonts w:hint="eastAsia"/>
                <w:sz w:val="18"/>
                <w:szCs w:val="18"/>
                <w:vertAlign w:val="baseline"/>
                <w:lang w:val="en-US" w:eastAsia="zh-CN"/>
              </w:rPr>
              <w:t>、</w:t>
            </w:r>
          </w:p>
          <w:p>
            <w:pPr>
              <w:jc w:val="center"/>
              <w:rPr>
                <w:rFonts w:hint="default"/>
                <w:sz w:val="18"/>
                <w:szCs w:val="18"/>
                <w:vertAlign w:val="baseline"/>
                <w:lang w:val="en-US" w:eastAsia="zh-CN"/>
              </w:rPr>
            </w:pPr>
            <w:r>
              <w:rPr>
                <w:rFonts w:hint="eastAsia"/>
                <w:sz w:val="18"/>
                <w:szCs w:val="18"/>
                <w:vertAlign w:val="baseline"/>
                <w:lang w:val="en-US" w:eastAsia="zh-CN"/>
              </w:rPr>
              <w:t>五华区消防大队</w:t>
            </w:r>
          </w:p>
        </w:tc>
        <w:tc>
          <w:tcPr>
            <w:tcW w:w="1382" w:type="dxa"/>
            <w:vAlign w:val="center"/>
          </w:tcPr>
          <w:p>
            <w:pPr>
              <w:jc w:val="both"/>
              <w:rPr>
                <w:rFonts w:hint="default"/>
                <w:sz w:val="18"/>
                <w:szCs w:val="18"/>
                <w:vertAlign w:val="baseline"/>
                <w:lang w:val="en-US" w:eastAsia="zh-CN"/>
              </w:rPr>
            </w:pPr>
            <w:r>
              <w:rPr>
                <w:rFonts w:hint="eastAsia"/>
                <w:sz w:val="18"/>
                <w:szCs w:val="18"/>
                <w:vertAlign w:val="baseline"/>
                <w:lang w:val="en-US" w:eastAsia="zh-CN"/>
              </w:rPr>
              <w:t>燃气经营监督执法检查</w:t>
            </w:r>
          </w:p>
        </w:tc>
        <w:tc>
          <w:tcPr>
            <w:tcW w:w="2923" w:type="dxa"/>
            <w:vAlign w:val="center"/>
          </w:tcPr>
          <w:p>
            <w:pPr>
              <w:jc w:val="left"/>
              <w:rPr>
                <w:rFonts w:hint="default"/>
                <w:sz w:val="18"/>
                <w:szCs w:val="18"/>
                <w:vertAlign w:val="baseline"/>
                <w:lang w:val="en-US" w:eastAsia="zh-CN"/>
              </w:rPr>
            </w:pPr>
            <w:r>
              <w:rPr>
                <w:rFonts w:hint="default"/>
                <w:sz w:val="18"/>
                <w:szCs w:val="18"/>
                <w:vertAlign w:val="baseline"/>
                <w:lang w:val="en-US" w:eastAsia="zh-CN"/>
              </w:rPr>
              <w:t>住房和城乡建设部门：燃气经营监督执法检查</w:t>
            </w:r>
          </w:p>
          <w:p>
            <w:pPr>
              <w:jc w:val="left"/>
              <w:rPr>
                <w:rFonts w:hint="default"/>
                <w:sz w:val="18"/>
                <w:szCs w:val="18"/>
                <w:vertAlign w:val="baseline"/>
                <w:lang w:val="en-US" w:eastAsia="zh-CN"/>
              </w:rPr>
            </w:pPr>
            <w:r>
              <w:rPr>
                <w:rFonts w:hint="default"/>
                <w:sz w:val="18"/>
                <w:szCs w:val="18"/>
                <w:vertAlign w:val="baseline"/>
                <w:lang w:val="en-US" w:eastAsia="zh-CN"/>
              </w:rPr>
              <w:t>市场监管部门：特种设备生产、经营、使用单位和检验检测机构监督检查</w:t>
            </w:r>
          </w:p>
          <w:p>
            <w:pPr>
              <w:jc w:val="left"/>
              <w:rPr>
                <w:rFonts w:hint="default"/>
                <w:sz w:val="18"/>
                <w:szCs w:val="18"/>
                <w:vertAlign w:val="baseline"/>
                <w:lang w:val="en-US" w:eastAsia="zh-CN"/>
              </w:rPr>
            </w:pPr>
            <w:r>
              <w:rPr>
                <w:rFonts w:hint="default"/>
                <w:sz w:val="18"/>
                <w:szCs w:val="18"/>
                <w:vertAlign w:val="baseline"/>
                <w:lang w:val="en-US" w:eastAsia="zh-CN"/>
              </w:rPr>
              <w:t>消防救援机构：消防安全检查</w:t>
            </w:r>
          </w:p>
        </w:tc>
        <w:tc>
          <w:tcPr>
            <w:tcW w:w="108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燃气经营企业</w:t>
            </w:r>
          </w:p>
        </w:tc>
        <w:tc>
          <w:tcPr>
            <w:tcW w:w="1245"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2024年1月-11月</w:t>
            </w:r>
          </w:p>
        </w:tc>
        <w:tc>
          <w:tcPr>
            <w:tcW w:w="96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3家</w:t>
            </w:r>
          </w:p>
        </w:tc>
        <w:tc>
          <w:tcPr>
            <w:tcW w:w="1817" w:type="dxa"/>
            <w:vAlign w:val="center"/>
          </w:tcPr>
          <w:p>
            <w:pPr>
              <w:jc w:val="both"/>
              <w:rPr>
                <w:rFonts w:hint="default"/>
                <w:sz w:val="18"/>
                <w:szCs w:val="18"/>
                <w:vertAlign w:val="baseline"/>
                <w:lang w:val="en-US" w:eastAsia="zh-CN"/>
              </w:rPr>
            </w:pPr>
            <w:r>
              <w:rPr>
                <w:rFonts w:hint="default"/>
                <w:sz w:val="18"/>
                <w:szCs w:val="18"/>
                <w:vertAlign w:val="baseline"/>
                <w:lang w:val="en-US" w:eastAsia="zh-CN"/>
              </w:rPr>
              <w:t>现场检查</w:t>
            </w:r>
          </w:p>
        </w:tc>
        <w:tc>
          <w:tcPr>
            <w:tcW w:w="99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县抽县检</w:t>
            </w:r>
          </w:p>
        </w:tc>
        <w:tc>
          <w:tcPr>
            <w:tcW w:w="480" w:type="dxa"/>
            <w:vAlign w:val="center"/>
          </w:tcPr>
          <w:p>
            <w:pPr>
              <w:jc w:val="center"/>
              <w:rPr>
                <w:rFonts w:hint="default"/>
                <w:sz w:val="18"/>
                <w:szCs w:val="18"/>
                <w:vertAlign w:val="baseline"/>
                <w:lang w:val="en-US" w:eastAsia="zh-CN"/>
              </w:rPr>
            </w:pPr>
          </w:p>
        </w:tc>
      </w:tr>
    </w:tbl>
    <w:p>
      <w:pPr>
        <w:rPr>
          <w:rFonts w:hint="default"/>
          <w:lang w:val="en-US" w:eastAsia="zh-CN"/>
        </w:rPr>
      </w:pPr>
    </w:p>
    <w:sectPr>
      <w:pgSz w:w="16838" w:h="11906" w:orient="landscape"/>
      <w:pgMar w:top="1134" w:right="1474" w:bottom="124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9.35pt;margin-top:754.05pt;height:144pt;width:144pt;mso-position-horizontal-relative:page;mso-position-vertical-relative:page;mso-wrap-style:none;z-index:251659264;mso-width-relative:page;mso-height-relative:page;" filled="f" stroked="f" coordsize="21600,21600" o:gfxdata="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Nd+t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DD7B6"/>
    <w:multiLevelType w:val="singleLevel"/>
    <w:tmpl w:val="FFDDD7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zg2NDhkMDEyNjA1MzI4ZmU4NTVjYTk3ZjVhZmUifQ=="/>
  </w:docVars>
  <w:rsids>
    <w:rsidRoot w:val="00E2777E"/>
    <w:rsid w:val="00093D6F"/>
    <w:rsid w:val="000C46D0"/>
    <w:rsid w:val="000E0841"/>
    <w:rsid w:val="002F4BCA"/>
    <w:rsid w:val="003014CE"/>
    <w:rsid w:val="0042296D"/>
    <w:rsid w:val="00433487"/>
    <w:rsid w:val="004A4A6F"/>
    <w:rsid w:val="005521E1"/>
    <w:rsid w:val="005C58FC"/>
    <w:rsid w:val="00613CB5"/>
    <w:rsid w:val="0067397D"/>
    <w:rsid w:val="0073310D"/>
    <w:rsid w:val="008445BC"/>
    <w:rsid w:val="00852D7E"/>
    <w:rsid w:val="008A1FAE"/>
    <w:rsid w:val="008E0B5F"/>
    <w:rsid w:val="00952215"/>
    <w:rsid w:val="00A34296"/>
    <w:rsid w:val="00A61CF4"/>
    <w:rsid w:val="00AD5137"/>
    <w:rsid w:val="00B52FE3"/>
    <w:rsid w:val="00BF44F4"/>
    <w:rsid w:val="00C21581"/>
    <w:rsid w:val="00C312DF"/>
    <w:rsid w:val="00C40BFE"/>
    <w:rsid w:val="00D25AB9"/>
    <w:rsid w:val="00D34EF9"/>
    <w:rsid w:val="00DE5D3A"/>
    <w:rsid w:val="00DF0176"/>
    <w:rsid w:val="00E2777E"/>
    <w:rsid w:val="00E70FBA"/>
    <w:rsid w:val="00EE5177"/>
    <w:rsid w:val="00F146D7"/>
    <w:rsid w:val="010A49D3"/>
    <w:rsid w:val="015011CA"/>
    <w:rsid w:val="01C756B0"/>
    <w:rsid w:val="02D52C69"/>
    <w:rsid w:val="03675210"/>
    <w:rsid w:val="03874E96"/>
    <w:rsid w:val="0394484F"/>
    <w:rsid w:val="03F25B43"/>
    <w:rsid w:val="043C4B78"/>
    <w:rsid w:val="04886B6D"/>
    <w:rsid w:val="04953F2A"/>
    <w:rsid w:val="04A7202E"/>
    <w:rsid w:val="04CA132C"/>
    <w:rsid w:val="04D26CE1"/>
    <w:rsid w:val="056D5AD6"/>
    <w:rsid w:val="056F7EB5"/>
    <w:rsid w:val="063F4709"/>
    <w:rsid w:val="06A0628B"/>
    <w:rsid w:val="06E72CF1"/>
    <w:rsid w:val="07271D78"/>
    <w:rsid w:val="07913C72"/>
    <w:rsid w:val="089C0185"/>
    <w:rsid w:val="08A546D2"/>
    <w:rsid w:val="094539D3"/>
    <w:rsid w:val="094B19FC"/>
    <w:rsid w:val="098A642A"/>
    <w:rsid w:val="0A2B43AB"/>
    <w:rsid w:val="0ACA76A9"/>
    <w:rsid w:val="0AD704D8"/>
    <w:rsid w:val="0AF44D2E"/>
    <w:rsid w:val="0AFB48DD"/>
    <w:rsid w:val="0B602ABE"/>
    <w:rsid w:val="0CBC44A7"/>
    <w:rsid w:val="0D156A6E"/>
    <w:rsid w:val="0DB046F7"/>
    <w:rsid w:val="0F6128F4"/>
    <w:rsid w:val="0F8A32E3"/>
    <w:rsid w:val="0FAE70B0"/>
    <w:rsid w:val="1024214D"/>
    <w:rsid w:val="10C952B6"/>
    <w:rsid w:val="11C30DB3"/>
    <w:rsid w:val="11E35020"/>
    <w:rsid w:val="11EF34D9"/>
    <w:rsid w:val="11F82DEF"/>
    <w:rsid w:val="12EB7186"/>
    <w:rsid w:val="13361CF1"/>
    <w:rsid w:val="134D1099"/>
    <w:rsid w:val="13613A3C"/>
    <w:rsid w:val="13970D15"/>
    <w:rsid w:val="13973D65"/>
    <w:rsid w:val="13AE72A0"/>
    <w:rsid w:val="13C4788D"/>
    <w:rsid w:val="13F13093"/>
    <w:rsid w:val="141D0E6B"/>
    <w:rsid w:val="143C06FE"/>
    <w:rsid w:val="149B7D16"/>
    <w:rsid w:val="15583184"/>
    <w:rsid w:val="15A913DB"/>
    <w:rsid w:val="161E7A84"/>
    <w:rsid w:val="166463CB"/>
    <w:rsid w:val="16E13BB4"/>
    <w:rsid w:val="171B73F0"/>
    <w:rsid w:val="17C7014C"/>
    <w:rsid w:val="17F06CEA"/>
    <w:rsid w:val="17FC35AE"/>
    <w:rsid w:val="18A13A71"/>
    <w:rsid w:val="197052C2"/>
    <w:rsid w:val="19A7642E"/>
    <w:rsid w:val="19AD4BCF"/>
    <w:rsid w:val="19B83E5C"/>
    <w:rsid w:val="1A0A28DB"/>
    <w:rsid w:val="1A185379"/>
    <w:rsid w:val="1A1D5281"/>
    <w:rsid w:val="1A2250C9"/>
    <w:rsid w:val="1A406E50"/>
    <w:rsid w:val="1AB54792"/>
    <w:rsid w:val="1B06193D"/>
    <w:rsid w:val="1B7B6A41"/>
    <w:rsid w:val="1B8F0757"/>
    <w:rsid w:val="1BD24E34"/>
    <w:rsid w:val="1BE56F24"/>
    <w:rsid w:val="1BFB742D"/>
    <w:rsid w:val="1CE83F37"/>
    <w:rsid w:val="1D530B42"/>
    <w:rsid w:val="1D5C7319"/>
    <w:rsid w:val="1D6B6CE4"/>
    <w:rsid w:val="1DF00E27"/>
    <w:rsid w:val="1E0C366E"/>
    <w:rsid w:val="1EE8221E"/>
    <w:rsid w:val="1FA262D2"/>
    <w:rsid w:val="1FF21383"/>
    <w:rsid w:val="207D6CC4"/>
    <w:rsid w:val="20812587"/>
    <w:rsid w:val="20B75CFD"/>
    <w:rsid w:val="213B34F6"/>
    <w:rsid w:val="21787ABA"/>
    <w:rsid w:val="21B63F3D"/>
    <w:rsid w:val="21E22812"/>
    <w:rsid w:val="22674CB8"/>
    <w:rsid w:val="22C673DF"/>
    <w:rsid w:val="22D06C26"/>
    <w:rsid w:val="22F82423"/>
    <w:rsid w:val="23033478"/>
    <w:rsid w:val="233C1B61"/>
    <w:rsid w:val="23522D0B"/>
    <w:rsid w:val="23E62B65"/>
    <w:rsid w:val="240F1FB1"/>
    <w:rsid w:val="25FC741D"/>
    <w:rsid w:val="261A19AF"/>
    <w:rsid w:val="269B5714"/>
    <w:rsid w:val="26B47F61"/>
    <w:rsid w:val="26BC0AED"/>
    <w:rsid w:val="27186D44"/>
    <w:rsid w:val="272036A3"/>
    <w:rsid w:val="272F3A10"/>
    <w:rsid w:val="27B27608"/>
    <w:rsid w:val="28333F67"/>
    <w:rsid w:val="28337122"/>
    <w:rsid w:val="2864023C"/>
    <w:rsid w:val="286C16BF"/>
    <w:rsid w:val="287538E0"/>
    <w:rsid w:val="28927D5D"/>
    <w:rsid w:val="29027A75"/>
    <w:rsid w:val="29210BBB"/>
    <w:rsid w:val="298C4D45"/>
    <w:rsid w:val="2AAE56CA"/>
    <w:rsid w:val="2AC93493"/>
    <w:rsid w:val="2B337109"/>
    <w:rsid w:val="2B671238"/>
    <w:rsid w:val="2BF45C95"/>
    <w:rsid w:val="2BFF24B7"/>
    <w:rsid w:val="2C5A7F29"/>
    <w:rsid w:val="2C6801C8"/>
    <w:rsid w:val="2D7E2FF2"/>
    <w:rsid w:val="2DE43D10"/>
    <w:rsid w:val="2E007C04"/>
    <w:rsid w:val="2EA70BFE"/>
    <w:rsid w:val="2EEC4F3A"/>
    <w:rsid w:val="2FA73A3C"/>
    <w:rsid w:val="2FAA07DA"/>
    <w:rsid w:val="2FF51D15"/>
    <w:rsid w:val="30576ABD"/>
    <w:rsid w:val="31446C33"/>
    <w:rsid w:val="31F37FD0"/>
    <w:rsid w:val="31F71D67"/>
    <w:rsid w:val="31FF11C7"/>
    <w:rsid w:val="324E299B"/>
    <w:rsid w:val="33374C53"/>
    <w:rsid w:val="33A04F3F"/>
    <w:rsid w:val="33A81B34"/>
    <w:rsid w:val="34343145"/>
    <w:rsid w:val="343503C1"/>
    <w:rsid w:val="34357288"/>
    <w:rsid w:val="345D639F"/>
    <w:rsid w:val="36542381"/>
    <w:rsid w:val="365834FA"/>
    <w:rsid w:val="365C1C42"/>
    <w:rsid w:val="36E7284E"/>
    <w:rsid w:val="372F38C1"/>
    <w:rsid w:val="37593F74"/>
    <w:rsid w:val="379F6D57"/>
    <w:rsid w:val="38B14A73"/>
    <w:rsid w:val="38DB5B36"/>
    <w:rsid w:val="39235FB4"/>
    <w:rsid w:val="39CC5EE2"/>
    <w:rsid w:val="3A2855CF"/>
    <w:rsid w:val="3A384790"/>
    <w:rsid w:val="3B125454"/>
    <w:rsid w:val="3B153FE9"/>
    <w:rsid w:val="3B35328E"/>
    <w:rsid w:val="3BD2170D"/>
    <w:rsid w:val="3BD65C9A"/>
    <w:rsid w:val="3C1B78F3"/>
    <w:rsid w:val="3C97031D"/>
    <w:rsid w:val="3CDD6A53"/>
    <w:rsid w:val="3DBD51F5"/>
    <w:rsid w:val="3DEC6208"/>
    <w:rsid w:val="3DFD7FC2"/>
    <w:rsid w:val="3E745022"/>
    <w:rsid w:val="3F4E1408"/>
    <w:rsid w:val="3F5A2F66"/>
    <w:rsid w:val="3F814553"/>
    <w:rsid w:val="3F90133C"/>
    <w:rsid w:val="3FC449B8"/>
    <w:rsid w:val="4018013E"/>
    <w:rsid w:val="40685369"/>
    <w:rsid w:val="40810E86"/>
    <w:rsid w:val="409300DD"/>
    <w:rsid w:val="40A3536E"/>
    <w:rsid w:val="413519D6"/>
    <w:rsid w:val="4145726E"/>
    <w:rsid w:val="419D0F0A"/>
    <w:rsid w:val="41A718C2"/>
    <w:rsid w:val="42150DB6"/>
    <w:rsid w:val="42706A75"/>
    <w:rsid w:val="427F4B43"/>
    <w:rsid w:val="42E317B3"/>
    <w:rsid w:val="42F324E1"/>
    <w:rsid w:val="434F7BFF"/>
    <w:rsid w:val="43812CFB"/>
    <w:rsid w:val="4400278A"/>
    <w:rsid w:val="4429302C"/>
    <w:rsid w:val="451C150B"/>
    <w:rsid w:val="45971035"/>
    <w:rsid w:val="45B815FC"/>
    <w:rsid w:val="463531F4"/>
    <w:rsid w:val="469724FB"/>
    <w:rsid w:val="46A5264F"/>
    <w:rsid w:val="46C760B6"/>
    <w:rsid w:val="46EE75AD"/>
    <w:rsid w:val="47237DA5"/>
    <w:rsid w:val="473F4594"/>
    <w:rsid w:val="47547694"/>
    <w:rsid w:val="47630ED9"/>
    <w:rsid w:val="47DA3E56"/>
    <w:rsid w:val="48471EC6"/>
    <w:rsid w:val="484B66BB"/>
    <w:rsid w:val="48783EDD"/>
    <w:rsid w:val="48AB2BC4"/>
    <w:rsid w:val="48CD411E"/>
    <w:rsid w:val="49B456CF"/>
    <w:rsid w:val="49D36A6F"/>
    <w:rsid w:val="49DF673E"/>
    <w:rsid w:val="4A585633"/>
    <w:rsid w:val="4A702408"/>
    <w:rsid w:val="4AE266CD"/>
    <w:rsid w:val="4B1101DD"/>
    <w:rsid w:val="4B801BD5"/>
    <w:rsid w:val="4BC13ADB"/>
    <w:rsid w:val="4BDB60DB"/>
    <w:rsid w:val="4C74571C"/>
    <w:rsid w:val="4D194ACC"/>
    <w:rsid w:val="4DB57195"/>
    <w:rsid w:val="4E0E3B34"/>
    <w:rsid w:val="4E260599"/>
    <w:rsid w:val="4E377ED1"/>
    <w:rsid w:val="4E5A61CC"/>
    <w:rsid w:val="4E6742F2"/>
    <w:rsid w:val="4E8627D5"/>
    <w:rsid w:val="4EB373FB"/>
    <w:rsid w:val="4ECE30DA"/>
    <w:rsid w:val="4ED97BCF"/>
    <w:rsid w:val="4F3008C9"/>
    <w:rsid w:val="4FD978A5"/>
    <w:rsid w:val="51254B04"/>
    <w:rsid w:val="51537595"/>
    <w:rsid w:val="51F952DE"/>
    <w:rsid w:val="52103A1A"/>
    <w:rsid w:val="5241388F"/>
    <w:rsid w:val="52421DF5"/>
    <w:rsid w:val="52D70C96"/>
    <w:rsid w:val="52E84BE0"/>
    <w:rsid w:val="52F7299E"/>
    <w:rsid w:val="532B087F"/>
    <w:rsid w:val="53424C8B"/>
    <w:rsid w:val="537F6E82"/>
    <w:rsid w:val="539C6BCF"/>
    <w:rsid w:val="53E041CF"/>
    <w:rsid w:val="54022BB1"/>
    <w:rsid w:val="5422356A"/>
    <w:rsid w:val="54663C4B"/>
    <w:rsid w:val="547E0DB0"/>
    <w:rsid w:val="54A8429D"/>
    <w:rsid w:val="55391EF2"/>
    <w:rsid w:val="555D1628"/>
    <w:rsid w:val="556F794B"/>
    <w:rsid w:val="55DE6F4F"/>
    <w:rsid w:val="55E83C7C"/>
    <w:rsid w:val="55F57B78"/>
    <w:rsid w:val="5617003A"/>
    <w:rsid w:val="563523CD"/>
    <w:rsid w:val="56690D57"/>
    <w:rsid w:val="56C00B2B"/>
    <w:rsid w:val="56F110DE"/>
    <w:rsid w:val="57B21EE3"/>
    <w:rsid w:val="57BB47CB"/>
    <w:rsid w:val="5831229F"/>
    <w:rsid w:val="58932EF9"/>
    <w:rsid w:val="58A873CB"/>
    <w:rsid w:val="59985801"/>
    <w:rsid w:val="5A0009FD"/>
    <w:rsid w:val="5AC1418C"/>
    <w:rsid w:val="5B0377D0"/>
    <w:rsid w:val="5B094936"/>
    <w:rsid w:val="5C1C5FFA"/>
    <w:rsid w:val="5C6F3DDB"/>
    <w:rsid w:val="5CB05B24"/>
    <w:rsid w:val="5D181644"/>
    <w:rsid w:val="5D23492D"/>
    <w:rsid w:val="5D747C96"/>
    <w:rsid w:val="5D952573"/>
    <w:rsid w:val="5DDC0176"/>
    <w:rsid w:val="5DF6409F"/>
    <w:rsid w:val="5EB77D11"/>
    <w:rsid w:val="5EFB094D"/>
    <w:rsid w:val="5F48002E"/>
    <w:rsid w:val="5F570B97"/>
    <w:rsid w:val="5FBD0464"/>
    <w:rsid w:val="60026F0D"/>
    <w:rsid w:val="600706F1"/>
    <w:rsid w:val="600973E3"/>
    <w:rsid w:val="600D36BC"/>
    <w:rsid w:val="60152689"/>
    <w:rsid w:val="605D30F2"/>
    <w:rsid w:val="607D76D6"/>
    <w:rsid w:val="6085268E"/>
    <w:rsid w:val="60876202"/>
    <w:rsid w:val="60AC291E"/>
    <w:rsid w:val="617C5AF7"/>
    <w:rsid w:val="61B16BB1"/>
    <w:rsid w:val="61BC526A"/>
    <w:rsid w:val="61C82ED0"/>
    <w:rsid w:val="6210282A"/>
    <w:rsid w:val="621724BF"/>
    <w:rsid w:val="62DA50B9"/>
    <w:rsid w:val="62E63A43"/>
    <w:rsid w:val="63972AAE"/>
    <w:rsid w:val="6497722B"/>
    <w:rsid w:val="64B46385"/>
    <w:rsid w:val="64CF2612"/>
    <w:rsid w:val="64D31C19"/>
    <w:rsid w:val="662C5B24"/>
    <w:rsid w:val="66913EA2"/>
    <w:rsid w:val="66B968AE"/>
    <w:rsid w:val="67290A47"/>
    <w:rsid w:val="67A106E6"/>
    <w:rsid w:val="6884222C"/>
    <w:rsid w:val="688A6606"/>
    <w:rsid w:val="697107B1"/>
    <w:rsid w:val="69732DA1"/>
    <w:rsid w:val="69F02E83"/>
    <w:rsid w:val="6A203C85"/>
    <w:rsid w:val="6A28746B"/>
    <w:rsid w:val="6A366E69"/>
    <w:rsid w:val="6AF540BB"/>
    <w:rsid w:val="6BA95466"/>
    <w:rsid w:val="6BCD6090"/>
    <w:rsid w:val="6C122AD3"/>
    <w:rsid w:val="6C3E374C"/>
    <w:rsid w:val="6CCE0A68"/>
    <w:rsid w:val="6CF02CB7"/>
    <w:rsid w:val="6D6F4E18"/>
    <w:rsid w:val="6E01729E"/>
    <w:rsid w:val="6E026C0F"/>
    <w:rsid w:val="6EC820DF"/>
    <w:rsid w:val="6EE14A6A"/>
    <w:rsid w:val="6F034278"/>
    <w:rsid w:val="6F207DA8"/>
    <w:rsid w:val="6F240B92"/>
    <w:rsid w:val="6FA427F8"/>
    <w:rsid w:val="6FC92511"/>
    <w:rsid w:val="6FE74CA6"/>
    <w:rsid w:val="708426CE"/>
    <w:rsid w:val="708D1047"/>
    <w:rsid w:val="709F59AD"/>
    <w:rsid w:val="71337E95"/>
    <w:rsid w:val="714A1365"/>
    <w:rsid w:val="7201129E"/>
    <w:rsid w:val="72290BED"/>
    <w:rsid w:val="725701F4"/>
    <w:rsid w:val="72F9190E"/>
    <w:rsid w:val="73027298"/>
    <w:rsid w:val="731C4E45"/>
    <w:rsid w:val="738F0E77"/>
    <w:rsid w:val="73E049CC"/>
    <w:rsid w:val="73E80F5C"/>
    <w:rsid w:val="740C307A"/>
    <w:rsid w:val="743449A5"/>
    <w:rsid w:val="7439701B"/>
    <w:rsid w:val="748B7760"/>
    <w:rsid w:val="7499290D"/>
    <w:rsid w:val="749D2EF4"/>
    <w:rsid w:val="75DC55B2"/>
    <w:rsid w:val="765B6B8D"/>
    <w:rsid w:val="766F76C8"/>
    <w:rsid w:val="771454E4"/>
    <w:rsid w:val="774B29F6"/>
    <w:rsid w:val="78B844CF"/>
    <w:rsid w:val="78FE0E18"/>
    <w:rsid w:val="79180250"/>
    <w:rsid w:val="795F2E1C"/>
    <w:rsid w:val="79C82F42"/>
    <w:rsid w:val="7A5101B0"/>
    <w:rsid w:val="7A8B114A"/>
    <w:rsid w:val="7AAB79A2"/>
    <w:rsid w:val="7AFB04FD"/>
    <w:rsid w:val="7B0D24A2"/>
    <w:rsid w:val="7B5535D6"/>
    <w:rsid w:val="7B9A68B1"/>
    <w:rsid w:val="7BC57613"/>
    <w:rsid w:val="7C0D39A3"/>
    <w:rsid w:val="7CAD13FF"/>
    <w:rsid w:val="7D0F7C5A"/>
    <w:rsid w:val="7D553F15"/>
    <w:rsid w:val="7D5D020B"/>
    <w:rsid w:val="7D7B0B0F"/>
    <w:rsid w:val="7DB91D37"/>
    <w:rsid w:val="7E0A4438"/>
    <w:rsid w:val="7E7E26E4"/>
    <w:rsid w:val="7EAE35EF"/>
    <w:rsid w:val="7EE746F9"/>
    <w:rsid w:val="7F194C32"/>
    <w:rsid w:val="7F200B0E"/>
    <w:rsid w:val="7F5678C8"/>
    <w:rsid w:val="7F8808E6"/>
    <w:rsid w:val="7F917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Cambria"/>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1"/>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Char"/>
    <w:basedOn w:val="8"/>
    <w:link w:val="4"/>
    <w:qFormat/>
    <w:uiPriority w:val="0"/>
    <w:rPr>
      <w:rFonts w:ascii="Times New Roman" w:hAnsi="Times New Roman" w:eastAsia="宋体"/>
      <w:kern w:val="2"/>
      <w:sz w:val="18"/>
      <w:szCs w:val="18"/>
    </w:rPr>
  </w:style>
  <w:style w:type="character" w:customStyle="1" w:styleId="11">
    <w:name w:val="页脚 Char"/>
    <w:basedOn w:val="8"/>
    <w:link w:val="3"/>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89EC-9C06-4585-A171-646E98FC6D4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2756</Words>
  <Characters>2970</Characters>
  <Lines>11</Lines>
  <Paragraphs>3</Paragraphs>
  <TotalTime>7</TotalTime>
  <ScaleCrop>false</ScaleCrop>
  <LinksUpToDate>false</LinksUpToDate>
  <CharactersWithSpaces>2982</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2021-02-25T06:43:00Z</dcterms:created>
  <dc:creator>Administrator</dc:creator>
  <cp:lastModifiedBy>Administrator</cp:lastModifiedBy>
  <cp:lastPrinted>2021-12-16T09:40:00Z</cp:lastPrinted>
  <dcterms:modified xsi:type="dcterms:W3CDTF">2024-09-12T08:29:08Z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11F3AEA40305412EBECC2EDBAF0F108E</vt:lpwstr>
  </property>
</Properties>
</file>