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23" w:rsidRDefault="00D822CB">
      <w:pPr>
        <w:spacing w:line="6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附件2：</w:t>
      </w:r>
    </w:p>
    <w:p w:rsidR="004E6623" w:rsidRDefault="004E6623">
      <w:pPr>
        <w:widowControl/>
        <w:spacing w:line="360" w:lineRule="auto"/>
        <w:ind w:firstLineChars="200" w:firstLine="480"/>
        <w:rPr>
          <w:rFonts w:ascii="宋体" w:hAnsi="宋体" w:cs="宋体"/>
          <w:sz w:val="24"/>
          <w:szCs w:val="24"/>
        </w:rPr>
      </w:pPr>
    </w:p>
    <w:p w:rsidR="004E6623" w:rsidRDefault="00D822CB">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人大业务经费项目支出绩效评价报告</w:t>
      </w:r>
    </w:p>
    <w:p w:rsidR="004E6623" w:rsidRDefault="004E6623">
      <w:pPr>
        <w:widowControl/>
        <w:spacing w:line="360" w:lineRule="auto"/>
        <w:rPr>
          <w:rFonts w:ascii="宋体" w:hAnsi="宋体" w:cs="宋体"/>
          <w:sz w:val="24"/>
          <w:szCs w:val="24"/>
        </w:rPr>
      </w:pPr>
    </w:p>
    <w:p w:rsidR="004E6623" w:rsidRDefault="00D822CB">
      <w:pPr>
        <w:widowControl/>
        <w:spacing w:line="360" w:lineRule="auto"/>
        <w:rPr>
          <w:rFonts w:ascii="宋体" w:hAnsi="宋体" w:cs="宋体"/>
          <w:b/>
          <w:bCs/>
          <w:sz w:val="24"/>
          <w:szCs w:val="24"/>
        </w:rPr>
      </w:pPr>
      <w:r>
        <w:rPr>
          <w:rFonts w:ascii="宋体" w:hAnsi="宋体" w:cs="宋体" w:hint="eastAsia"/>
          <w:b/>
          <w:bCs/>
          <w:sz w:val="24"/>
          <w:szCs w:val="24"/>
        </w:rPr>
        <w:t>一、基本情况</w:t>
      </w:r>
    </w:p>
    <w:p w:rsidR="004E6623" w:rsidRDefault="00D822CB">
      <w:pPr>
        <w:widowControl/>
        <w:spacing w:line="360" w:lineRule="auto"/>
        <w:rPr>
          <w:rFonts w:ascii="宋体" w:hAnsi="宋体" w:cs="宋体"/>
          <w:sz w:val="24"/>
          <w:szCs w:val="24"/>
        </w:rPr>
      </w:pPr>
      <w:r>
        <w:rPr>
          <w:rFonts w:ascii="宋体" w:hAnsi="宋体" w:cs="宋体" w:hint="eastAsia"/>
          <w:sz w:val="24"/>
          <w:szCs w:val="24"/>
        </w:rPr>
        <w:t>（一）项目概况。</w:t>
      </w:r>
    </w:p>
    <w:p w:rsidR="004E6623" w:rsidRDefault="00D822CB">
      <w:pPr>
        <w:widowControl/>
        <w:spacing w:line="360" w:lineRule="auto"/>
        <w:rPr>
          <w:rFonts w:ascii="宋体" w:hAnsi="宋体" w:cs="宋体"/>
          <w:sz w:val="24"/>
          <w:szCs w:val="24"/>
        </w:rPr>
      </w:pPr>
      <w:r>
        <w:rPr>
          <w:rFonts w:ascii="宋体" w:hAnsi="宋体" w:cs="宋体" w:hint="eastAsia"/>
          <w:sz w:val="24"/>
          <w:szCs w:val="24"/>
        </w:rPr>
        <w:t>项目背景：</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根据昆明市五华区财政局《</w:t>
      </w:r>
      <w:r>
        <w:rPr>
          <w:rFonts w:ascii="宋体" w:hAnsi="宋体" w:cs="宋体" w:hint="eastAsia"/>
          <w:bCs/>
          <w:sz w:val="24"/>
          <w:szCs w:val="24"/>
        </w:rPr>
        <w:t>关于开展编制区级2023-2025年中期财政规划和2023年总部门预算的通知</w:t>
      </w:r>
      <w:r>
        <w:rPr>
          <w:rFonts w:ascii="宋体" w:hAnsi="宋体" w:cs="宋体" w:hint="eastAsia"/>
          <w:sz w:val="24"/>
          <w:szCs w:val="24"/>
        </w:rPr>
        <w:t>》，为进一步提高市人大信息化服务水平，以信息技术手段适应和凸显人大工作发展，发挥信息化对人大工作的带动和融合作用，保障区人大代表依法执行代表职务</w:t>
      </w:r>
    </w:p>
    <w:p w:rsidR="004E6623" w:rsidRDefault="00D822CB">
      <w:pPr>
        <w:widowControl/>
        <w:spacing w:line="360" w:lineRule="auto"/>
        <w:rPr>
          <w:rFonts w:ascii="宋体" w:hAnsi="宋体" w:cs="宋体"/>
          <w:sz w:val="24"/>
          <w:szCs w:val="24"/>
        </w:rPr>
      </w:pPr>
      <w:r>
        <w:rPr>
          <w:rFonts w:ascii="宋体" w:hAnsi="宋体" w:cs="宋体" w:hint="eastAsia"/>
          <w:sz w:val="24"/>
          <w:szCs w:val="24"/>
        </w:rPr>
        <w:t>主要内容及实施情况：</w:t>
      </w:r>
    </w:p>
    <w:p w:rsidR="004E6623" w:rsidRDefault="00D822CB">
      <w:pPr>
        <w:spacing w:line="360" w:lineRule="auto"/>
        <w:rPr>
          <w:rFonts w:ascii="宋体" w:hAnsi="宋体" w:cs="宋体"/>
          <w:sz w:val="24"/>
          <w:szCs w:val="24"/>
        </w:rPr>
      </w:pPr>
      <w:r>
        <w:rPr>
          <w:rFonts w:ascii="宋体" w:hAnsi="宋体" w:cs="宋体" w:hint="eastAsia"/>
          <w:sz w:val="24"/>
          <w:szCs w:val="24"/>
        </w:rPr>
        <w:t>2023年度人大业务经费。32.5万元。其中：</w:t>
      </w:r>
    </w:p>
    <w:p w:rsidR="004E6623" w:rsidRDefault="00D822CB">
      <w:pPr>
        <w:spacing w:line="360" w:lineRule="auto"/>
        <w:ind w:firstLineChars="196" w:firstLine="470"/>
        <w:rPr>
          <w:rFonts w:ascii="宋体" w:hAnsi="宋体" w:cs="宋体"/>
          <w:sz w:val="24"/>
          <w:szCs w:val="24"/>
        </w:rPr>
      </w:pPr>
      <w:r>
        <w:rPr>
          <w:rFonts w:ascii="宋体" w:hAnsi="宋体" w:cs="宋体" w:hint="eastAsia"/>
          <w:sz w:val="24"/>
          <w:szCs w:val="24"/>
        </w:rPr>
        <w:t>（1）、政府采购预算金额：19.6万元，实施金额：0万元</w:t>
      </w:r>
    </w:p>
    <w:p w:rsidR="004E6623" w:rsidRDefault="00D822CB">
      <w:pPr>
        <w:spacing w:line="360" w:lineRule="auto"/>
        <w:ind w:firstLineChars="396" w:firstLine="950"/>
        <w:rPr>
          <w:rFonts w:ascii="宋体" w:hAnsi="宋体" w:cs="宋体"/>
          <w:sz w:val="24"/>
          <w:szCs w:val="24"/>
        </w:rPr>
      </w:pPr>
      <w:r>
        <w:rPr>
          <w:rFonts w:ascii="宋体" w:hAnsi="宋体" w:cs="宋体" w:hint="eastAsia"/>
          <w:sz w:val="24"/>
          <w:szCs w:val="24"/>
        </w:rPr>
        <w:t>复印纸预算金额：100箱*200元=2万元，实施金额：0万元。</w:t>
      </w:r>
    </w:p>
    <w:p w:rsidR="004E6623" w:rsidRDefault="00D822CB">
      <w:pPr>
        <w:spacing w:line="360" w:lineRule="auto"/>
        <w:ind w:firstLineChars="400" w:firstLine="960"/>
        <w:rPr>
          <w:rFonts w:ascii="宋体" w:hAnsi="宋体" w:cs="宋体"/>
          <w:sz w:val="24"/>
          <w:szCs w:val="24"/>
        </w:rPr>
      </w:pPr>
      <w:r>
        <w:rPr>
          <w:rFonts w:ascii="宋体" w:hAnsi="宋体" w:cs="宋体" w:hint="eastAsia"/>
          <w:sz w:val="24"/>
          <w:szCs w:val="24"/>
        </w:rPr>
        <w:t>印刷费：人代会材料、人代会公报、常委会公报预计预算金额：15万元，实施金额：0万元。</w:t>
      </w:r>
    </w:p>
    <w:p w:rsidR="004E6623" w:rsidRDefault="00D822CB">
      <w:pPr>
        <w:spacing w:line="360" w:lineRule="auto"/>
        <w:ind w:firstLineChars="400" w:firstLine="960"/>
        <w:rPr>
          <w:rFonts w:ascii="宋体" w:hAnsi="宋体" w:cs="宋体"/>
          <w:sz w:val="24"/>
          <w:szCs w:val="24"/>
        </w:rPr>
      </w:pPr>
      <w:r>
        <w:rPr>
          <w:rFonts w:ascii="宋体" w:hAnsi="宋体" w:cs="宋体" w:hint="eastAsia"/>
          <w:sz w:val="24"/>
          <w:szCs w:val="24"/>
        </w:rPr>
        <w:t>讯飞智能全向麦克风M2预算金额：1600元*16台=2.6万元，实施金额：0万元。</w:t>
      </w:r>
    </w:p>
    <w:p w:rsidR="004E6623" w:rsidRDefault="00D822CB">
      <w:pPr>
        <w:numPr>
          <w:ilvl w:val="0"/>
          <w:numId w:val="1"/>
        </w:numPr>
        <w:spacing w:line="360" w:lineRule="auto"/>
        <w:ind w:firstLineChars="196" w:firstLine="470"/>
        <w:rPr>
          <w:rFonts w:ascii="宋体" w:hAnsi="宋体" w:cs="宋体"/>
          <w:sz w:val="24"/>
          <w:szCs w:val="24"/>
        </w:rPr>
      </w:pPr>
      <w:r>
        <w:rPr>
          <w:rFonts w:ascii="宋体" w:hAnsi="宋体" w:cs="宋体" w:hint="eastAsia"/>
          <w:sz w:val="24"/>
          <w:szCs w:val="24"/>
        </w:rPr>
        <w:t>、常委会会议表决系统维护费预算金额：1.5万元，实施金额：1.05万元。</w:t>
      </w:r>
    </w:p>
    <w:p w:rsidR="004E6623" w:rsidRDefault="00D822CB">
      <w:pPr>
        <w:numPr>
          <w:ilvl w:val="0"/>
          <w:numId w:val="1"/>
        </w:numPr>
        <w:spacing w:line="360" w:lineRule="auto"/>
        <w:ind w:firstLineChars="196" w:firstLine="470"/>
        <w:rPr>
          <w:rFonts w:ascii="宋体" w:hAnsi="宋体" w:cs="宋体"/>
          <w:sz w:val="24"/>
          <w:szCs w:val="24"/>
        </w:rPr>
      </w:pPr>
      <w:r>
        <w:rPr>
          <w:rFonts w:ascii="宋体" w:hAnsi="宋体" w:cs="宋体" w:hint="eastAsia"/>
          <w:sz w:val="24"/>
          <w:szCs w:val="24"/>
        </w:rPr>
        <w:t>、预算监督系统维护费1.9万元，实施金额：0万元</w:t>
      </w:r>
    </w:p>
    <w:p w:rsidR="004E6623" w:rsidRDefault="00D822CB">
      <w:pPr>
        <w:spacing w:line="360" w:lineRule="auto"/>
        <w:ind w:firstLineChars="196" w:firstLine="470"/>
        <w:rPr>
          <w:rFonts w:ascii="宋体" w:hAnsi="宋体" w:cs="宋体"/>
          <w:sz w:val="24"/>
          <w:szCs w:val="24"/>
        </w:rPr>
      </w:pPr>
      <w:r>
        <w:rPr>
          <w:rFonts w:ascii="宋体" w:hAnsi="宋体" w:cs="宋体" w:hint="eastAsia"/>
          <w:sz w:val="24"/>
          <w:szCs w:val="24"/>
        </w:rPr>
        <w:t>（4）、慰问挂钩联系贫困乡及低保人员、困难党员预算金额：0.5万元，实施金额：0万元</w:t>
      </w:r>
    </w:p>
    <w:p w:rsidR="004E6623" w:rsidRDefault="00D822CB">
      <w:pPr>
        <w:spacing w:line="360" w:lineRule="auto"/>
        <w:ind w:firstLineChars="196" w:firstLine="470"/>
        <w:rPr>
          <w:rFonts w:ascii="宋体" w:hAnsi="宋体" w:cs="宋体"/>
          <w:sz w:val="24"/>
          <w:szCs w:val="24"/>
        </w:rPr>
      </w:pPr>
      <w:r>
        <w:rPr>
          <w:rFonts w:ascii="宋体" w:hAnsi="宋体" w:cs="宋体" w:hint="eastAsia"/>
          <w:sz w:val="24"/>
          <w:szCs w:val="24"/>
        </w:rPr>
        <w:t>（5）、《云南日报》入刊费及党刊征订费预算金额：7万元，实施金额：3.5万元。</w:t>
      </w:r>
    </w:p>
    <w:p w:rsidR="004E6623" w:rsidRDefault="00D822CB">
      <w:pPr>
        <w:spacing w:line="360" w:lineRule="auto"/>
        <w:ind w:firstLineChars="196" w:firstLine="470"/>
        <w:rPr>
          <w:rFonts w:ascii="宋体" w:hAnsi="宋体" w:cs="宋体"/>
          <w:sz w:val="24"/>
          <w:szCs w:val="24"/>
        </w:rPr>
      </w:pPr>
      <w:r>
        <w:rPr>
          <w:rFonts w:ascii="宋体" w:hAnsi="宋体" w:cs="宋体" w:hint="eastAsia"/>
          <w:sz w:val="24"/>
          <w:szCs w:val="24"/>
        </w:rPr>
        <w:t>（6）、监司委专用服务系统维护费预算金额：2万元，实施金额：0万元</w:t>
      </w:r>
    </w:p>
    <w:p w:rsidR="004E6623" w:rsidRDefault="00D822CB">
      <w:pPr>
        <w:widowControl/>
        <w:spacing w:line="360" w:lineRule="auto"/>
        <w:rPr>
          <w:rFonts w:ascii="宋体" w:hAnsi="宋体" w:cs="宋体"/>
          <w:sz w:val="24"/>
          <w:szCs w:val="24"/>
        </w:rPr>
      </w:pPr>
      <w:r>
        <w:rPr>
          <w:rFonts w:ascii="宋体" w:hAnsi="宋体" w:cs="宋体" w:hint="eastAsia"/>
          <w:sz w:val="24"/>
          <w:szCs w:val="24"/>
        </w:rPr>
        <w:lastRenderedPageBreak/>
        <w:t>资金投入和使用情况：</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年初预算数32.5万元，预算确定数32.5万元，实际执行数4.55万元，执行率14%。</w:t>
      </w:r>
    </w:p>
    <w:p w:rsidR="004E6623" w:rsidRDefault="00D822CB">
      <w:pPr>
        <w:widowControl/>
        <w:numPr>
          <w:ilvl w:val="0"/>
          <w:numId w:val="2"/>
        </w:numPr>
        <w:spacing w:line="360" w:lineRule="auto"/>
        <w:rPr>
          <w:rFonts w:ascii="宋体" w:hAnsi="宋体" w:cs="宋体"/>
          <w:sz w:val="24"/>
          <w:szCs w:val="24"/>
        </w:rPr>
      </w:pPr>
      <w:r>
        <w:rPr>
          <w:rFonts w:ascii="宋体" w:hAnsi="宋体" w:cs="宋体" w:hint="eastAsia"/>
          <w:sz w:val="24"/>
          <w:szCs w:val="24"/>
        </w:rPr>
        <w:t>项目绩效目标。</w:t>
      </w:r>
    </w:p>
    <w:p w:rsidR="004E6623" w:rsidRDefault="00D822CB">
      <w:pPr>
        <w:widowControl/>
        <w:spacing w:line="360" w:lineRule="auto"/>
        <w:rPr>
          <w:rFonts w:ascii="宋体" w:hAnsi="宋体" w:cs="宋体"/>
          <w:sz w:val="24"/>
          <w:szCs w:val="24"/>
        </w:rPr>
      </w:pPr>
      <w:r>
        <w:rPr>
          <w:rFonts w:ascii="宋体" w:hAnsi="宋体" w:cs="宋体" w:hint="eastAsia"/>
          <w:sz w:val="24"/>
          <w:szCs w:val="24"/>
        </w:rPr>
        <w:t>总体目标：</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1. 依托昆明市“十三五”信息化发展规划，以“易操作、能交流、可共享、好推广”为目标，结合人大工作特点，以促进常委会和人大代表依法履职为中心，以提高应用水平为重点，以信息资源开发利用为主线，以基础设施为支撑，以标准规范和管理机制为保障，高位统筹推进全市人大系统信息化，以建设“互联网+人大”大数据平台为核心，在全市形成一套规范、高效、有分析、有反馈、可与全社会互动的人大信息化系统，使人大机关、代表和群众联系更加紧密，工作程序、流程更加规范，履职情况得到直观反映，数据信息得到深度挖掘，覆盖范围得到极大扩充，打造省内各州市人大工作样板，推动区域性国际中心城市建设。</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2.通过顶层设计，对市、县（市、区）、乡（镇、街道）三级进行统一规划，按照集约化、信息共享的方式进行构建，由市级搭建基础框架，县（市、区）级和乡（镇、街道）级接入使用，整合信息化建设的“中枢系统”、打通信息化建设的“末梢神经”，整体推进、补齐短板，实现三级人大机关工作和代表履职的一体化、与群众互动的有序化，形成全市一盘棋的“互联网+人大”工作格局，从而避免重复投资，综合基础数据，共享建设成果。</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3.紧扣人大工作，实现立法管理、规范性文件备案、预算实时监督、机关内部管理等工作的全流程信息化，增强数据融合、信息共享和业务协同水平，推动管理水平大幅提升。通过技术手段，开通选民意见、网上信访、立法意见征集、会议旁听报名等方式，利用网站、微信、微博和手机客户端等载体，多方式多渠道加强人大机关和人大代表与人民群众的联系。加强智能化的应用，方便人大代表进行履职，从而提升代表对人民群众、人大机关对代表、人大机关对人民群众的服务效率和服务水平。</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4.建立统一的“互联网+人大”大数据平台，大力推广子平台应用，以逐渐积累的用户信息、工作信息、群众反馈信息为基础，结合“智慧城市”项目可共享数据，</w:t>
      </w:r>
      <w:r>
        <w:rPr>
          <w:rFonts w:ascii="宋体" w:hAnsi="宋体" w:cs="宋体" w:hint="eastAsia"/>
          <w:sz w:val="24"/>
          <w:szCs w:val="24"/>
        </w:rPr>
        <w:lastRenderedPageBreak/>
        <w:t>形成数量巨大、类型全面、来源多样的“大数据库”。立足工作实际，采用关键信息采集抓取、全数据对比分析等一系列“大数据”处理技术，深度挖掘分析数据信息，最终形成各类可视化图文报表以及可供参考的工作落实情况、舆情热点信息、危机预警信息等决策建议信息，并通过用户偏好分析按需定向推介，使数据信息得到充分应用，体现“大数据”平台的参谋助手作用，进一步提高人大工作的信息化、智能化水平。</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5、采购办公设备提高工作效率；慰问挂钩联系贫困低保人员、困难党员，提高生活水平；加强换届选举宣传；维护预决算系统。项目效益情况分析。</w:t>
      </w:r>
    </w:p>
    <w:p w:rsidR="004E6623" w:rsidRDefault="00D822CB">
      <w:pPr>
        <w:widowControl/>
        <w:spacing w:line="360" w:lineRule="auto"/>
        <w:rPr>
          <w:rFonts w:ascii="宋体" w:hAnsi="宋体" w:cs="宋体"/>
          <w:sz w:val="24"/>
          <w:szCs w:val="24"/>
        </w:rPr>
      </w:pPr>
      <w:r>
        <w:rPr>
          <w:rFonts w:ascii="宋体" w:hAnsi="宋体" w:cs="宋体" w:hint="eastAsia"/>
          <w:sz w:val="24"/>
          <w:szCs w:val="24"/>
        </w:rPr>
        <w:t>阶段性目标：</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 xml:space="preserve">1、预算监督系统维护：2023年1月-12月; </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2、常委会会议表决系统维维（护）：2023年1月-12月;</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3、监司委专用服务系统维护：2023年1月-12月;</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4、《云南日报》入刊费及党刊征订：2023年12月前;</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5、政府采购：（1）复印纸：2023年6月；</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（2）印刷费：2023年1月-12月；</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 xml:space="preserve"> (3) 讯飞智能全向麦克风M2:2023年4月</w:t>
      </w:r>
      <w:r>
        <w:rPr>
          <w:rFonts w:ascii="宋体" w:hAnsi="宋体" w:cs="宋体" w:hint="eastAsia"/>
          <w:sz w:val="24"/>
          <w:szCs w:val="24"/>
        </w:rPr>
        <w:tab/>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6、慰问挂钩联系贫困乡及低保人员、困难党员：2023年1月-12月。</w:t>
      </w:r>
    </w:p>
    <w:p w:rsidR="004E6623" w:rsidRDefault="00D822CB">
      <w:pPr>
        <w:pStyle w:val="BodyTextFirstIndent21"/>
        <w:spacing w:beforeAutospacing="0" w:line="360" w:lineRule="auto"/>
        <w:ind w:leftChars="0" w:left="0" w:firstLineChars="0" w:firstLine="0"/>
        <w:rPr>
          <w:rFonts w:ascii="宋体" w:eastAsia="宋体" w:hAnsi="宋体" w:cs="宋体"/>
          <w:sz w:val="24"/>
          <w:szCs w:val="24"/>
        </w:rPr>
      </w:pPr>
      <w:r>
        <w:rPr>
          <w:rFonts w:ascii="宋体" w:eastAsia="宋体" w:hAnsi="宋体" w:cs="宋体" w:hint="eastAsia"/>
          <w:sz w:val="24"/>
          <w:szCs w:val="24"/>
        </w:rPr>
        <w:t>（三）项目组织管理情况。</w:t>
      </w:r>
    </w:p>
    <w:p w:rsidR="004E6623" w:rsidRDefault="00D822CB">
      <w:pPr>
        <w:spacing w:line="360" w:lineRule="auto"/>
        <w:rPr>
          <w:rFonts w:ascii="宋体" w:hAnsi="宋体" w:cs="宋体"/>
          <w:sz w:val="24"/>
          <w:szCs w:val="24"/>
        </w:rPr>
      </w:pPr>
      <w:r>
        <w:rPr>
          <w:rFonts w:ascii="宋体" w:hAnsi="宋体" w:cs="宋体" w:hint="eastAsia"/>
          <w:sz w:val="24"/>
          <w:szCs w:val="24"/>
        </w:rPr>
        <w:t xml:space="preserve"> 1.统一领导 五华区人大常委会是预算绩效管理的责任主体，办公室是预算绩效管理的管理主体。成立了预算绩效管理领导小组：</w:t>
      </w:r>
    </w:p>
    <w:p w:rsidR="004E6623" w:rsidRDefault="00D822CB">
      <w:pPr>
        <w:spacing w:line="360" w:lineRule="auto"/>
        <w:ind w:firstLineChars="300" w:firstLine="720"/>
        <w:rPr>
          <w:rFonts w:ascii="宋体" w:hAnsi="宋体" w:cs="宋体"/>
          <w:sz w:val="24"/>
          <w:szCs w:val="24"/>
        </w:rPr>
      </w:pPr>
      <w:r>
        <w:rPr>
          <w:rFonts w:ascii="宋体" w:hAnsi="宋体" w:cs="宋体" w:hint="eastAsia"/>
          <w:sz w:val="24"/>
          <w:szCs w:val="24"/>
        </w:rPr>
        <w:t>组   长：杨丽卉     办公室主任</w:t>
      </w:r>
    </w:p>
    <w:p w:rsidR="004E6623" w:rsidRDefault="00D822CB">
      <w:pPr>
        <w:spacing w:line="360" w:lineRule="auto"/>
        <w:rPr>
          <w:rFonts w:ascii="宋体" w:hAnsi="宋体" w:cs="宋体"/>
          <w:sz w:val="24"/>
          <w:szCs w:val="24"/>
        </w:rPr>
      </w:pPr>
      <w:r>
        <w:rPr>
          <w:rFonts w:ascii="宋体" w:hAnsi="宋体" w:cs="宋体" w:hint="eastAsia"/>
          <w:sz w:val="24"/>
          <w:szCs w:val="24"/>
        </w:rPr>
        <w:t xml:space="preserve">      副组长： 李昌东     办公室副主任</w:t>
      </w:r>
    </w:p>
    <w:p w:rsidR="004E6623" w:rsidRDefault="00D822CB">
      <w:pPr>
        <w:spacing w:line="360" w:lineRule="auto"/>
        <w:rPr>
          <w:rFonts w:ascii="宋体" w:hAnsi="宋体" w:cs="宋体"/>
          <w:sz w:val="24"/>
          <w:szCs w:val="24"/>
        </w:rPr>
      </w:pPr>
      <w:r>
        <w:rPr>
          <w:rFonts w:ascii="宋体" w:hAnsi="宋体" w:cs="宋体" w:hint="eastAsia"/>
          <w:sz w:val="24"/>
          <w:szCs w:val="24"/>
        </w:rPr>
        <w:t xml:space="preserve">      成   员：钟丽       办公室出纳</w:t>
      </w:r>
    </w:p>
    <w:p w:rsidR="004E6623" w:rsidRDefault="00D822CB">
      <w:pPr>
        <w:spacing w:line="360" w:lineRule="auto"/>
        <w:rPr>
          <w:rFonts w:ascii="宋体" w:hAnsi="宋体" w:cs="宋体"/>
          <w:sz w:val="24"/>
          <w:szCs w:val="24"/>
        </w:rPr>
      </w:pPr>
      <w:r>
        <w:rPr>
          <w:rFonts w:ascii="宋体" w:hAnsi="宋体" w:cs="宋体" w:hint="eastAsia"/>
          <w:sz w:val="24"/>
          <w:szCs w:val="24"/>
        </w:rPr>
        <w:t xml:space="preserve">    负责制定本部门工作规划和规章制度，具体实施本部门预算绩效管理工作。 </w:t>
      </w:r>
    </w:p>
    <w:p w:rsidR="004E6623" w:rsidRDefault="00D822CB">
      <w:pPr>
        <w:pStyle w:val="a6"/>
        <w:spacing w:line="360" w:lineRule="auto"/>
        <w:jc w:val="left"/>
        <w:rPr>
          <w:rFonts w:ascii="宋体" w:hAnsi="宋体" w:cs="宋体"/>
          <w:szCs w:val="24"/>
        </w:rPr>
      </w:pPr>
      <w:r>
        <w:rPr>
          <w:rFonts w:ascii="宋体" w:hAnsi="宋体" w:cs="宋体" w:hint="eastAsia"/>
          <w:szCs w:val="24"/>
        </w:rPr>
        <w:t>2.科学规范，公开透明。建立健全预算绩效管理运行机制，完善预算绩效管理制度体系、指标体系、评价体系，做到标准统数据准确、方法科学、程序透明、信息公开。</w:t>
      </w:r>
    </w:p>
    <w:p w:rsidR="004E6623" w:rsidRDefault="00D822CB">
      <w:pPr>
        <w:widowControl/>
        <w:spacing w:line="360" w:lineRule="auto"/>
        <w:rPr>
          <w:rFonts w:ascii="宋体" w:hAnsi="宋体" w:cs="宋体"/>
          <w:b/>
          <w:bCs/>
          <w:sz w:val="24"/>
          <w:szCs w:val="24"/>
        </w:rPr>
      </w:pPr>
      <w:r>
        <w:rPr>
          <w:rFonts w:ascii="宋体" w:hAnsi="宋体" w:cs="宋体" w:hint="eastAsia"/>
          <w:b/>
          <w:bCs/>
          <w:sz w:val="24"/>
          <w:szCs w:val="24"/>
        </w:rPr>
        <w:t>二、绩效评价工作开展情况</w:t>
      </w:r>
    </w:p>
    <w:p w:rsidR="004E6623" w:rsidRDefault="00D822CB">
      <w:pPr>
        <w:widowControl/>
        <w:spacing w:line="360" w:lineRule="auto"/>
        <w:rPr>
          <w:rFonts w:ascii="宋体" w:hAnsi="宋体" w:cs="宋体"/>
          <w:sz w:val="24"/>
          <w:szCs w:val="24"/>
        </w:rPr>
      </w:pPr>
      <w:r>
        <w:rPr>
          <w:rFonts w:ascii="宋体" w:hAnsi="宋体" w:cs="宋体" w:hint="eastAsia"/>
          <w:sz w:val="24"/>
          <w:szCs w:val="24"/>
        </w:rPr>
        <w:lastRenderedPageBreak/>
        <w:t>（一）绩效评价目的、对象和范围。</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通过收集基本情况、预算制定与明细、中长期规划目标及组织架构等信息、资源配置的合理性及中长期规划目标完成与履职情况，总结经验做法，找出预算绩效管理中的薄弱环节，提出改进建议，提高财政资金的使用效益。绩效评价的对象为昆明市五华区人民代表大会常务委员会，评价的时间段为2023年1月-12月。</w:t>
      </w:r>
    </w:p>
    <w:p w:rsidR="004E6623" w:rsidRDefault="004E6623">
      <w:pPr>
        <w:widowControl/>
        <w:spacing w:line="360" w:lineRule="auto"/>
        <w:ind w:firstLineChars="200" w:firstLine="480"/>
        <w:rPr>
          <w:rFonts w:ascii="宋体" w:hAnsi="宋体" w:cs="宋体"/>
          <w:sz w:val="24"/>
          <w:szCs w:val="24"/>
        </w:rPr>
      </w:pPr>
    </w:p>
    <w:p w:rsidR="004E6623" w:rsidRDefault="00D822CB">
      <w:pPr>
        <w:widowControl/>
        <w:spacing w:line="360" w:lineRule="auto"/>
        <w:rPr>
          <w:rFonts w:ascii="宋体" w:hAnsi="宋体" w:cs="宋体"/>
          <w:sz w:val="24"/>
          <w:szCs w:val="24"/>
        </w:rPr>
      </w:pPr>
      <w:r>
        <w:rPr>
          <w:rFonts w:ascii="宋体" w:hAnsi="宋体" w:cs="宋体" w:hint="eastAsia"/>
          <w:sz w:val="24"/>
          <w:szCs w:val="24"/>
        </w:rPr>
        <w:t>（二）绩效评价原则、依据、评价指标体系（附表说明）、评价方法、评价标准、评价抽样等。</w:t>
      </w:r>
    </w:p>
    <w:tbl>
      <w:tblPr>
        <w:tblW w:w="5828" w:type="pct"/>
        <w:tblInd w:w="-611" w:type="dxa"/>
        <w:tblLayout w:type="fixed"/>
        <w:tblLook w:val="04A0"/>
      </w:tblPr>
      <w:tblGrid>
        <w:gridCol w:w="1283"/>
        <w:gridCol w:w="968"/>
        <w:gridCol w:w="1437"/>
        <w:gridCol w:w="1793"/>
        <w:gridCol w:w="644"/>
        <w:gridCol w:w="868"/>
        <w:gridCol w:w="866"/>
        <w:gridCol w:w="638"/>
        <w:gridCol w:w="629"/>
        <w:gridCol w:w="754"/>
        <w:gridCol w:w="680"/>
      </w:tblGrid>
      <w:tr w:rsidR="004E6623">
        <w:trPr>
          <w:trHeight w:val="532"/>
        </w:trPr>
        <w:tc>
          <w:tcPr>
            <w:tcW w:w="10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93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sz w:val="20"/>
                <w:szCs w:val="20"/>
              </w:rPr>
              <w:t>人大业务经费</w:t>
            </w:r>
          </w:p>
        </w:tc>
      </w:tr>
      <w:tr w:rsidR="004E6623">
        <w:trPr>
          <w:trHeight w:val="689"/>
        </w:trPr>
        <w:tc>
          <w:tcPr>
            <w:tcW w:w="10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w:t>
            </w:r>
          </w:p>
        </w:tc>
        <w:tc>
          <w:tcPr>
            <w:tcW w:w="22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spacing w:line="360" w:lineRule="auto"/>
              <w:jc w:val="center"/>
              <w:rPr>
                <w:rFonts w:ascii="宋体" w:hAnsi="宋体" w:cs="宋体"/>
                <w:color w:val="000000"/>
                <w:sz w:val="20"/>
                <w:szCs w:val="20"/>
              </w:rPr>
            </w:pPr>
            <w:r>
              <w:rPr>
                <w:rFonts w:ascii="宋体" w:hAnsi="宋体" w:cs="宋体" w:hint="eastAsia"/>
                <w:sz w:val="20"/>
                <w:szCs w:val="20"/>
              </w:rPr>
              <w:t>昆明市五华区人民代表大会常务委员会</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9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sz w:val="20"/>
                <w:szCs w:val="20"/>
              </w:rPr>
              <w:t>昆明市五华区人民代表大会常务委员会</w:t>
            </w:r>
          </w:p>
        </w:tc>
      </w:tr>
      <w:tr w:rsidR="004E6623">
        <w:trPr>
          <w:trHeight w:val="689"/>
        </w:trPr>
        <w:tc>
          <w:tcPr>
            <w:tcW w:w="10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项目资金</w:t>
            </w:r>
          </w:p>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（万元）</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年初预算数</w:t>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全年预算数</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执行率</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4E6623">
        <w:trPr>
          <w:trHeight w:val="689"/>
        </w:trPr>
        <w:tc>
          <w:tcPr>
            <w:tcW w:w="106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sz w:val="20"/>
                <w:szCs w:val="20"/>
              </w:rPr>
              <w:t>32.5</w:t>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sz w:val="20"/>
                <w:szCs w:val="20"/>
              </w:rPr>
              <w:t>32.5</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sz w:val="20"/>
                <w:szCs w:val="20"/>
              </w:rPr>
              <w:t>4.55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r w:rsidR="004E6623">
        <w:trPr>
          <w:trHeight w:val="689"/>
        </w:trPr>
        <w:tc>
          <w:tcPr>
            <w:tcW w:w="106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其中：当年财政拨款</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sz w:val="20"/>
                <w:szCs w:val="20"/>
              </w:rPr>
              <w:t>32.5</w:t>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sz w:val="20"/>
                <w:szCs w:val="20"/>
              </w:rPr>
              <w:t>32.5</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sz w:val="20"/>
                <w:szCs w:val="20"/>
              </w:rPr>
              <w:t>4.55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rPr>
                <w:rFonts w:ascii="宋体" w:hAnsi="宋体" w:cs="宋体"/>
                <w:color w:val="000000"/>
                <w:sz w:val="20"/>
                <w:szCs w:val="20"/>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r>
      <w:tr w:rsidR="004E6623">
        <w:trPr>
          <w:trHeight w:val="689"/>
        </w:trPr>
        <w:tc>
          <w:tcPr>
            <w:tcW w:w="106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textAlignment w:val="center"/>
              <w:rPr>
                <w:rFonts w:ascii="宋体" w:hAnsi="宋体" w:cs="宋体"/>
                <w:color w:val="000000"/>
                <w:sz w:val="20"/>
                <w:szCs w:val="20"/>
              </w:rPr>
            </w:pPr>
            <w:r>
              <w:rPr>
                <w:rFonts w:ascii="宋体" w:hAnsi="宋体" w:cs="宋体" w:hint="eastAsia"/>
                <w:color w:val="000000"/>
                <w:kern w:val="0"/>
                <w:sz w:val="20"/>
                <w:szCs w:val="20"/>
              </w:rPr>
              <w:t>上年结转资金</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rPr>
                <w:rFonts w:ascii="宋体" w:hAnsi="宋体" w:cs="宋体"/>
                <w:color w:val="000000"/>
                <w:sz w:val="20"/>
                <w:szCs w:val="20"/>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r>
      <w:tr w:rsidR="004E6623">
        <w:trPr>
          <w:trHeight w:val="532"/>
        </w:trPr>
        <w:tc>
          <w:tcPr>
            <w:tcW w:w="106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textAlignment w:val="center"/>
              <w:rPr>
                <w:rFonts w:ascii="宋体" w:hAnsi="宋体" w:cs="宋体"/>
                <w:color w:val="000000"/>
                <w:sz w:val="20"/>
                <w:szCs w:val="20"/>
              </w:rPr>
            </w:pPr>
            <w:r>
              <w:rPr>
                <w:rFonts w:ascii="宋体" w:hAnsi="宋体" w:cs="宋体" w:hint="eastAsia"/>
                <w:color w:val="000000"/>
                <w:kern w:val="0"/>
                <w:sz w:val="20"/>
                <w:szCs w:val="20"/>
              </w:rPr>
              <w:t>其他资金</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rPr>
                <w:rFonts w:ascii="宋体" w:hAnsi="宋体" w:cs="宋体"/>
                <w:color w:val="000000"/>
                <w:sz w:val="20"/>
                <w:szCs w:val="20"/>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一</w:t>
            </w:r>
          </w:p>
        </w:tc>
      </w:tr>
      <w:tr w:rsidR="004E6623">
        <w:trPr>
          <w:trHeight w:val="467"/>
        </w:trPr>
        <w:tc>
          <w:tcPr>
            <w:tcW w:w="6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Style w:val="font21"/>
                <w:rFonts w:hint="default"/>
                <w:sz w:val="20"/>
                <w:szCs w:val="20"/>
              </w:rPr>
            </w:pPr>
            <w:r>
              <w:rPr>
                <w:rStyle w:val="font21"/>
                <w:rFonts w:hint="default"/>
                <w:sz w:val="20"/>
                <w:szCs w:val="20"/>
              </w:rPr>
              <w:t>年度</w:t>
            </w:r>
          </w:p>
          <w:p w:rsidR="004E6623" w:rsidRDefault="00D822CB">
            <w:pPr>
              <w:widowControl/>
              <w:spacing w:line="360" w:lineRule="auto"/>
              <w:jc w:val="center"/>
              <w:textAlignment w:val="center"/>
              <w:rPr>
                <w:rStyle w:val="font21"/>
                <w:rFonts w:hint="default"/>
                <w:sz w:val="20"/>
                <w:szCs w:val="20"/>
              </w:rPr>
            </w:pPr>
            <w:r>
              <w:rPr>
                <w:rStyle w:val="font21"/>
                <w:rFonts w:hint="default"/>
                <w:sz w:val="20"/>
                <w:szCs w:val="20"/>
              </w:rPr>
              <w:t>总体</w:t>
            </w:r>
          </w:p>
          <w:p w:rsidR="004E6623" w:rsidRDefault="00D822CB">
            <w:pPr>
              <w:widowControl/>
              <w:spacing w:line="360" w:lineRule="auto"/>
              <w:jc w:val="center"/>
              <w:textAlignment w:val="center"/>
              <w:rPr>
                <w:rFonts w:ascii="宋体" w:hAnsi="宋体" w:cs="宋体"/>
                <w:color w:val="000000"/>
                <w:sz w:val="20"/>
                <w:szCs w:val="20"/>
              </w:rPr>
            </w:pPr>
            <w:r>
              <w:rPr>
                <w:rStyle w:val="font21"/>
                <w:rFonts w:hint="default"/>
                <w:sz w:val="20"/>
                <w:szCs w:val="20"/>
              </w:rPr>
              <w:t>目标</w:t>
            </w:r>
          </w:p>
        </w:tc>
        <w:tc>
          <w:tcPr>
            <w:tcW w:w="270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预期目标</w:t>
            </w:r>
          </w:p>
        </w:tc>
        <w:tc>
          <w:tcPr>
            <w:tcW w:w="168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highlight w:val="cyan"/>
              </w:rPr>
            </w:pPr>
            <w:r w:rsidRPr="00C45B6C">
              <w:rPr>
                <w:rFonts w:ascii="宋体" w:hAnsi="宋体" w:cs="宋体" w:hint="eastAsia"/>
                <w:color w:val="000000"/>
                <w:kern w:val="0"/>
                <w:sz w:val="20"/>
                <w:szCs w:val="20"/>
              </w:rPr>
              <w:t>实际完成情况</w:t>
            </w:r>
          </w:p>
        </w:tc>
      </w:tr>
      <w:tr w:rsidR="004E6623">
        <w:trPr>
          <w:trHeight w:val="90"/>
        </w:trPr>
        <w:tc>
          <w:tcPr>
            <w:tcW w:w="6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270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pStyle w:val="a6"/>
              <w:spacing w:line="240" w:lineRule="auto"/>
              <w:jc w:val="left"/>
              <w:rPr>
                <w:rFonts w:ascii="宋体" w:hAnsi="宋体" w:cs="宋体"/>
                <w:sz w:val="20"/>
              </w:rPr>
            </w:pPr>
            <w:r>
              <w:rPr>
                <w:rFonts w:ascii="宋体" w:hAnsi="宋体" w:cs="宋体" w:hint="eastAsia"/>
                <w:sz w:val="20"/>
              </w:rPr>
              <w:t>1. 依托昆明市“十三五”信息化发展规划，以“易操作、能交流、可共享、好推广”为目标，结合人大工作特点，以促进常委会和人大代表依法履职为中心，以提高应用水平为重点，以信息资源开发利用为主线，以基础设施为支撑，以标准规范和管理机制为保障，高位统筹推进全市人大系统信息化，以建设“互联网+人大”大数据平台为核心，在全市形成一套规范、高效、有分析、有反馈、可与全社会互动的人大信息化系统，使人大机关、代表和群众联系更加紧密，工作程序、流程更加规范，履职情况得到直观反映，数据信息得到深度挖掘，覆盖范围得到极大扩充，打造省内各州市人大工作样板，推动区域性</w:t>
            </w:r>
            <w:r>
              <w:rPr>
                <w:rFonts w:ascii="宋体" w:hAnsi="宋体" w:cs="宋体" w:hint="eastAsia"/>
                <w:sz w:val="20"/>
              </w:rPr>
              <w:lastRenderedPageBreak/>
              <w:t>国际中心城市建设。</w:t>
            </w:r>
          </w:p>
          <w:p w:rsidR="004E6623" w:rsidRDefault="00D822CB">
            <w:pPr>
              <w:pStyle w:val="a6"/>
              <w:spacing w:line="240" w:lineRule="auto"/>
              <w:jc w:val="left"/>
              <w:rPr>
                <w:rFonts w:ascii="宋体" w:hAnsi="宋体" w:cs="宋体"/>
                <w:sz w:val="20"/>
              </w:rPr>
            </w:pPr>
            <w:r>
              <w:rPr>
                <w:rFonts w:ascii="宋体" w:hAnsi="宋体" w:cs="宋体" w:hint="eastAsia"/>
                <w:sz w:val="20"/>
              </w:rPr>
              <w:t>2.通过顶层设计，对市、县（市、区）、乡（镇、街道）三级进行统一规划，按照集约化、信息共享的方式进行构建，由市级搭建基础框架，县（市、区）级和乡（镇、街道）级接入使用，整合信息化建设的“中枢系统”、打通信息化建设的“末梢神经”，整体推进、补齐短板，实现三级人大机关工作和代表履职的一体化、与群众互动的有序化，形成全市一盘棋的“互联网+人大”工作格局，从而避免重复投资，综合基础数据，共享建设成果。</w:t>
            </w:r>
          </w:p>
          <w:p w:rsidR="004E6623" w:rsidRDefault="00D822CB">
            <w:pPr>
              <w:widowControl/>
              <w:rPr>
                <w:rFonts w:ascii="宋体" w:hAnsi="宋体" w:cs="宋体"/>
                <w:sz w:val="20"/>
                <w:szCs w:val="20"/>
              </w:rPr>
            </w:pPr>
            <w:r>
              <w:rPr>
                <w:rFonts w:ascii="宋体" w:hAnsi="宋体" w:cs="宋体" w:hint="eastAsia"/>
                <w:sz w:val="20"/>
                <w:szCs w:val="20"/>
              </w:rPr>
              <w:t>3.紧扣人大工作，实现立法管理、规范性文件备案、预算实时监督、机关内部管理等工作的全流程信息化，增强数据融合、信息共享和业务协同水平，推动管理水平大幅提升。通过技术手段，开通选民意见、网上信访、立法意见征集、会议旁听报名等方式，利用网站、微信、微博和手机客户端等载体，多方式多渠道加强人大机关和人大代表与人民群众的联系。加强智能化的应用，方便人大代表进行履职，从而提升代表对人民群众、人大机关对代表、人大机关对人民群众的服务效率和服务水平。</w:t>
            </w:r>
          </w:p>
          <w:p w:rsidR="004E6623" w:rsidRDefault="00D822CB">
            <w:pPr>
              <w:widowControl/>
              <w:rPr>
                <w:rFonts w:ascii="宋体" w:hAnsi="宋体" w:cs="宋体"/>
                <w:sz w:val="20"/>
                <w:szCs w:val="20"/>
              </w:rPr>
            </w:pPr>
            <w:r>
              <w:rPr>
                <w:rFonts w:ascii="宋体" w:hAnsi="宋体" w:cs="宋体" w:hint="eastAsia"/>
                <w:sz w:val="20"/>
                <w:szCs w:val="20"/>
              </w:rPr>
              <w:t>4.建立统一的“互联网+人大”大数据平台，大力推广子平台应用，以逐渐积累的用户信息、工作信息、群众反馈信息为基础，结合“智慧城市”项目可共享数据，形成数量巨大、类型全面、来源多样的“大数据库”。立足工作实际，采用关键信息采集抓取、全数据对比分析等一系列“大数据”处理技术，深度挖掘分析数据信息，最终形成各类可视化图文报表以及可供参考的工作落实情况、舆情热点信息、危机预警信息等决策建议信息，并通过用户偏好分析按需定向推介，使数据信息得到充分应用，体现“大数据”平台的参谋助手作用，进一步提高人大工作的信息化、智能化水平。</w:t>
            </w:r>
          </w:p>
          <w:p w:rsidR="004E6623" w:rsidRDefault="00D822CB">
            <w:pPr>
              <w:widowControl/>
              <w:rPr>
                <w:rFonts w:ascii="宋体" w:hAnsi="宋体" w:cs="宋体"/>
                <w:sz w:val="20"/>
                <w:szCs w:val="20"/>
              </w:rPr>
            </w:pPr>
            <w:r>
              <w:rPr>
                <w:rFonts w:ascii="宋体" w:hAnsi="宋体" w:cs="宋体" w:hint="eastAsia"/>
                <w:sz w:val="20"/>
                <w:szCs w:val="20"/>
              </w:rPr>
              <w:t>5.采购办公设备提高工作效率；慰问挂钩联系贫困低保人员、困难党员，提高生活水平；加强换届选举宣传；维护预决算系统。项目效益情况分析。</w:t>
            </w:r>
          </w:p>
        </w:tc>
        <w:tc>
          <w:tcPr>
            <w:tcW w:w="168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Pr="00C45B6C" w:rsidRDefault="00D822CB">
            <w:pPr>
              <w:pStyle w:val="a6"/>
              <w:jc w:val="both"/>
              <w:rPr>
                <w:rFonts w:ascii="宋体" w:hAnsi="宋体" w:cs="宋体"/>
                <w:sz w:val="20"/>
              </w:rPr>
            </w:pPr>
            <w:r w:rsidRPr="00C45B6C">
              <w:rPr>
                <w:rFonts w:ascii="宋体" w:hAnsi="宋体" w:cs="宋体" w:hint="eastAsia"/>
                <w:sz w:val="20"/>
              </w:rPr>
              <w:lastRenderedPageBreak/>
              <w:t>项目执行率14%，剩余未支出部分已被财政收回。</w:t>
            </w:r>
          </w:p>
          <w:p w:rsidR="004E6623" w:rsidRDefault="004E6623">
            <w:pPr>
              <w:widowControl/>
              <w:spacing w:line="360" w:lineRule="auto"/>
              <w:jc w:val="left"/>
              <w:textAlignment w:val="center"/>
              <w:rPr>
                <w:rFonts w:ascii="宋体" w:hAnsi="宋体" w:cs="宋体"/>
                <w:color w:val="000000"/>
                <w:sz w:val="20"/>
                <w:szCs w:val="20"/>
                <w:highlight w:val="cyan"/>
              </w:rPr>
            </w:pPr>
          </w:p>
        </w:tc>
      </w:tr>
      <w:tr w:rsidR="004E6623">
        <w:trPr>
          <w:trHeight w:val="750"/>
        </w:trPr>
        <w:tc>
          <w:tcPr>
            <w:tcW w:w="607" w:type="pct"/>
            <w:vMerge w:val="restart"/>
            <w:tcBorders>
              <w:top w:val="single" w:sz="4" w:space="0" w:color="000000"/>
              <w:left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Style w:val="font21"/>
                <w:rFonts w:hint="default"/>
                <w:sz w:val="20"/>
                <w:szCs w:val="20"/>
              </w:rPr>
            </w:pPr>
            <w:r>
              <w:rPr>
                <w:rStyle w:val="font21"/>
                <w:rFonts w:hint="default"/>
                <w:sz w:val="20"/>
                <w:szCs w:val="20"/>
              </w:rPr>
              <w:lastRenderedPageBreak/>
              <w:t>绩</w:t>
            </w:r>
          </w:p>
          <w:p w:rsidR="004E6623" w:rsidRDefault="00D822CB">
            <w:pPr>
              <w:widowControl/>
              <w:spacing w:line="360" w:lineRule="auto"/>
              <w:jc w:val="center"/>
              <w:textAlignment w:val="center"/>
              <w:rPr>
                <w:rStyle w:val="font21"/>
                <w:rFonts w:hint="default"/>
                <w:sz w:val="20"/>
                <w:szCs w:val="20"/>
              </w:rPr>
            </w:pPr>
            <w:r>
              <w:rPr>
                <w:rStyle w:val="font21"/>
                <w:rFonts w:hint="default"/>
                <w:sz w:val="20"/>
                <w:szCs w:val="20"/>
              </w:rPr>
              <w:t>效</w:t>
            </w:r>
          </w:p>
          <w:p w:rsidR="004E6623" w:rsidRDefault="00D822CB">
            <w:pPr>
              <w:widowControl/>
              <w:spacing w:line="360" w:lineRule="auto"/>
              <w:jc w:val="center"/>
              <w:textAlignment w:val="center"/>
              <w:rPr>
                <w:rStyle w:val="font21"/>
                <w:rFonts w:hint="default"/>
                <w:sz w:val="20"/>
                <w:szCs w:val="20"/>
              </w:rPr>
            </w:pPr>
            <w:r>
              <w:rPr>
                <w:rStyle w:val="font21"/>
                <w:rFonts w:hint="default"/>
                <w:sz w:val="20"/>
                <w:szCs w:val="20"/>
              </w:rPr>
              <w:t>指</w:t>
            </w:r>
          </w:p>
          <w:p w:rsidR="004E6623" w:rsidRDefault="00D822CB">
            <w:pPr>
              <w:widowControl/>
              <w:spacing w:line="360" w:lineRule="auto"/>
              <w:jc w:val="center"/>
              <w:textAlignment w:val="center"/>
              <w:rPr>
                <w:rFonts w:ascii="宋体" w:hAnsi="宋体" w:cs="宋体"/>
                <w:color w:val="000000"/>
                <w:sz w:val="20"/>
                <w:szCs w:val="20"/>
              </w:rPr>
            </w:pPr>
            <w:r>
              <w:rPr>
                <w:rStyle w:val="font21"/>
                <w:rFonts w:hint="default"/>
                <w:sz w:val="20"/>
                <w:szCs w:val="20"/>
              </w:rPr>
              <w:t>标</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一级指标</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年度</w:t>
            </w:r>
          </w:p>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指标值</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Pr="00C45B6C" w:rsidRDefault="00D822CB">
            <w:pPr>
              <w:widowControl/>
              <w:spacing w:line="360" w:lineRule="auto"/>
              <w:jc w:val="center"/>
              <w:textAlignment w:val="center"/>
              <w:rPr>
                <w:rFonts w:ascii="宋体" w:hAnsi="宋体" w:cs="宋体"/>
                <w:color w:val="000000"/>
                <w:kern w:val="0"/>
                <w:sz w:val="20"/>
                <w:szCs w:val="20"/>
              </w:rPr>
            </w:pPr>
            <w:r w:rsidRPr="00C45B6C">
              <w:rPr>
                <w:rFonts w:ascii="宋体" w:hAnsi="宋体" w:cs="宋体" w:hint="eastAsia"/>
                <w:color w:val="000000"/>
                <w:kern w:val="0"/>
                <w:sz w:val="20"/>
                <w:szCs w:val="20"/>
              </w:rPr>
              <w:t>实际</w:t>
            </w:r>
          </w:p>
          <w:p w:rsidR="004E6623" w:rsidRDefault="00D822CB">
            <w:pPr>
              <w:widowControl/>
              <w:spacing w:line="360" w:lineRule="auto"/>
              <w:jc w:val="center"/>
              <w:textAlignment w:val="center"/>
              <w:rPr>
                <w:rFonts w:ascii="宋体" w:hAnsi="宋体" w:cs="宋体"/>
                <w:color w:val="000000"/>
                <w:sz w:val="20"/>
                <w:szCs w:val="20"/>
              </w:rPr>
            </w:pPr>
            <w:r w:rsidRPr="00C45B6C">
              <w:rPr>
                <w:rFonts w:ascii="宋体" w:hAnsi="宋体" w:cs="宋体" w:hint="eastAsia"/>
                <w:color w:val="000000"/>
                <w:kern w:val="0"/>
                <w:sz w:val="20"/>
                <w:szCs w:val="20"/>
              </w:rPr>
              <w:t>完成值</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left"/>
              <w:textAlignment w:val="center"/>
              <w:rPr>
                <w:rFonts w:ascii="宋体" w:hAnsi="宋体" w:cs="宋体"/>
                <w:color w:val="000000"/>
                <w:sz w:val="20"/>
                <w:szCs w:val="20"/>
              </w:rPr>
            </w:pPr>
            <w:r w:rsidRPr="00C45B6C">
              <w:rPr>
                <w:rFonts w:ascii="宋体" w:hAnsi="宋体" w:cs="宋体" w:hint="eastAsia"/>
                <w:sz w:val="20"/>
                <w:szCs w:val="20"/>
              </w:rPr>
              <w:t>偏差原因分析及改进措施</w:t>
            </w:r>
          </w:p>
        </w:tc>
      </w:tr>
      <w:tr w:rsidR="004E6623">
        <w:trPr>
          <w:trHeight w:val="90"/>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Style w:val="font21"/>
                <w:rFonts w:hint="default"/>
                <w:sz w:val="20"/>
                <w:szCs w:val="20"/>
              </w:rPr>
              <w:t>产出指标（</w:t>
            </w:r>
            <w:r>
              <w:rPr>
                <w:rStyle w:val="font01"/>
                <w:rFonts w:ascii="宋体" w:hAnsi="宋体" w:cs="宋体" w:hint="eastAsia"/>
                <w:sz w:val="20"/>
                <w:szCs w:val="20"/>
              </w:rPr>
              <w:t>50</w:t>
            </w:r>
            <w:r>
              <w:rPr>
                <w:rStyle w:val="font11"/>
                <w:rFonts w:hint="eastAsia"/>
                <w:sz w:val="20"/>
                <w:szCs w:val="20"/>
              </w:rPr>
              <w:t>％</w:t>
            </w:r>
            <w:r>
              <w:rPr>
                <w:rStyle w:val="font21"/>
                <w:rFonts w:hint="default"/>
                <w:sz w:val="20"/>
                <w:szCs w:val="20"/>
              </w:rPr>
              <w:t>）</w:t>
            </w:r>
          </w:p>
        </w:tc>
        <w:tc>
          <w:tcPr>
            <w:tcW w:w="680" w:type="pct"/>
            <w:vMerge w:val="restart"/>
            <w:tcBorders>
              <w:top w:val="single" w:sz="4" w:space="0" w:color="000000"/>
              <w:left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常委会会议表决系统维护</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2次</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2次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90"/>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Style w:val="font21"/>
                <w:rFonts w:hint="default"/>
                <w:sz w:val="20"/>
                <w:szCs w:val="20"/>
              </w:rPr>
            </w:pPr>
          </w:p>
        </w:tc>
        <w:tc>
          <w:tcPr>
            <w:tcW w:w="680"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Fonts w:ascii="宋体" w:hAnsi="宋体" w:cs="宋体"/>
                <w:color w:val="000000"/>
                <w:kern w:val="0"/>
                <w:sz w:val="20"/>
                <w:szCs w:val="20"/>
              </w:rPr>
            </w:pP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预算监督系统维护</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2次</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0次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90"/>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Style w:val="font21"/>
                <w:rFonts w:hint="default"/>
                <w:sz w:val="20"/>
                <w:szCs w:val="20"/>
              </w:rPr>
            </w:pPr>
          </w:p>
        </w:tc>
        <w:tc>
          <w:tcPr>
            <w:tcW w:w="680"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Fonts w:ascii="宋体" w:hAnsi="宋体" w:cs="宋体"/>
                <w:color w:val="000000"/>
                <w:kern w:val="0"/>
                <w:sz w:val="20"/>
                <w:szCs w:val="20"/>
              </w:rPr>
            </w:pP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慰问挂钩联系贫困低保人员、困难党员</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2次</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C45B6C">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2</w:t>
            </w:r>
            <w:r w:rsidR="00D822CB">
              <w:rPr>
                <w:rFonts w:ascii="宋体" w:hAnsi="宋体" w:cs="宋体" w:hint="eastAsia"/>
                <w:color w:val="000000"/>
                <w:sz w:val="20"/>
                <w:szCs w:val="20"/>
              </w:rPr>
              <w:t>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90"/>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Style w:val="font21"/>
                <w:rFonts w:hint="default"/>
                <w:sz w:val="20"/>
                <w:szCs w:val="20"/>
              </w:rPr>
            </w:pPr>
          </w:p>
        </w:tc>
        <w:tc>
          <w:tcPr>
            <w:tcW w:w="680"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Fonts w:ascii="宋体" w:hAnsi="宋体" w:cs="宋体"/>
                <w:color w:val="000000"/>
                <w:kern w:val="0"/>
                <w:sz w:val="20"/>
                <w:szCs w:val="20"/>
              </w:rPr>
            </w:pP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印刷数量</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2次</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1次</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90"/>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Style w:val="font21"/>
                <w:rFonts w:hint="default"/>
                <w:sz w:val="20"/>
                <w:szCs w:val="20"/>
              </w:rPr>
            </w:pPr>
          </w:p>
        </w:tc>
        <w:tc>
          <w:tcPr>
            <w:tcW w:w="680" w:type="pct"/>
            <w:vMerge w:val="restart"/>
            <w:tcBorders>
              <w:top w:val="single" w:sz="4" w:space="0" w:color="000000"/>
              <w:left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复印纸验收标准</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合格</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C45B6C">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合格</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90"/>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Style w:val="font21"/>
                <w:rFonts w:hint="default"/>
                <w:sz w:val="20"/>
                <w:szCs w:val="20"/>
              </w:rPr>
            </w:pPr>
          </w:p>
        </w:tc>
        <w:tc>
          <w:tcPr>
            <w:tcW w:w="680"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Fonts w:ascii="宋体" w:hAnsi="宋体" w:cs="宋体"/>
                <w:color w:val="000000"/>
                <w:kern w:val="0"/>
                <w:sz w:val="20"/>
                <w:szCs w:val="20"/>
              </w:rPr>
            </w:pP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常委会会议表决系统维护完好度</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系统维护完好</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系统维护完好</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1028"/>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680" w:type="pct"/>
            <w:vMerge/>
            <w:tcBorders>
              <w:left w:val="single" w:sz="4" w:space="0" w:color="000000"/>
              <w:bottom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Fonts w:ascii="宋体" w:hAnsi="宋体" w:cs="宋体"/>
                <w:color w:val="000000"/>
                <w:sz w:val="20"/>
                <w:szCs w:val="20"/>
              </w:rPr>
            </w:pP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预算监督系统维护完好度</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系统维护完好</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C45B6C">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系统维护完好</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424"/>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时效指标</w:t>
            </w: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常委会会议表决系统维护时间</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全年</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全年</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512"/>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预算监督系统维护时间</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全年</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C45B6C">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全年</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467"/>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预算执行率</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802"/>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val="restart"/>
            <w:tcBorders>
              <w:top w:val="single" w:sz="4" w:space="0" w:color="000000"/>
              <w:left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Style w:val="font21"/>
                <w:rFonts w:hint="default"/>
                <w:sz w:val="20"/>
                <w:szCs w:val="20"/>
              </w:rPr>
              <w:t>效益指标（</w:t>
            </w:r>
            <w:r>
              <w:rPr>
                <w:rStyle w:val="font01"/>
                <w:rFonts w:ascii="宋体" w:hAnsi="宋体" w:cs="宋体" w:hint="eastAsia"/>
                <w:sz w:val="20"/>
                <w:szCs w:val="20"/>
              </w:rPr>
              <w:t>30</w:t>
            </w:r>
            <w:r>
              <w:rPr>
                <w:rStyle w:val="font21"/>
                <w:rFonts w:hint="default"/>
                <w:sz w:val="20"/>
                <w:szCs w:val="20"/>
              </w:rPr>
              <w:t>％）</w:t>
            </w:r>
          </w:p>
        </w:tc>
        <w:tc>
          <w:tcPr>
            <w:tcW w:w="680" w:type="pct"/>
            <w:vMerge w:val="restart"/>
            <w:tcBorders>
              <w:top w:val="single" w:sz="4" w:space="0" w:color="000000"/>
              <w:left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社会效益</w:t>
            </w:r>
          </w:p>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指标</w:t>
            </w: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办公人员提高办事效率</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显著</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显著</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10</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528"/>
        </w:trPr>
        <w:tc>
          <w:tcPr>
            <w:tcW w:w="607" w:type="pct"/>
            <w:vMerge/>
            <w:tcBorders>
              <w:left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Fonts w:ascii="宋体" w:hAnsi="宋体" w:cs="宋体"/>
                <w:color w:val="000000"/>
                <w:sz w:val="20"/>
                <w:szCs w:val="20"/>
              </w:rPr>
            </w:pPr>
          </w:p>
        </w:tc>
        <w:tc>
          <w:tcPr>
            <w:tcW w:w="680" w:type="pct"/>
            <w:vMerge/>
            <w:tcBorders>
              <w:left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Fonts w:ascii="宋体" w:hAnsi="宋体" w:cs="宋体"/>
                <w:color w:val="000000"/>
                <w:sz w:val="20"/>
                <w:szCs w:val="20"/>
              </w:rPr>
            </w:pP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sz w:val="20"/>
                <w:szCs w:val="20"/>
              </w:rPr>
              <w:t>扶贫对象生活水平提高</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显著</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C45B6C">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显著</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10</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974"/>
        </w:trPr>
        <w:tc>
          <w:tcPr>
            <w:tcW w:w="607" w:type="pct"/>
            <w:vMerge/>
            <w:tcBorders>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vMerge/>
            <w:tcBorders>
              <w:left w:val="single" w:sz="4" w:space="0" w:color="000000"/>
              <w:bottom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Style w:val="font21"/>
                <w:rFonts w:hint="default"/>
                <w:sz w:val="20"/>
                <w:szCs w:val="20"/>
              </w:rPr>
            </w:pPr>
          </w:p>
        </w:tc>
        <w:tc>
          <w:tcPr>
            <w:tcW w:w="680" w:type="pct"/>
            <w:vMerge/>
            <w:tcBorders>
              <w:left w:val="single" w:sz="4" w:space="0" w:color="000000"/>
              <w:bottom w:val="single" w:sz="4" w:space="0" w:color="000000"/>
              <w:right w:val="single" w:sz="4" w:space="0" w:color="000000"/>
            </w:tcBorders>
            <w:shd w:val="clear" w:color="auto" w:fill="auto"/>
            <w:vAlign w:val="center"/>
          </w:tcPr>
          <w:p w:rsidR="004E6623" w:rsidRDefault="004E6623">
            <w:pPr>
              <w:widowControl/>
              <w:spacing w:line="360" w:lineRule="auto"/>
              <w:jc w:val="center"/>
              <w:textAlignment w:val="center"/>
              <w:rPr>
                <w:rFonts w:ascii="宋体" w:hAnsi="宋体" w:cs="宋体"/>
                <w:color w:val="000000"/>
                <w:kern w:val="0"/>
                <w:sz w:val="20"/>
                <w:szCs w:val="20"/>
              </w:rPr>
            </w:pP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使用对象满意度</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sz w:val="20"/>
                <w:szCs w:val="20"/>
              </w:rPr>
              <w:t>95%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sz w:val="20"/>
                <w:szCs w:val="20"/>
              </w:rPr>
              <w:t>95%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r w:rsidR="004E6623">
        <w:trPr>
          <w:trHeight w:val="1315"/>
        </w:trPr>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Style w:val="font21"/>
                <w:rFonts w:hint="default"/>
                <w:sz w:val="20"/>
                <w:szCs w:val="20"/>
              </w:rPr>
            </w:pPr>
            <w:r>
              <w:rPr>
                <w:rStyle w:val="font21"/>
                <w:rFonts w:hint="default"/>
                <w:sz w:val="20"/>
                <w:szCs w:val="20"/>
              </w:rPr>
              <w:t>满意度</w:t>
            </w:r>
          </w:p>
          <w:p w:rsidR="004E6623" w:rsidRDefault="00D822CB">
            <w:pPr>
              <w:widowControl/>
              <w:spacing w:line="360" w:lineRule="auto"/>
              <w:jc w:val="center"/>
              <w:textAlignment w:val="center"/>
              <w:rPr>
                <w:rStyle w:val="font21"/>
                <w:rFonts w:hint="default"/>
                <w:sz w:val="20"/>
                <w:szCs w:val="20"/>
              </w:rPr>
            </w:pPr>
            <w:r>
              <w:rPr>
                <w:rStyle w:val="font21"/>
                <w:rFonts w:hint="default"/>
                <w:sz w:val="20"/>
                <w:szCs w:val="20"/>
              </w:rPr>
              <w:t>指标（</w:t>
            </w:r>
            <w:r>
              <w:rPr>
                <w:rStyle w:val="font01"/>
                <w:rFonts w:ascii="宋体" w:hAnsi="宋体" w:cs="宋体" w:hint="eastAsia"/>
                <w:sz w:val="20"/>
                <w:szCs w:val="20"/>
              </w:rPr>
              <w:t>1</w:t>
            </w:r>
            <w:r>
              <w:rPr>
                <w:rStyle w:val="font21"/>
                <w:rFonts w:hint="default"/>
                <w:sz w:val="20"/>
                <w:szCs w:val="20"/>
              </w:rPr>
              <w:t>0％）</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服务对象</w:t>
            </w:r>
          </w:p>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满意度指</w:t>
            </w:r>
          </w:p>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标</w:t>
            </w:r>
          </w:p>
        </w:tc>
        <w:tc>
          <w:tcPr>
            <w:tcW w:w="11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服务对象综合满意度</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6623" w:rsidRDefault="004E6623">
            <w:pPr>
              <w:spacing w:line="360" w:lineRule="auto"/>
              <w:jc w:val="center"/>
              <w:rPr>
                <w:rFonts w:ascii="宋体" w:hAnsi="宋体" w:cs="宋体"/>
                <w:color w:val="000000"/>
                <w:sz w:val="20"/>
                <w:szCs w:val="20"/>
              </w:rPr>
            </w:pPr>
          </w:p>
        </w:tc>
      </w:tr>
    </w:tbl>
    <w:p w:rsidR="004E6623" w:rsidRDefault="004E6623">
      <w:pPr>
        <w:widowControl/>
        <w:rPr>
          <w:rFonts w:ascii="宋体" w:hAnsi="宋体" w:cs="宋体"/>
          <w:sz w:val="24"/>
          <w:szCs w:val="24"/>
        </w:rPr>
      </w:pPr>
    </w:p>
    <w:p w:rsidR="004E6623" w:rsidRDefault="00D822CB">
      <w:pPr>
        <w:widowControl/>
        <w:rPr>
          <w:rFonts w:ascii="宋体" w:hAnsi="宋体" w:cs="宋体"/>
          <w:sz w:val="24"/>
          <w:szCs w:val="24"/>
        </w:rPr>
      </w:pPr>
      <w:r>
        <w:rPr>
          <w:rFonts w:ascii="宋体" w:hAnsi="宋体" w:cs="宋体" w:hint="eastAsia"/>
          <w:sz w:val="24"/>
          <w:szCs w:val="24"/>
        </w:rPr>
        <w:t>（三）绩效评价工作过程。</w:t>
      </w:r>
    </w:p>
    <w:p w:rsidR="004E6623" w:rsidRDefault="00D822CB">
      <w:pPr>
        <w:pStyle w:val="a6"/>
        <w:spacing w:line="360" w:lineRule="auto"/>
        <w:ind w:firstLineChars="200" w:firstLine="480"/>
        <w:jc w:val="both"/>
        <w:rPr>
          <w:rFonts w:ascii="宋体" w:hAnsi="宋体" w:cs="宋体"/>
          <w:szCs w:val="24"/>
        </w:rPr>
      </w:pPr>
      <w:r>
        <w:rPr>
          <w:rFonts w:ascii="宋体" w:hAnsi="宋体" w:cs="宋体" w:hint="eastAsia"/>
          <w:szCs w:val="24"/>
        </w:rPr>
        <w:t>确认当年度单位整体支出的绩效目标→梳理单位内部管理制度及存量资源→分析确定当年度单位整体支出的评价重点→构建绩效评价指标体系。</w:t>
      </w:r>
    </w:p>
    <w:p w:rsidR="004E6623" w:rsidRDefault="00D822CB">
      <w:pPr>
        <w:rPr>
          <w:rFonts w:ascii="宋体" w:hAnsi="宋体" w:cs="宋体"/>
          <w:sz w:val="24"/>
          <w:szCs w:val="24"/>
        </w:rPr>
      </w:pPr>
      <w:r>
        <w:rPr>
          <w:rFonts w:ascii="宋体" w:hAnsi="宋体" w:cs="宋体" w:hint="eastAsia"/>
          <w:sz w:val="24"/>
          <w:szCs w:val="24"/>
        </w:rPr>
        <w:br w:type="page"/>
      </w:r>
    </w:p>
    <w:p w:rsidR="004E6623" w:rsidRDefault="00D822CB">
      <w:pPr>
        <w:numPr>
          <w:ilvl w:val="0"/>
          <w:numId w:val="3"/>
        </w:numPr>
        <w:spacing w:line="360" w:lineRule="auto"/>
        <w:rPr>
          <w:rFonts w:ascii="宋体" w:hAnsi="宋体" w:cs="宋体"/>
          <w:b/>
          <w:bCs/>
          <w:sz w:val="24"/>
          <w:szCs w:val="24"/>
        </w:rPr>
      </w:pPr>
      <w:r>
        <w:rPr>
          <w:rFonts w:ascii="宋体" w:hAnsi="宋体" w:cs="宋体" w:hint="eastAsia"/>
          <w:b/>
          <w:bCs/>
          <w:sz w:val="24"/>
          <w:szCs w:val="24"/>
        </w:rPr>
        <w:lastRenderedPageBreak/>
        <w:t>综合评价情况及评价结论（附相关评分表）</w:t>
      </w:r>
    </w:p>
    <w:tbl>
      <w:tblPr>
        <w:tblpPr w:leftFromText="180" w:rightFromText="180" w:vertAnchor="text" w:horzAnchor="page" w:tblpXSpec="center" w:tblpY="258"/>
        <w:tblOverlap w:val="never"/>
        <w:tblW w:w="9019" w:type="dxa"/>
        <w:jc w:val="center"/>
        <w:tblLayout w:type="fixed"/>
        <w:tblLook w:val="04A0"/>
      </w:tblPr>
      <w:tblGrid>
        <w:gridCol w:w="1413"/>
        <w:gridCol w:w="748"/>
        <w:gridCol w:w="1597"/>
        <w:gridCol w:w="621"/>
        <w:gridCol w:w="2516"/>
        <w:gridCol w:w="1334"/>
        <w:gridCol w:w="790"/>
      </w:tblGrid>
      <w:tr w:rsidR="004E6623">
        <w:trPr>
          <w:trHeight w:hRule="exact" w:val="357"/>
          <w:jc w:val="center"/>
        </w:trPr>
        <w:tc>
          <w:tcPr>
            <w:tcW w:w="1413" w:type="dxa"/>
            <w:tcBorders>
              <w:top w:val="single" w:sz="4" w:space="0" w:color="000000"/>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一级指标</w:t>
            </w:r>
          </w:p>
        </w:tc>
        <w:tc>
          <w:tcPr>
            <w:tcW w:w="748" w:type="dxa"/>
            <w:tcBorders>
              <w:top w:val="single" w:sz="4" w:space="0" w:color="000000"/>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分值</w:t>
            </w:r>
          </w:p>
        </w:tc>
        <w:tc>
          <w:tcPr>
            <w:tcW w:w="1597"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二级指标</w:t>
            </w:r>
          </w:p>
        </w:tc>
        <w:tc>
          <w:tcPr>
            <w:tcW w:w="621"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分值</w:t>
            </w: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三级指标</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分值</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得分</w:t>
            </w:r>
          </w:p>
        </w:tc>
      </w:tr>
      <w:tr w:rsidR="004E6623">
        <w:trPr>
          <w:trHeight w:hRule="exact" w:val="357"/>
          <w:jc w:val="center"/>
        </w:trPr>
        <w:tc>
          <w:tcPr>
            <w:tcW w:w="1413" w:type="dxa"/>
            <w:vMerge w:val="restart"/>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决策</w:t>
            </w:r>
          </w:p>
          <w:p w:rsidR="004E6623" w:rsidRDefault="004E6623">
            <w:pPr>
              <w:autoSpaceDN w:val="0"/>
              <w:spacing w:line="360" w:lineRule="auto"/>
              <w:jc w:val="center"/>
              <w:textAlignment w:val="center"/>
              <w:rPr>
                <w:rFonts w:ascii="宋体" w:hAnsi="宋体" w:cs="宋体"/>
                <w:color w:val="000000"/>
                <w:sz w:val="20"/>
                <w:szCs w:val="20"/>
              </w:rPr>
            </w:pPr>
          </w:p>
        </w:tc>
        <w:tc>
          <w:tcPr>
            <w:tcW w:w="748" w:type="dxa"/>
            <w:vMerge w:val="restart"/>
            <w:tcBorders>
              <w:top w:val="single" w:sz="4" w:space="0" w:color="000000"/>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40</w:t>
            </w:r>
          </w:p>
        </w:tc>
        <w:tc>
          <w:tcPr>
            <w:tcW w:w="1597" w:type="dxa"/>
            <w:vMerge w:val="restart"/>
            <w:tcBorders>
              <w:top w:val="single" w:sz="4" w:space="0" w:color="000000"/>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项目立项</w:t>
            </w:r>
          </w:p>
        </w:tc>
        <w:tc>
          <w:tcPr>
            <w:tcW w:w="621" w:type="dxa"/>
            <w:vMerge w:val="restart"/>
            <w:tcBorders>
              <w:top w:val="single" w:sz="4" w:space="0" w:color="000000"/>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立项依据充分性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748" w:type="dxa"/>
            <w:vMerge/>
            <w:tcBorders>
              <w:left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1597" w:type="dxa"/>
            <w:vMerge/>
            <w:tcBorders>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vMerge/>
            <w:tcBorders>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立项程序规范性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748" w:type="dxa"/>
            <w:vMerge/>
            <w:tcBorders>
              <w:left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1597" w:type="dxa"/>
            <w:vMerge w:val="restart"/>
            <w:tcBorders>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绩效目标</w:t>
            </w:r>
          </w:p>
        </w:tc>
        <w:tc>
          <w:tcPr>
            <w:tcW w:w="621" w:type="dxa"/>
            <w:vMerge w:val="restart"/>
            <w:tcBorders>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绩效目标合理性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748" w:type="dxa"/>
            <w:vMerge/>
            <w:tcBorders>
              <w:left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1597" w:type="dxa"/>
            <w:vMerge/>
            <w:tcBorders>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vMerge/>
            <w:tcBorders>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绩效指标明确性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left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val="restart"/>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资金投入</w:t>
            </w:r>
          </w:p>
        </w:tc>
        <w:tc>
          <w:tcPr>
            <w:tcW w:w="621" w:type="dxa"/>
            <w:vMerge w:val="restart"/>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预算编制科学性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tcBorders>
              <w:top w:val="single" w:sz="4" w:space="0" w:color="000000"/>
              <w:left w:val="single" w:sz="4" w:space="0" w:color="000000"/>
              <w:bottom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left w:val="single" w:sz="4" w:space="0" w:color="000000"/>
              <w:bottom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资金分配合理性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val="restart"/>
            <w:tcBorders>
              <w:top w:val="single" w:sz="4" w:space="0" w:color="auto"/>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过程</w:t>
            </w:r>
          </w:p>
        </w:tc>
        <w:tc>
          <w:tcPr>
            <w:tcW w:w="748" w:type="dxa"/>
            <w:vMerge/>
            <w:tcBorders>
              <w:top w:val="single" w:sz="4" w:space="0" w:color="auto"/>
              <w:left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1597" w:type="dxa"/>
            <w:vMerge w:val="restart"/>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sz w:val="20"/>
                <w:szCs w:val="20"/>
              </w:rPr>
            </w:pPr>
            <w:r>
              <w:rPr>
                <w:rFonts w:ascii="宋体" w:hAnsi="宋体" w:cs="宋体" w:hint="eastAsia"/>
                <w:color w:val="000000"/>
                <w:sz w:val="20"/>
                <w:szCs w:val="20"/>
              </w:rPr>
              <w:t>资金管理</w:t>
            </w:r>
          </w:p>
        </w:tc>
        <w:tc>
          <w:tcPr>
            <w:tcW w:w="621" w:type="dxa"/>
            <w:vMerge w:val="restart"/>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资金到位率</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left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color w:val="000000"/>
                <w:sz w:val="20"/>
                <w:szCs w:val="20"/>
              </w:rPr>
            </w:pPr>
          </w:p>
        </w:tc>
        <w:tc>
          <w:tcPr>
            <w:tcW w:w="621"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预算执行率</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left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sz w:val="20"/>
                <w:szCs w:val="20"/>
              </w:rPr>
            </w:pPr>
            <w:r>
              <w:rPr>
                <w:rFonts w:ascii="宋体" w:hAnsi="宋体" w:cs="宋体" w:hint="eastAsia"/>
                <w:color w:val="000000"/>
                <w:sz w:val="20"/>
                <w:szCs w:val="20"/>
              </w:rPr>
              <w:t>资金管理</w:t>
            </w:r>
          </w:p>
        </w:tc>
        <w:tc>
          <w:tcPr>
            <w:tcW w:w="621"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资金使用合规性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left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val="restart"/>
            <w:tcBorders>
              <w:top w:val="single" w:sz="4" w:space="0" w:color="000000"/>
              <w:left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sz w:val="20"/>
                <w:szCs w:val="20"/>
              </w:rPr>
            </w:pPr>
            <w:r>
              <w:rPr>
                <w:rFonts w:ascii="宋体" w:hAnsi="宋体" w:cs="宋体" w:hint="eastAsia"/>
                <w:color w:val="000000"/>
                <w:sz w:val="20"/>
                <w:szCs w:val="20"/>
              </w:rPr>
              <w:t>组织实施</w:t>
            </w:r>
          </w:p>
        </w:tc>
        <w:tc>
          <w:tcPr>
            <w:tcW w:w="621" w:type="dxa"/>
            <w:vMerge w:val="restart"/>
            <w:tcBorders>
              <w:top w:val="single" w:sz="4" w:space="0" w:color="000000"/>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sz w:val="20"/>
                <w:szCs w:val="20"/>
              </w:rPr>
            </w:pPr>
            <w:r>
              <w:rPr>
                <w:rFonts w:ascii="宋体" w:hAnsi="宋体" w:cs="宋体" w:hint="eastAsia"/>
                <w:sz w:val="20"/>
                <w:szCs w:val="20"/>
              </w:rPr>
              <w:t>6</w:t>
            </w: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管理制度健全性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vMerge/>
            <w:tcBorders>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2516" w:type="dxa"/>
            <w:tcBorders>
              <w:top w:val="single" w:sz="4" w:space="0" w:color="000000"/>
              <w:left w:val="single" w:sz="4" w:space="0" w:color="000000"/>
              <w:bottom w:val="single" w:sz="4" w:space="0" w:color="auto"/>
              <w:right w:val="single" w:sz="4" w:space="0" w:color="000000"/>
            </w:tcBorders>
            <w:noWrap/>
            <w:vAlign w:val="center"/>
          </w:tcPr>
          <w:p w:rsidR="004E6623" w:rsidRDefault="00D822CB">
            <w:pPr>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制度执行有效性</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val="restart"/>
            <w:tcBorders>
              <w:top w:val="single" w:sz="4" w:space="0" w:color="000000"/>
              <w:left w:val="single" w:sz="4" w:space="0" w:color="auto"/>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产出</w:t>
            </w:r>
          </w:p>
        </w:tc>
        <w:tc>
          <w:tcPr>
            <w:tcW w:w="748" w:type="dxa"/>
            <w:vMerge w:val="restart"/>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60</w:t>
            </w:r>
          </w:p>
        </w:tc>
        <w:tc>
          <w:tcPr>
            <w:tcW w:w="1597" w:type="dxa"/>
            <w:vMerge w:val="restart"/>
            <w:tcBorders>
              <w:top w:val="single" w:sz="4" w:space="0" w:color="000000"/>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产出数量</w:t>
            </w:r>
          </w:p>
        </w:tc>
        <w:tc>
          <w:tcPr>
            <w:tcW w:w="621"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常委会会议表决系统维护</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tcBorders>
              <w:left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left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预算监督系统维护</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873"/>
          <w:jc w:val="center"/>
        </w:trPr>
        <w:tc>
          <w:tcPr>
            <w:tcW w:w="1413" w:type="dxa"/>
            <w:vMerge/>
            <w:tcBorders>
              <w:left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left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tcPr>
          <w:p w:rsidR="004E6623" w:rsidRDefault="00D822CB">
            <w:pPr>
              <w:widowControl/>
              <w:spacing w:line="360" w:lineRule="auto"/>
              <w:jc w:val="center"/>
              <w:textAlignment w:val="center"/>
              <w:rPr>
                <w:rFonts w:ascii="宋体" w:hAnsi="宋体" w:cs="宋体"/>
                <w:color w:val="000000"/>
                <w:sz w:val="22"/>
              </w:rPr>
            </w:pPr>
            <w:r>
              <w:rPr>
                <w:rFonts w:ascii="宋体" w:hAnsi="宋体" w:cs="宋体" w:hint="eastAsia"/>
                <w:color w:val="000000"/>
                <w:sz w:val="20"/>
                <w:szCs w:val="20"/>
              </w:rPr>
              <w:t>慰问挂钩联系贫困低保人员、困难党员</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tcBorders>
              <w:left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印刷数量</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tcBorders>
              <w:left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val="restart"/>
            <w:tcBorders>
              <w:top w:val="single" w:sz="4" w:space="0" w:color="000000"/>
              <w:left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产出质量</w:t>
            </w:r>
          </w:p>
        </w:tc>
        <w:tc>
          <w:tcPr>
            <w:tcW w:w="621"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复印纸验收标准</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889"/>
          <w:jc w:val="center"/>
        </w:trPr>
        <w:tc>
          <w:tcPr>
            <w:tcW w:w="1413" w:type="dxa"/>
            <w:vMerge/>
            <w:tcBorders>
              <w:left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left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kern w:val="0"/>
                <w:sz w:val="22"/>
              </w:rPr>
            </w:pPr>
            <w:r>
              <w:rPr>
                <w:rFonts w:ascii="宋体" w:hAnsi="宋体" w:cs="宋体" w:hint="eastAsia"/>
                <w:color w:val="000000"/>
                <w:kern w:val="0"/>
                <w:sz w:val="20"/>
                <w:szCs w:val="20"/>
              </w:rPr>
              <w:t>常委会会议表决系统维护完好度</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tcBorders>
              <w:left w:val="single" w:sz="4" w:space="0" w:color="auto"/>
              <w:bottom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000000"/>
              <w:bottom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left w:val="single" w:sz="4" w:space="0" w:color="000000"/>
              <w:bottom w:val="single" w:sz="4" w:space="0" w:color="auto"/>
              <w:right w:val="single" w:sz="4" w:space="0" w:color="000000"/>
            </w:tcBorders>
            <w:noWrap/>
            <w:vAlign w:val="center"/>
          </w:tcPr>
          <w:p w:rsidR="004E6623" w:rsidRDefault="004E6623">
            <w:pPr>
              <w:autoSpaceDN w:val="0"/>
              <w:spacing w:line="360" w:lineRule="auto"/>
              <w:jc w:val="center"/>
              <w:textAlignment w:val="center"/>
              <w:rPr>
                <w:rFonts w:ascii="宋体" w:hAnsi="宋体" w:cs="宋体"/>
                <w:color w:val="000000"/>
                <w:sz w:val="20"/>
                <w:szCs w:val="20"/>
              </w:rPr>
            </w:pPr>
          </w:p>
        </w:tc>
        <w:tc>
          <w:tcPr>
            <w:tcW w:w="621"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预算监督系统维护完好度</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881"/>
          <w:jc w:val="center"/>
        </w:trPr>
        <w:tc>
          <w:tcPr>
            <w:tcW w:w="1413" w:type="dxa"/>
            <w:vMerge/>
            <w:tcBorders>
              <w:top w:val="single" w:sz="4" w:space="0" w:color="auto"/>
              <w:left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auto"/>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val="restart"/>
            <w:tcBorders>
              <w:top w:val="single" w:sz="4" w:space="0" w:color="auto"/>
              <w:left w:val="single" w:sz="4" w:space="0" w:color="000000"/>
              <w:right w:val="single" w:sz="4" w:space="0" w:color="auto"/>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产出时效</w:t>
            </w:r>
          </w:p>
          <w:p w:rsidR="004E6623" w:rsidRDefault="004E6623">
            <w:pPr>
              <w:autoSpaceDN w:val="0"/>
              <w:spacing w:line="360" w:lineRule="auto"/>
              <w:jc w:val="center"/>
              <w:textAlignment w:val="center"/>
              <w:rPr>
                <w:rFonts w:ascii="宋体" w:hAnsi="宋体" w:cs="宋体"/>
                <w:sz w:val="20"/>
                <w:szCs w:val="20"/>
              </w:rPr>
            </w:pPr>
          </w:p>
        </w:tc>
        <w:tc>
          <w:tcPr>
            <w:tcW w:w="621" w:type="dxa"/>
            <w:tcBorders>
              <w:top w:val="single" w:sz="4" w:space="0" w:color="000000"/>
              <w:left w:val="single" w:sz="4" w:space="0" w:color="auto"/>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常委会会议表决系统维护时间</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r>
      <w:tr w:rsidR="004E6623">
        <w:trPr>
          <w:trHeight w:hRule="exact" w:val="357"/>
          <w:jc w:val="center"/>
        </w:trPr>
        <w:tc>
          <w:tcPr>
            <w:tcW w:w="1413" w:type="dxa"/>
            <w:vMerge/>
            <w:tcBorders>
              <w:left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vMerge/>
            <w:tcBorders>
              <w:left w:val="single" w:sz="4" w:space="0" w:color="000000"/>
              <w:bottom w:val="single" w:sz="4" w:space="0" w:color="000000"/>
              <w:right w:val="single" w:sz="4" w:space="0" w:color="auto"/>
            </w:tcBorders>
            <w:noWrap/>
            <w:vAlign w:val="center"/>
          </w:tcPr>
          <w:p w:rsidR="004E6623" w:rsidRDefault="004E6623">
            <w:pPr>
              <w:autoSpaceDN w:val="0"/>
              <w:spacing w:line="360" w:lineRule="auto"/>
              <w:jc w:val="center"/>
              <w:textAlignment w:val="center"/>
              <w:rPr>
                <w:rFonts w:ascii="宋体" w:hAnsi="宋体" w:cs="宋体"/>
                <w:sz w:val="20"/>
                <w:szCs w:val="20"/>
              </w:rPr>
            </w:pPr>
          </w:p>
        </w:tc>
        <w:tc>
          <w:tcPr>
            <w:tcW w:w="621" w:type="dxa"/>
            <w:tcBorders>
              <w:top w:val="single" w:sz="4" w:space="0" w:color="000000"/>
              <w:left w:val="single" w:sz="4" w:space="0" w:color="auto"/>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预算监督系统维护时间</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tcBorders>
              <w:left w:val="single" w:sz="4" w:space="0" w:color="auto"/>
              <w:bottom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000000"/>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60" w:lineRule="auto"/>
              <w:jc w:val="center"/>
              <w:textAlignment w:val="center"/>
              <w:rPr>
                <w:rFonts w:ascii="宋体" w:hAnsi="宋体" w:cs="宋体"/>
                <w:sz w:val="20"/>
                <w:szCs w:val="20"/>
              </w:rPr>
            </w:pPr>
            <w:r>
              <w:rPr>
                <w:rFonts w:ascii="宋体" w:hAnsi="宋体" w:cs="宋体" w:hint="eastAsia"/>
                <w:color w:val="000000"/>
                <w:sz w:val="20"/>
                <w:szCs w:val="20"/>
              </w:rPr>
              <w:t>产出成本</w:t>
            </w:r>
          </w:p>
        </w:tc>
        <w:tc>
          <w:tcPr>
            <w:tcW w:w="621" w:type="dxa"/>
            <w:tcBorders>
              <w:top w:val="single" w:sz="4" w:space="0" w:color="000000"/>
              <w:left w:val="single" w:sz="4" w:space="0" w:color="auto"/>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color w:val="000000"/>
                <w:sz w:val="20"/>
                <w:szCs w:val="20"/>
              </w:rPr>
              <w:t>4</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预算执行率</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2</w:t>
            </w:r>
          </w:p>
        </w:tc>
      </w:tr>
      <w:tr w:rsidR="004E6623">
        <w:trPr>
          <w:trHeight w:hRule="exact" w:val="357"/>
          <w:jc w:val="center"/>
        </w:trPr>
        <w:tc>
          <w:tcPr>
            <w:tcW w:w="1413" w:type="dxa"/>
            <w:vMerge w:val="restart"/>
            <w:tcBorders>
              <w:top w:val="single" w:sz="4" w:space="0" w:color="auto"/>
              <w:left w:val="single" w:sz="4" w:space="0" w:color="auto"/>
              <w:bottom w:val="single" w:sz="4" w:space="0" w:color="auto"/>
              <w:right w:val="single" w:sz="4" w:space="0" w:color="auto"/>
            </w:tcBorders>
            <w:noWrap/>
            <w:vAlign w:val="center"/>
          </w:tcPr>
          <w:p w:rsidR="004E6623" w:rsidRDefault="00D822CB">
            <w:pPr>
              <w:spacing w:line="360" w:lineRule="auto"/>
              <w:jc w:val="center"/>
              <w:rPr>
                <w:rFonts w:ascii="宋体" w:hAnsi="宋体" w:cs="宋体"/>
                <w:sz w:val="20"/>
                <w:szCs w:val="20"/>
              </w:rPr>
            </w:pPr>
            <w:r>
              <w:rPr>
                <w:rFonts w:ascii="宋体" w:hAnsi="宋体" w:cs="宋体" w:hint="eastAsia"/>
                <w:sz w:val="20"/>
                <w:szCs w:val="20"/>
              </w:rPr>
              <w:t>效益</w:t>
            </w:r>
          </w:p>
        </w:tc>
        <w:tc>
          <w:tcPr>
            <w:tcW w:w="748" w:type="dxa"/>
            <w:vMerge/>
            <w:tcBorders>
              <w:top w:val="single" w:sz="4" w:space="0" w:color="000000"/>
              <w:left w:val="single" w:sz="4" w:space="0" w:color="auto"/>
              <w:bottom w:val="single" w:sz="4" w:space="0" w:color="auto"/>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tcBorders>
              <w:top w:val="single" w:sz="4" w:space="0" w:color="000000"/>
              <w:left w:val="single" w:sz="4" w:space="0" w:color="000000"/>
              <w:bottom w:val="single" w:sz="4" w:space="0" w:color="auto"/>
              <w:right w:val="single" w:sz="4" w:space="0" w:color="auto"/>
            </w:tcBorders>
            <w:noWrap/>
            <w:vAlign w:val="center"/>
          </w:tcPr>
          <w:p w:rsidR="004E6623" w:rsidRDefault="00D822CB">
            <w:pPr>
              <w:autoSpaceDN w:val="0"/>
              <w:spacing w:line="360" w:lineRule="auto"/>
              <w:jc w:val="center"/>
              <w:textAlignment w:val="center"/>
              <w:rPr>
                <w:rFonts w:ascii="宋体" w:hAnsi="宋体" w:cs="宋体"/>
                <w:sz w:val="20"/>
                <w:szCs w:val="20"/>
              </w:rPr>
            </w:pPr>
            <w:r>
              <w:rPr>
                <w:rFonts w:ascii="宋体" w:hAnsi="宋体" w:cs="宋体" w:hint="eastAsia"/>
                <w:color w:val="000000"/>
                <w:sz w:val="20"/>
                <w:szCs w:val="20"/>
              </w:rPr>
              <w:t>社会效益</w:t>
            </w:r>
          </w:p>
        </w:tc>
        <w:tc>
          <w:tcPr>
            <w:tcW w:w="621" w:type="dxa"/>
            <w:tcBorders>
              <w:top w:val="single" w:sz="4" w:space="0" w:color="000000"/>
              <w:left w:val="single" w:sz="4" w:space="0" w:color="auto"/>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color w:val="000000"/>
                <w:sz w:val="20"/>
                <w:szCs w:val="20"/>
              </w:rPr>
              <w:t>5</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办公人员提高办事效率</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bCs/>
                <w:color w:val="000000"/>
                <w:sz w:val="20"/>
                <w:szCs w:val="20"/>
              </w:rPr>
              <w:t>5</w:t>
            </w:r>
          </w:p>
        </w:tc>
      </w:tr>
      <w:tr w:rsidR="004E6623">
        <w:trPr>
          <w:trHeight w:hRule="exact" w:val="357"/>
          <w:jc w:val="center"/>
        </w:trPr>
        <w:tc>
          <w:tcPr>
            <w:tcW w:w="1413" w:type="dxa"/>
            <w:vMerge/>
            <w:tcBorders>
              <w:top w:val="single" w:sz="4" w:space="0" w:color="auto"/>
              <w:left w:val="single" w:sz="4" w:space="0" w:color="auto"/>
              <w:right w:val="single" w:sz="4" w:space="0" w:color="auto"/>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auto"/>
              <w:left w:val="single" w:sz="4" w:space="0" w:color="auto"/>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tcBorders>
              <w:top w:val="single" w:sz="4" w:space="0" w:color="auto"/>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sz w:val="20"/>
                <w:szCs w:val="20"/>
              </w:rPr>
            </w:pPr>
            <w:r>
              <w:rPr>
                <w:rFonts w:ascii="宋体" w:hAnsi="宋体" w:cs="宋体" w:hint="eastAsia"/>
                <w:color w:val="000000"/>
                <w:sz w:val="20"/>
                <w:szCs w:val="20"/>
              </w:rPr>
              <w:t>可持续影响</w:t>
            </w:r>
          </w:p>
        </w:tc>
        <w:tc>
          <w:tcPr>
            <w:tcW w:w="621" w:type="dxa"/>
            <w:tcBorders>
              <w:top w:val="single" w:sz="4" w:space="0" w:color="000000"/>
              <w:left w:val="single" w:sz="4" w:space="0" w:color="000000"/>
              <w:bottom w:val="single" w:sz="4" w:space="0" w:color="000000"/>
              <w:right w:val="single" w:sz="4" w:space="0" w:color="auto"/>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color w:val="000000"/>
                <w:sz w:val="20"/>
                <w:szCs w:val="20"/>
              </w:rPr>
              <w:t>5</w:t>
            </w:r>
          </w:p>
        </w:tc>
        <w:tc>
          <w:tcPr>
            <w:tcW w:w="2516" w:type="dxa"/>
            <w:tcBorders>
              <w:top w:val="single" w:sz="4" w:space="0" w:color="auto"/>
              <w:left w:val="single" w:sz="4" w:space="0" w:color="auto"/>
              <w:bottom w:val="single" w:sz="4" w:space="0" w:color="auto"/>
              <w:right w:val="single" w:sz="4" w:space="0" w:color="auto"/>
            </w:tcBorders>
            <w:noWrap/>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扶贫对象生活水平提高</w:t>
            </w:r>
          </w:p>
        </w:tc>
        <w:tc>
          <w:tcPr>
            <w:tcW w:w="1334" w:type="dxa"/>
            <w:tcBorders>
              <w:top w:val="single" w:sz="4" w:space="0" w:color="000000"/>
              <w:left w:val="single" w:sz="4" w:space="0" w:color="auto"/>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color w:val="000000"/>
                <w:sz w:val="20"/>
                <w:szCs w:val="20"/>
              </w:rPr>
              <w:t>3</w:t>
            </w:r>
          </w:p>
        </w:tc>
      </w:tr>
      <w:tr w:rsidR="004E6623">
        <w:trPr>
          <w:trHeight w:hRule="exact" w:val="357"/>
          <w:jc w:val="center"/>
        </w:trPr>
        <w:tc>
          <w:tcPr>
            <w:tcW w:w="1413" w:type="dxa"/>
            <w:vMerge/>
            <w:tcBorders>
              <w:left w:val="single" w:sz="4" w:space="0" w:color="auto"/>
              <w:bottom w:val="single" w:sz="4" w:space="0" w:color="000000"/>
              <w:right w:val="single" w:sz="4" w:space="0" w:color="auto"/>
            </w:tcBorders>
            <w:noWrap/>
            <w:vAlign w:val="center"/>
          </w:tcPr>
          <w:p w:rsidR="004E6623" w:rsidRDefault="004E6623">
            <w:pPr>
              <w:spacing w:line="360" w:lineRule="auto"/>
              <w:jc w:val="center"/>
              <w:rPr>
                <w:rFonts w:ascii="宋体" w:hAnsi="宋体" w:cs="宋体"/>
                <w:sz w:val="20"/>
                <w:szCs w:val="20"/>
              </w:rPr>
            </w:pPr>
          </w:p>
        </w:tc>
        <w:tc>
          <w:tcPr>
            <w:tcW w:w="748" w:type="dxa"/>
            <w:vMerge/>
            <w:tcBorders>
              <w:top w:val="single" w:sz="4" w:space="0" w:color="000000"/>
              <w:left w:val="single" w:sz="4" w:space="0" w:color="auto"/>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sz w:val="20"/>
                <w:szCs w:val="20"/>
              </w:rPr>
            </w:pPr>
            <w:r>
              <w:rPr>
                <w:rFonts w:ascii="宋体" w:hAnsi="宋体" w:cs="宋体" w:hint="eastAsia"/>
                <w:color w:val="000000"/>
                <w:sz w:val="20"/>
                <w:szCs w:val="20"/>
              </w:rPr>
              <w:t>满意度</w:t>
            </w:r>
          </w:p>
        </w:tc>
        <w:tc>
          <w:tcPr>
            <w:tcW w:w="621"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bCs/>
                <w:color w:val="000000"/>
                <w:sz w:val="20"/>
                <w:szCs w:val="20"/>
              </w:rPr>
              <w:t>5</w:t>
            </w:r>
          </w:p>
        </w:tc>
        <w:tc>
          <w:tcPr>
            <w:tcW w:w="2516" w:type="dxa"/>
            <w:tcBorders>
              <w:top w:val="single" w:sz="4" w:space="0" w:color="auto"/>
              <w:left w:val="single" w:sz="4" w:space="0" w:color="000000"/>
              <w:bottom w:val="single" w:sz="4" w:space="0" w:color="000000"/>
              <w:right w:val="single" w:sz="4" w:space="0" w:color="000000"/>
            </w:tcBorders>
            <w:noWrap/>
            <w:vAlign w:val="center"/>
          </w:tcPr>
          <w:p w:rsidR="004E6623" w:rsidRDefault="00D822CB">
            <w:pPr>
              <w:widowControl/>
              <w:spacing w:line="360"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使用对象满意度</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bCs/>
                <w:color w:val="000000"/>
                <w:sz w:val="20"/>
                <w:szCs w:val="20"/>
              </w:rPr>
              <w:t>5</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color w:val="000000"/>
                <w:sz w:val="20"/>
                <w:szCs w:val="20"/>
              </w:rPr>
            </w:pPr>
            <w:r>
              <w:rPr>
                <w:rFonts w:ascii="宋体" w:hAnsi="宋体" w:cs="宋体" w:hint="eastAsia"/>
                <w:bCs/>
                <w:color w:val="000000"/>
                <w:sz w:val="20"/>
                <w:szCs w:val="20"/>
              </w:rPr>
              <w:t>5</w:t>
            </w:r>
          </w:p>
        </w:tc>
      </w:tr>
      <w:tr w:rsidR="004E6623">
        <w:trPr>
          <w:trHeight w:hRule="exact" w:val="357"/>
          <w:jc w:val="center"/>
        </w:trPr>
        <w:tc>
          <w:tcPr>
            <w:tcW w:w="1413" w:type="dxa"/>
            <w:tcBorders>
              <w:left w:val="single" w:sz="4" w:space="0" w:color="auto"/>
              <w:bottom w:val="single" w:sz="4" w:space="0" w:color="000000"/>
              <w:right w:val="single" w:sz="4" w:space="0" w:color="auto"/>
            </w:tcBorders>
            <w:noWrap/>
            <w:vAlign w:val="center"/>
          </w:tcPr>
          <w:p w:rsidR="004E6623" w:rsidRDefault="004E6623">
            <w:pPr>
              <w:spacing w:line="360" w:lineRule="auto"/>
              <w:jc w:val="center"/>
              <w:rPr>
                <w:rFonts w:ascii="宋体" w:hAnsi="宋体" w:cs="宋体"/>
                <w:sz w:val="20"/>
                <w:szCs w:val="20"/>
              </w:rPr>
            </w:pPr>
          </w:p>
        </w:tc>
        <w:tc>
          <w:tcPr>
            <w:tcW w:w="748" w:type="dxa"/>
            <w:tcBorders>
              <w:top w:val="single" w:sz="4" w:space="0" w:color="000000"/>
              <w:left w:val="single" w:sz="4" w:space="0" w:color="auto"/>
              <w:bottom w:val="single" w:sz="4" w:space="0" w:color="000000"/>
              <w:right w:val="single" w:sz="4" w:space="0" w:color="000000"/>
            </w:tcBorders>
            <w:noWrap/>
            <w:vAlign w:val="center"/>
          </w:tcPr>
          <w:p w:rsidR="004E6623" w:rsidRDefault="004E6623">
            <w:pPr>
              <w:spacing w:line="360" w:lineRule="auto"/>
              <w:jc w:val="center"/>
              <w:rPr>
                <w:rFonts w:ascii="宋体" w:hAnsi="宋体" w:cs="宋体"/>
                <w:sz w:val="20"/>
                <w:szCs w:val="20"/>
              </w:rPr>
            </w:pPr>
          </w:p>
        </w:tc>
        <w:tc>
          <w:tcPr>
            <w:tcW w:w="1597"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color w:val="000000"/>
                <w:sz w:val="20"/>
                <w:szCs w:val="20"/>
              </w:rPr>
            </w:pPr>
            <w:r>
              <w:rPr>
                <w:rFonts w:ascii="宋体" w:hAnsi="宋体" w:cs="宋体" w:hint="eastAsia"/>
                <w:color w:val="000000"/>
                <w:sz w:val="20"/>
                <w:szCs w:val="20"/>
              </w:rPr>
              <w:t>满意度</w:t>
            </w:r>
          </w:p>
        </w:tc>
        <w:tc>
          <w:tcPr>
            <w:tcW w:w="621"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sz w:val="20"/>
                <w:szCs w:val="20"/>
              </w:rPr>
            </w:pPr>
            <w:r>
              <w:rPr>
                <w:rFonts w:ascii="宋体" w:hAnsi="宋体" w:cs="宋体" w:hint="eastAsia"/>
                <w:bCs/>
                <w:color w:val="000000"/>
                <w:sz w:val="20"/>
                <w:szCs w:val="20"/>
              </w:rPr>
              <w:t>5</w:t>
            </w:r>
          </w:p>
        </w:tc>
        <w:tc>
          <w:tcPr>
            <w:tcW w:w="2516" w:type="dxa"/>
            <w:tcBorders>
              <w:top w:val="single" w:sz="4" w:space="0" w:color="auto"/>
              <w:left w:val="single" w:sz="4" w:space="0" w:color="000000"/>
              <w:bottom w:val="single" w:sz="4" w:space="0" w:color="000000"/>
              <w:right w:val="single" w:sz="4" w:space="0" w:color="000000"/>
            </w:tcBorders>
            <w:noWrap/>
            <w:vAlign w:val="center"/>
          </w:tcPr>
          <w:p w:rsidR="004E6623" w:rsidRDefault="00D822CB">
            <w:pPr>
              <w:widowControl/>
              <w:spacing w:line="360" w:lineRule="auto"/>
              <w:jc w:val="center"/>
              <w:textAlignment w:val="center"/>
              <w:rPr>
                <w:rFonts w:ascii="宋体" w:hAnsi="宋体" w:cs="宋体"/>
                <w:color w:val="000000"/>
                <w:kern w:val="0"/>
                <w:sz w:val="20"/>
                <w:szCs w:val="20"/>
              </w:rPr>
            </w:pPr>
            <w:r>
              <w:rPr>
                <w:rFonts w:ascii="宋体" w:hAnsi="宋体" w:cs="宋体" w:hint="eastAsia"/>
                <w:color w:val="000000"/>
                <w:sz w:val="20"/>
                <w:szCs w:val="20"/>
              </w:rPr>
              <w:t>服务对象满意度</w:t>
            </w: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bCs/>
                <w:color w:val="000000"/>
                <w:sz w:val="20"/>
                <w:szCs w:val="20"/>
              </w:rPr>
            </w:pPr>
            <w:r>
              <w:rPr>
                <w:rFonts w:ascii="宋体" w:hAnsi="宋体" w:cs="宋体" w:hint="eastAsia"/>
                <w:bCs/>
                <w:color w:val="000000"/>
                <w:sz w:val="20"/>
                <w:szCs w:val="20"/>
              </w:rPr>
              <w:t>5</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bCs/>
                <w:color w:val="000000"/>
                <w:sz w:val="20"/>
                <w:szCs w:val="20"/>
              </w:rPr>
            </w:pPr>
            <w:r>
              <w:rPr>
                <w:rFonts w:ascii="宋体" w:hAnsi="宋体" w:cs="宋体" w:hint="eastAsia"/>
                <w:bCs/>
                <w:color w:val="000000"/>
                <w:sz w:val="20"/>
                <w:szCs w:val="20"/>
              </w:rPr>
              <w:t>4</w:t>
            </w:r>
          </w:p>
        </w:tc>
      </w:tr>
      <w:tr w:rsidR="004E6623">
        <w:trPr>
          <w:trHeight w:hRule="exact" w:val="357"/>
          <w:jc w:val="center"/>
        </w:trPr>
        <w:tc>
          <w:tcPr>
            <w:tcW w:w="1413"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总分</w:t>
            </w:r>
          </w:p>
        </w:tc>
        <w:tc>
          <w:tcPr>
            <w:tcW w:w="748"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100</w:t>
            </w:r>
          </w:p>
        </w:tc>
        <w:tc>
          <w:tcPr>
            <w:tcW w:w="1597" w:type="dxa"/>
            <w:tcBorders>
              <w:top w:val="single" w:sz="4" w:space="0" w:color="000000"/>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bCs/>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60" w:lineRule="auto"/>
              <w:jc w:val="center"/>
              <w:textAlignment w:val="center"/>
              <w:rPr>
                <w:rFonts w:ascii="宋体" w:hAnsi="宋体" w:cs="宋体"/>
                <w:bCs/>
                <w:color w:val="000000"/>
                <w:sz w:val="20"/>
                <w:szCs w:val="20"/>
              </w:rPr>
            </w:pPr>
            <w:r>
              <w:rPr>
                <w:rFonts w:ascii="宋体" w:hAnsi="宋体" w:cs="宋体" w:hint="eastAsia"/>
                <w:bCs/>
                <w:color w:val="000000"/>
                <w:sz w:val="20"/>
                <w:szCs w:val="20"/>
              </w:rPr>
              <w:t>100</w:t>
            </w:r>
          </w:p>
        </w:tc>
        <w:tc>
          <w:tcPr>
            <w:tcW w:w="2516" w:type="dxa"/>
            <w:tcBorders>
              <w:top w:val="single" w:sz="4" w:space="0" w:color="000000"/>
              <w:left w:val="single" w:sz="4" w:space="0" w:color="000000"/>
              <w:bottom w:val="single" w:sz="4" w:space="0" w:color="000000"/>
              <w:right w:val="single" w:sz="4" w:space="0" w:color="000000"/>
            </w:tcBorders>
            <w:noWrap/>
            <w:vAlign w:val="center"/>
          </w:tcPr>
          <w:p w:rsidR="004E6623" w:rsidRDefault="004E6623">
            <w:pPr>
              <w:autoSpaceDN w:val="0"/>
              <w:spacing w:line="360" w:lineRule="auto"/>
              <w:jc w:val="center"/>
              <w:textAlignment w:val="center"/>
              <w:rPr>
                <w:rFonts w:ascii="宋体" w:hAnsi="宋体" w:cs="宋体"/>
                <w:bCs/>
                <w:color w:val="000000"/>
                <w:sz w:val="20"/>
                <w:szCs w:val="20"/>
              </w:rPr>
            </w:pPr>
          </w:p>
        </w:tc>
        <w:tc>
          <w:tcPr>
            <w:tcW w:w="1334"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bCs/>
                <w:color w:val="000000"/>
                <w:sz w:val="20"/>
                <w:szCs w:val="20"/>
              </w:rPr>
            </w:pPr>
            <w:r>
              <w:rPr>
                <w:rFonts w:ascii="宋体" w:hAnsi="宋体" w:cs="宋体" w:hint="eastAsia"/>
                <w:bCs/>
                <w:color w:val="000000"/>
                <w:sz w:val="20"/>
                <w:szCs w:val="20"/>
              </w:rPr>
              <w:t>100</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4E6623" w:rsidRDefault="00D822CB">
            <w:pPr>
              <w:autoSpaceDN w:val="0"/>
              <w:spacing w:line="300" w:lineRule="exact"/>
              <w:jc w:val="center"/>
              <w:textAlignment w:val="center"/>
              <w:rPr>
                <w:rFonts w:ascii="宋体" w:hAnsi="宋体" w:cs="宋体"/>
                <w:bCs/>
                <w:color w:val="000000"/>
                <w:sz w:val="20"/>
                <w:szCs w:val="20"/>
              </w:rPr>
            </w:pPr>
            <w:r>
              <w:rPr>
                <w:rFonts w:ascii="宋体" w:hAnsi="宋体" w:cs="宋体" w:hint="eastAsia"/>
                <w:bCs/>
                <w:color w:val="000000"/>
                <w:sz w:val="20"/>
                <w:szCs w:val="20"/>
              </w:rPr>
              <w:t>89</w:t>
            </w:r>
          </w:p>
        </w:tc>
      </w:tr>
    </w:tbl>
    <w:p w:rsidR="004E6623" w:rsidRDefault="004E6623">
      <w:pPr>
        <w:widowControl/>
        <w:spacing w:line="360" w:lineRule="auto"/>
        <w:ind w:firstLineChars="200" w:firstLine="480"/>
        <w:rPr>
          <w:rFonts w:ascii="宋体" w:hAnsi="宋体" w:cs="宋体"/>
          <w:sz w:val="24"/>
          <w:szCs w:val="24"/>
        </w:rPr>
      </w:pPr>
    </w:p>
    <w:p w:rsidR="004E6623" w:rsidRDefault="00D822CB">
      <w:pPr>
        <w:rPr>
          <w:rFonts w:ascii="宋体" w:hAnsi="宋体" w:cs="宋体"/>
          <w:b/>
          <w:bCs/>
          <w:sz w:val="24"/>
          <w:szCs w:val="24"/>
        </w:rPr>
      </w:pPr>
      <w:r>
        <w:rPr>
          <w:rFonts w:ascii="宋体" w:hAnsi="宋体" w:cs="宋体" w:hint="eastAsia"/>
          <w:b/>
          <w:bCs/>
          <w:sz w:val="24"/>
          <w:szCs w:val="24"/>
        </w:rPr>
        <w:br w:type="page"/>
      </w:r>
    </w:p>
    <w:p w:rsidR="004E6623" w:rsidRDefault="00D822CB">
      <w:pPr>
        <w:widowControl/>
        <w:rPr>
          <w:rFonts w:ascii="宋体" w:hAnsi="宋体" w:cs="宋体"/>
          <w:b/>
          <w:bCs/>
          <w:sz w:val="24"/>
          <w:szCs w:val="24"/>
        </w:rPr>
      </w:pPr>
      <w:r>
        <w:rPr>
          <w:rFonts w:ascii="宋体" w:hAnsi="宋体" w:cs="宋体" w:hint="eastAsia"/>
          <w:b/>
          <w:bCs/>
          <w:sz w:val="24"/>
          <w:szCs w:val="24"/>
        </w:rPr>
        <w:lastRenderedPageBreak/>
        <w:t>四、绩效评价指标分析</w:t>
      </w:r>
    </w:p>
    <w:p w:rsidR="004E6623" w:rsidRDefault="00D822CB">
      <w:pPr>
        <w:spacing w:line="360" w:lineRule="auto"/>
        <w:ind w:firstLineChars="200" w:firstLine="480"/>
        <w:rPr>
          <w:rFonts w:ascii="宋体" w:hAnsi="宋体" w:cs="宋体"/>
          <w:sz w:val="24"/>
          <w:szCs w:val="24"/>
        </w:rPr>
      </w:pPr>
      <w:r>
        <w:rPr>
          <w:rFonts w:ascii="宋体" w:hAnsi="宋体" w:cs="宋体" w:hint="eastAsia"/>
          <w:sz w:val="24"/>
          <w:szCs w:val="24"/>
        </w:rPr>
        <w:t>（一）项目决策情况分析。</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人大业务经费项目资金拨付审批手续完整，专款专用，支出依据合规。</w:t>
      </w:r>
    </w:p>
    <w:p w:rsidR="004E6623" w:rsidRDefault="00D822CB">
      <w:pPr>
        <w:spacing w:line="360" w:lineRule="auto"/>
        <w:ind w:firstLineChars="200" w:firstLine="480"/>
        <w:rPr>
          <w:rFonts w:ascii="宋体" w:hAnsi="宋体" w:cs="宋体"/>
          <w:sz w:val="24"/>
          <w:szCs w:val="24"/>
        </w:rPr>
      </w:pPr>
      <w:r>
        <w:rPr>
          <w:rFonts w:ascii="宋体" w:hAnsi="宋体" w:cs="宋体" w:hint="eastAsia"/>
          <w:sz w:val="24"/>
          <w:szCs w:val="24"/>
        </w:rPr>
        <w:t>（二）项目过程情况分析。</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人大业务经费项目严格按照项目管理要求开展各项工作任务，在工作规划、计划、方案、项目管理和经费预算使用等方面，做到按规矩办事、按计划实施，项目得以顺利完成。</w:t>
      </w:r>
    </w:p>
    <w:p w:rsidR="004E6623" w:rsidRDefault="00D822CB">
      <w:pPr>
        <w:numPr>
          <w:ilvl w:val="0"/>
          <w:numId w:val="2"/>
        </w:numPr>
        <w:spacing w:line="360" w:lineRule="auto"/>
        <w:rPr>
          <w:rFonts w:ascii="宋体" w:hAnsi="宋体" w:cs="宋体"/>
          <w:sz w:val="24"/>
          <w:szCs w:val="24"/>
        </w:rPr>
      </w:pPr>
      <w:r>
        <w:rPr>
          <w:rFonts w:ascii="宋体" w:hAnsi="宋体" w:cs="宋体" w:hint="eastAsia"/>
          <w:sz w:val="24"/>
          <w:szCs w:val="24"/>
        </w:rPr>
        <w:t>项目产出情况分析。</w:t>
      </w:r>
    </w:p>
    <w:p w:rsidR="004E6623" w:rsidRDefault="00D822CB">
      <w:pPr>
        <w:spacing w:line="360" w:lineRule="auto"/>
        <w:ind w:firstLineChars="196" w:firstLine="470"/>
        <w:rPr>
          <w:rFonts w:ascii="宋体" w:hAnsi="宋体" w:cs="宋体"/>
          <w:sz w:val="24"/>
          <w:szCs w:val="24"/>
          <w:highlight w:val="cyan"/>
        </w:rPr>
      </w:pPr>
      <w:r>
        <w:rPr>
          <w:rFonts w:ascii="宋体" w:hAnsi="宋体" w:cs="宋体" w:hint="eastAsia"/>
          <w:sz w:val="24"/>
          <w:szCs w:val="24"/>
        </w:rPr>
        <w:t>（1）、政府采购预算金额：19.6万元，实施金额：</w:t>
      </w:r>
      <w:r w:rsidR="00C45B6C">
        <w:rPr>
          <w:rFonts w:ascii="宋体" w:hAnsi="宋体" w:cs="宋体" w:hint="eastAsia"/>
          <w:sz w:val="24"/>
          <w:szCs w:val="24"/>
        </w:rPr>
        <w:t>16.68</w:t>
      </w:r>
      <w:r>
        <w:rPr>
          <w:rFonts w:ascii="宋体" w:hAnsi="宋体" w:cs="宋体" w:hint="eastAsia"/>
          <w:sz w:val="24"/>
          <w:szCs w:val="24"/>
        </w:rPr>
        <w:t>万元</w:t>
      </w:r>
      <w:r w:rsidR="00C45B6C">
        <w:rPr>
          <w:rFonts w:ascii="宋体" w:hAnsi="宋体" w:cs="宋体" w:hint="eastAsia"/>
          <w:sz w:val="24"/>
          <w:szCs w:val="24"/>
        </w:rPr>
        <w:t>。</w:t>
      </w:r>
    </w:p>
    <w:p w:rsidR="004E6623" w:rsidRDefault="00D822CB">
      <w:pPr>
        <w:spacing w:line="360" w:lineRule="auto"/>
        <w:ind w:firstLineChars="396" w:firstLine="950"/>
        <w:rPr>
          <w:rFonts w:ascii="宋体" w:hAnsi="宋体" w:cs="宋体"/>
          <w:sz w:val="24"/>
          <w:szCs w:val="24"/>
          <w:highlight w:val="cyan"/>
        </w:rPr>
      </w:pPr>
      <w:r>
        <w:rPr>
          <w:rFonts w:ascii="宋体" w:hAnsi="宋体" w:cs="宋体" w:hint="eastAsia"/>
          <w:sz w:val="24"/>
          <w:szCs w:val="24"/>
        </w:rPr>
        <w:t>复印纸预算金额：100箱*200元=2万元，实施金额：</w:t>
      </w:r>
      <w:r w:rsidR="00C45B6C" w:rsidRPr="00C45B6C">
        <w:rPr>
          <w:rFonts w:ascii="宋体" w:hAnsi="宋体" w:cs="宋体" w:hint="eastAsia"/>
          <w:sz w:val="24"/>
          <w:szCs w:val="24"/>
        </w:rPr>
        <w:t>16834.62</w:t>
      </w:r>
      <w:r>
        <w:rPr>
          <w:rFonts w:ascii="宋体" w:hAnsi="宋体" w:cs="宋体" w:hint="eastAsia"/>
          <w:sz w:val="24"/>
          <w:szCs w:val="24"/>
        </w:rPr>
        <w:t>万元</w:t>
      </w:r>
      <w:r w:rsidR="00C45B6C">
        <w:rPr>
          <w:rFonts w:ascii="宋体" w:hAnsi="宋体" w:cs="宋体" w:hint="eastAsia"/>
          <w:sz w:val="24"/>
          <w:szCs w:val="24"/>
        </w:rPr>
        <w:t>。</w:t>
      </w:r>
    </w:p>
    <w:p w:rsidR="004E6623" w:rsidRDefault="00D822CB">
      <w:pPr>
        <w:spacing w:line="360" w:lineRule="auto"/>
        <w:ind w:firstLineChars="400" w:firstLine="960"/>
        <w:rPr>
          <w:rFonts w:ascii="宋体" w:hAnsi="宋体" w:cs="宋体"/>
          <w:sz w:val="24"/>
          <w:szCs w:val="24"/>
          <w:highlight w:val="cyan"/>
        </w:rPr>
      </w:pPr>
      <w:r>
        <w:rPr>
          <w:rFonts w:ascii="宋体" w:hAnsi="宋体" w:cs="宋体" w:hint="eastAsia"/>
          <w:sz w:val="24"/>
          <w:szCs w:val="24"/>
        </w:rPr>
        <w:t>印刷费：人代会材料、人代会公报、常委会公报预计预算金额：15万元，实施金额：</w:t>
      </w:r>
      <w:r w:rsidR="00C45B6C">
        <w:rPr>
          <w:rFonts w:ascii="宋体" w:hAnsi="宋体" w:cs="宋体" w:hint="eastAsia"/>
          <w:sz w:val="24"/>
          <w:szCs w:val="24"/>
        </w:rPr>
        <w:t>15</w:t>
      </w:r>
      <w:r>
        <w:rPr>
          <w:rFonts w:ascii="宋体" w:hAnsi="宋体" w:cs="宋体" w:hint="eastAsia"/>
          <w:sz w:val="24"/>
          <w:szCs w:val="24"/>
        </w:rPr>
        <w:t>万元</w:t>
      </w:r>
      <w:r w:rsidR="00C45B6C">
        <w:rPr>
          <w:rFonts w:ascii="宋体" w:hAnsi="宋体" w:cs="宋体" w:hint="eastAsia"/>
          <w:sz w:val="24"/>
          <w:szCs w:val="24"/>
        </w:rPr>
        <w:t>.</w:t>
      </w:r>
    </w:p>
    <w:p w:rsidR="004E6623" w:rsidRDefault="00D822CB">
      <w:pPr>
        <w:spacing w:line="360" w:lineRule="auto"/>
        <w:ind w:firstLineChars="400" w:firstLine="960"/>
        <w:rPr>
          <w:rFonts w:ascii="宋体" w:hAnsi="宋体" w:cs="宋体"/>
          <w:sz w:val="24"/>
          <w:szCs w:val="24"/>
          <w:highlight w:val="cyan"/>
        </w:rPr>
      </w:pPr>
      <w:r>
        <w:rPr>
          <w:rFonts w:ascii="宋体" w:hAnsi="宋体" w:cs="宋体" w:hint="eastAsia"/>
          <w:sz w:val="24"/>
          <w:szCs w:val="24"/>
        </w:rPr>
        <w:t>讯飞智能全向麦克风M2预算金额：1600元*16台=2.6万元，实施金额：0万元，</w:t>
      </w:r>
      <w:r w:rsidRPr="00C45B6C">
        <w:rPr>
          <w:rFonts w:ascii="宋体" w:hAnsi="宋体" w:cs="宋体" w:hint="eastAsia"/>
          <w:sz w:val="24"/>
          <w:szCs w:val="24"/>
        </w:rPr>
        <w:t>未实施原因：</w:t>
      </w:r>
      <w:r w:rsidR="00C45B6C">
        <w:rPr>
          <w:rFonts w:ascii="宋体" w:hAnsi="宋体" w:cs="宋体" w:hint="eastAsia"/>
          <w:sz w:val="24"/>
          <w:szCs w:val="24"/>
        </w:rPr>
        <w:t>财政资金紧张。</w:t>
      </w:r>
    </w:p>
    <w:p w:rsidR="004E6623" w:rsidRDefault="00D822CB">
      <w:pPr>
        <w:numPr>
          <w:ilvl w:val="0"/>
          <w:numId w:val="4"/>
        </w:numPr>
        <w:spacing w:line="360" w:lineRule="auto"/>
        <w:ind w:firstLineChars="196" w:firstLine="470"/>
        <w:rPr>
          <w:rFonts w:ascii="宋体" w:hAnsi="宋体" w:cs="宋体"/>
          <w:sz w:val="24"/>
          <w:szCs w:val="24"/>
        </w:rPr>
      </w:pPr>
      <w:r>
        <w:rPr>
          <w:rFonts w:ascii="宋体" w:hAnsi="宋体" w:cs="宋体" w:hint="eastAsia"/>
          <w:sz w:val="24"/>
          <w:szCs w:val="24"/>
        </w:rPr>
        <w:t>、常委会会议表决系统维护费预算金额：1.5万元，实施金额：1.05万元。</w:t>
      </w:r>
    </w:p>
    <w:p w:rsidR="004E6623" w:rsidRDefault="00D822CB">
      <w:pPr>
        <w:numPr>
          <w:ilvl w:val="0"/>
          <w:numId w:val="4"/>
        </w:numPr>
        <w:spacing w:line="360" w:lineRule="auto"/>
        <w:ind w:firstLineChars="196" w:firstLine="470"/>
        <w:rPr>
          <w:rFonts w:ascii="宋体" w:hAnsi="宋体" w:cs="宋体"/>
          <w:sz w:val="24"/>
          <w:szCs w:val="24"/>
        </w:rPr>
      </w:pPr>
      <w:r>
        <w:rPr>
          <w:rFonts w:ascii="宋体" w:hAnsi="宋体" w:cs="宋体" w:hint="eastAsia"/>
          <w:sz w:val="24"/>
          <w:szCs w:val="24"/>
        </w:rPr>
        <w:t>、预算监督系统维护费1.9万元，实施金额：</w:t>
      </w:r>
      <w:r w:rsidR="00C45B6C">
        <w:rPr>
          <w:rFonts w:ascii="宋体" w:hAnsi="宋体" w:cs="宋体" w:hint="eastAsia"/>
          <w:sz w:val="24"/>
          <w:szCs w:val="24"/>
        </w:rPr>
        <w:t>1.9</w:t>
      </w:r>
      <w:r>
        <w:rPr>
          <w:rFonts w:ascii="宋体" w:hAnsi="宋体" w:cs="宋体" w:hint="eastAsia"/>
          <w:sz w:val="24"/>
          <w:szCs w:val="24"/>
        </w:rPr>
        <w:t>万元</w:t>
      </w:r>
      <w:r w:rsidR="00C45B6C">
        <w:rPr>
          <w:rFonts w:ascii="宋体" w:hAnsi="宋体" w:cs="宋体" w:hint="eastAsia"/>
          <w:sz w:val="24"/>
          <w:szCs w:val="24"/>
        </w:rPr>
        <w:t>。</w:t>
      </w:r>
    </w:p>
    <w:p w:rsidR="004E6623" w:rsidRDefault="00D822CB">
      <w:pPr>
        <w:spacing w:line="360" w:lineRule="auto"/>
        <w:ind w:firstLineChars="196" w:firstLine="470"/>
        <w:rPr>
          <w:rFonts w:ascii="宋体" w:hAnsi="宋体" w:cs="宋体"/>
          <w:sz w:val="24"/>
          <w:szCs w:val="24"/>
        </w:rPr>
      </w:pPr>
      <w:r>
        <w:rPr>
          <w:rFonts w:ascii="宋体" w:hAnsi="宋体" w:cs="宋体" w:hint="eastAsia"/>
          <w:sz w:val="24"/>
          <w:szCs w:val="24"/>
        </w:rPr>
        <w:t>（4）、慰问挂钩联系贫困乡及低保人员、困难党员预算金额：0.5万元，实施金额：0万元，</w:t>
      </w:r>
      <w:r w:rsidRPr="00C45B6C">
        <w:rPr>
          <w:rFonts w:ascii="宋体" w:hAnsi="宋体" w:cs="宋体" w:hint="eastAsia"/>
          <w:sz w:val="24"/>
          <w:szCs w:val="24"/>
        </w:rPr>
        <w:t>未实施原因：</w:t>
      </w:r>
      <w:r w:rsidR="00C45B6C">
        <w:rPr>
          <w:rFonts w:ascii="宋体" w:hAnsi="宋体" w:cs="宋体" w:hint="eastAsia"/>
          <w:sz w:val="24"/>
          <w:szCs w:val="24"/>
        </w:rPr>
        <w:t>五华区委组织部给钱。</w:t>
      </w:r>
    </w:p>
    <w:p w:rsidR="004E6623" w:rsidRDefault="00D822CB">
      <w:pPr>
        <w:spacing w:line="360" w:lineRule="auto"/>
        <w:ind w:firstLineChars="196" w:firstLine="470"/>
        <w:rPr>
          <w:rFonts w:ascii="宋体" w:hAnsi="宋体" w:cs="宋体"/>
          <w:sz w:val="24"/>
          <w:szCs w:val="24"/>
        </w:rPr>
      </w:pPr>
      <w:r>
        <w:rPr>
          <w:rFonts w:ascii="宋体" w:hAnsi="宋体" w:cs="宋体" w:hint="eastAsia"/>
          <w:sz w:val="24"/>
          <w:szCs w:val="24"/>
        </w:rPr>
        <w:t>（5）、《云南日报》入刊费及党刊征订费预算金额：7万元，实施金额：3.5万元。</w:t>
      </w:r>
    </w:p>
    <w:p w:rsidR="004E6623" w:rsidRDefault="00D822CB">
      <w:pPr>
        <w:spacing w:line="360" w:lineRule="auto"/>
        <w:ind w:firstLineChars="196" w:firstLine="470"/>
        <w:rPr>
          <w:rFonts w:ascii="宋体" w:hAnsi="宋体" w:cs="宋体"/>
          <w:sz w:val="24"/>
          <w:szCs w:val="24"/>
        </w:rPr>
      </w:pPr>
      <w:r>
        <w:rPr>
          <w:rFonts w:ascii="宋体" w:hAnsi="宋体" w:cs="宋体" w:hint="eastAsia"/>
          <w:sz w:val="24"/>
          <w:szCs w:val="24"/>
        </w:rPr>
        <w:t>（6）、监司委专用服务系统维护费预算金额：2万元，实施金额：</w:t>
      </w:r>
      <w:r w:rsidR="00C45B6C">
        <w:rPr>
          <w:rFonts w:ascii="宋体" w:hAnsi="宋体" w:cs="宋体" w:hint="eastAsia"/>
          <w:sz w:val="24"/>
          <w:szCs w:val="24"/>
        </w:rPr>
        <w:t>2万元。</w:t>
      </w:r>
      <w:r w:rsidR="00C45B6C">
        <w:rPr>
          <w:rFonts w:ascii="宋体" w:hAnsi="宋体" w:cs="宋体"/>
          <w:sz w:val="24"/>
          <w:szCs w:val="24"/>
        </w:rPr>
        <w:t xml:space="preserve"> </w:t>
      </w:r>
    </w:p>
    <w:p w:rsidR="004E6623" w:rsidRDefault="00D822CB">
      <w:pPr>
        <w:widowControl/>
        <w:rPr>
          <w:rFonts w:ascii="宋体" w:hAnsi="宋体" w:cs="宋体"/>
          <w:b/>
          <w:bCs/>
          <w:sz w:val="24"/>
          <w:szCs w:val="24"/>
        </w:rPr>
      </w:pPr>
      <w:r>
        <w:rPr>
          <w:rFonts w:ascii="宋体" w:hAnsi="宋体" w:cs="宋体" w:hint="eastAsia"/>
          <w:b/>
          <w:bCs/>
          <w:sz w:val="24"/>
          <w:szCs w:val="24"/>
        </w:rPr>
        <w:t>五、主要经验及做法</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一是始终以中央、省、市政策法规为纲领，区委区政府有关工作要求为依据开展各项工作任务，确保各项目标取得实效。二是严格执行预算管理，加强绩效目标考核，制定项目实施方案确保资金合理使用。</w:t>
      </w:r>
    </w:p>
    <w:p w:rsidR="004E6623" w:rsidRDefault="00D822CB">
      <w:pPr>
        <w:rPr>
          <w:rFonts w:ascii="宋体" w:hAnsi="宋体" w:cs="宋体"/>
          <w:sz w:val="24"/>
          <w:szCs w:val="24"/>
        </w:rPr>
      </w:pPr>
      <w:r>
        <w:rPr>
          <w:rFonts w:ascii="宋体" w:hAnsi="宋体" w:cs="宋体" w:hint="eastAsia"/>
          <w:sz w:val="24"/>
          <w:szCs w:val="24"/>
        </w:rPr>
        <w:br w:type="page"/>
      </w:r>
    </w:p>
    <w:p w:rsidR="004E6623" w:rsidRDefault="00D822CB">
      <w:pPr>
        <w:widowControl/>
        <w:numPr>
          <w:ilvl w:val="0"/>
          <w:numId w:val="5"/>
        </w:numPr>
        <w:rPr>
          <w:rFonts w:ascii="宋体" w:hAnsi="宋体" w:cs="宋体"/>
          <w:b/>
          <w:bCs/>
          <w:sz w:val="24"/>
          <w:szCs w:val="24"/>
        </w:rPr>
      </w:pPr>
      <w:r>
        <w:rPr>
          <w:rFonts w:ascii="宋体" w:hAnsi="宋体" w:cs="宋体" w:hint="eastAsia"/>
          <w:b/>
          <w:bCs/>
          <w:sz w:val="24"/>
          <w:szCs w:val="24"/>
        </w:rPr>
        <w:lastRenderedPageBreak/>
        <w:t>存在的问题及原因分析</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昆明市五华区人民代表大会常务委员会人大业务经费项目填报绩效时不够细化分解、量化，总体目标比较笼统不够简要明确。</w:t>
      </w:r>
    </w:p>
    <w:p w:rsidR="004E6623" w:rsidRDefault="004E6623">
      <w:pPr>
        <w:widowControl/>
        <w:spacing w:line="360" w:lineRule="auto"/>
        <w:ind w:firstLineChars="200" w:firstLine="480"/>
        <w:rPr>
          <w:rFonts w:ascii="宋体" w:hAnsi="宋体" w:cs="宋体"/>
          <w:sz w:val="24"/>
          <w:szCs w:val="24"/>
        </w:rPr>
      </w:pPr>
    </w:p>
    <w:p w:rsidR="004E6623" w:rsidRDefault="00D822CB">
      <w:pPr>
        <w:widowControl/>
        <w:numPr>
          <w:ilvl w:val="0"/>
          <w:numId w:val="5"/>
        </w:numPr>
        <w:rPr>
          <w:rFonts w:ascii="宋体" w:hAnsi="宋体" w:cs="宋体"/>
          <w:b/>
          <w:bCs/>
          <w:sz w:val="24"/>
          <w:szCs w:val="24"/>
        </w:rPr>
      </w:pPr>
      <w:r>
        <w:rPr>
          <w:rFonts w:ascii="宋体" w:hAnsi="宋体" w:cs="宋体" w:hint="eastAsia"/>
          <w:b/>
          <w:bCs/>
          <w:sz w:val="24"/>
          <w:szCs w:val="24"/>
        </w:rPr>
        <w:t>有关建议</w:t>
      </w:r>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提高绩效管理认识，昆明市五华区人民代表大会常务委员会通过设立目标有利于项目决策的制定，有助于项目的实施管理。项目实施前应结合本单位自身情况，设定明确、合规、合理的绩效目标，并将目标量化、细化分解，与预算资金相匹配起来。昆明市五华区人民代表大会常务委员会客观、认真对待绩效自评，针对自身情况对实施项目提出合理的问题及建议，逐步提高绩效管理认识。</w:t>
      </w:r>
      <w:bookmarkStart w:id="0" w:name="_GoBack"/>
      <w:bookmarkEnd w:id="0"/>
    </w:p>
    <w:p w:rsidR="004E6623" w:rsidRDefault="00D822CB">
      <w:pPr>
        <w:widowControl/>
        <w:spacing w:line="360" w:lineRule="auto"/>
        <w:ind w:firstLineChars="200" w:firstLine="480"/>
        <w:rPr>
          <w:rFonts w:ascii="宋体" w:hAnsi="宋体" w:cs="宋体"/>
          <w:sz w:val="24"/>
          <w:szCs w:val="24"/>
        </w:rPr>
      </w:pPr>
      <w:r>
        <w:rPr>
          <w:rFonts w:ascii="宋体" w:hAnsi="宋体" w:cs="宋体" w:hint="eastAsia"/>
          <w:sz w:val="24"/>
          <w:szCs w:val="24"/>
        </w:rPr>
        <w:t>昆明市五华区人民代表大会常务委员会结合实际情况，汇总、对比以往年度项目预算，从而科学、有依据的做出下一年的项目资金预算，编制更为合理的预算，优化项目资金预算。</w:t>
      </w:r>
    </w:p>
    <w:p w:rsidR="004E6623" w:rsidRDefault="004E6623">
      <w:pPr>
        <w:widowControl/>
        <w:spacing w:line="360" w:lineRule="auto"/>
        <w:ind w:firstLineChars="200" w:firstLine="480"/>
        <w:rPr>
          <w:rFonts w:ascii="宋体" w:hAnsi="宋体" w:cs="宋体"/>
          <w:sz w:val="24"/>
          <w:szCs w:val="24"/>
        </w:rPr>
      </w:pPr>
    </w:p>
    <w:p w:rsidR="004E6623" w:rsidRDefault="00D822CB">
      <w:pPr>
        <w:widowControl/>
        <w:numPr>
          <w:ilvl w:val="0"/>
          <w:numId w:val="5"/>
        </w:numPr>
        <w:rPr>
          <w:rFonts w:ascii="宋体" w:hAnsi="宋体" w:cs="宋体"/>
          <w:b/>
          <w:bCs/>
          <w:sz w:val="24"/>
          <w:szCs w:val="24"/>
        </w:rPr>
      </w:pPr>
      <w:r>
        <w:rPr>
          <w:rFonts w:ascii="宋体" w:hAnsi="宋体" w:cs="宋体" w:hint="eastAsia"/>
          <w:b/>
          <w:bCs/>
          <w:sz w:val="24"/>
          <w:szCs w:val="24"/>
        </w:rPr>
        <w:t>其他需要说明的问题</w:t>
      </w:r>
    </w:p>
    <w:p w:rsidR="004E6623" w:rsidRDefault="00D822CB" w:rsidP="00D822CB">
      <w:pPr>
        <w:pStyle w:val="BodyTextFirstIndent21"/>
        <w:spacing w:beforeAutospacing="0" w:line="360" w:lineRule="auto"/>
        <w:ind w:firstLineChars="0" w:firstLine="0"/>
        <w:rPr>
          <w:rFonts w:ascii="宋体" w:eastAsia="宋体" w:hAnsi="宋体" w:cs="宋体"/>
          <w:sz w:val="24"/>
          <w:szCs w:val="24"/>
        </w:rPr>
      </w:pPr>
      <w:r>
        <w:rPr>
          <w:rFonts w:ascii="宋体" w:eastAsia="宋体" w:hAnsi="宋体" w:cs="宋体" w:hint="eastAsia"/>
          <w:sz w:val="24"/>
          <w:szCs w:val="24"/>
        </w:rPr>
        <w:t>无</w:t>
      </w:r>
    </w:p>
    <w:p w:rsidR="004E6623" w:rsidRDefault="004E6623">
      <w:pPr>
        <w:widowControl/>
        <w:spacing w:line="360" w:lineRule="auto"/>
        <w:ind w:firstLineChars="200" w:firstLine="480"/>
        <w:jc w:val="right"/>
        <w:rPr>
          <w:rFonts w:ascii="宋体" w:hAnsi="宋体" w:cs="宋体"/>
          <w:sz w:val="24"/>
          <w:szCs w:val="24"/>
        </w:rPr>
      </w:pPr>
    </w:p>
    <w:p w:rsidR="004E6623" w:rsidRDefault="004E6623">
      <w:pPr>
        <w:widowControl/>
        <w:spacing w:line="360" w:lineRule="auto"/>
        <w:ind w:firstLineChars="200" w:firstLine="480"/>
        <w:jc w:val="right"/>
        <w:rPr>
          <w:rFonts w:ascii="宋体" w:hAnsi="宋体" w:cs="宋体"/>
          <w:sz w:val="24"/>
          <w:szCs w:val="24"/>
        </w:rPr>
      </w:pPr>
    </w:p>
    <w:p w:rsidR="004E6623" w:rsidRDefault="004E6623">
      <w:pPr>
        <w:widowControl/>
        <w:spacing w:line="360" w:lineRule="auto"/>
        <w:ind w:firstLineChars="200" w:firstLine="480"/>
        <w:jc w:val="right"/>
        <w:rPr>
          <w:rFonts w:ascii="宋体" w:hAnsi="宋体" w:cs="宋体"/>
          <w:sz w:val="24"/>
          <w:szCs w:val="24"/>
        </w:rPr>
      </w:pPr>
    </w:p>
    <w:p w:rsidR="004E6623" w:rsidRDefault="004E6623">
      <w:pPr>
        <w:widowControl/>
        <w:spacing w:line="360" w:lineRule="auto"/>
        <w:ind w:firstLineChars="200" w:firstLine="480"/>
        <w:jc w:val="right"/>
        <w:rPr>
          <w:rFonts w:ascii="宋体" w:hAnsi="宋体" w:cs="宋体"/>
          <w:sz w:val="24"/>
          <w:szCs w:val="24"/>
        </w:rPr>
      </w:pPr>
    </w:p>
    <w:p w:rsidR="004E6623" w:rsidRDefault="004E6623">
      <w:pPr>
        <w:widowControl/>
        <w:spacing w:line="360" w:lineRule="auto"/>
        <w:ind w:firstLineChars="200" w:firstLine="480"/>
        <w:jc w:val="right"/>
        <w:rPr>
          <w:rFonts w:ascii="宋体" w:hAnsi="宋体" w:cs="宋体"/>
          <w:sz w:val="24"/>
          <w:szCs w:val="24"/>
        </w:rPr>
      </w:pPr>
    </w:p>
    <w:p w:rsidR="004E6623" w:rsidRDefault="004E6623">
      <w:pPr>
        <w:widowControl/>
        <w:spacing w:line="360" w:lineRule="auto"/>
        <w:ind w:firstLineChars="200" w:firstLine="480"/>
        <w:jc w:val="right"/>
        <w:rPr>
          <w:rFonts w:ascii="宋体" w:hAnsi="宋体" w:cs="宋体"/>
          <w:sz w:val="24"/>
          <w:szCs w:val="24"/>
        </w:rPr>
      </w:pPr>
    </w:p>
    <w:p w:rsidR="004E6623" w:rsidRDefault="004E6623">
      <w:pPr>
        <w:widowControl/>
        <w:spacing w:line="360" w:lineRule="auto"/>
        <w:ind w:firstLineChars="200" w:firstLine="480"/>
        <w:jc w:val="right"/>
        <w:rPr>
          <w:rFonts w:ascii="宋体" w:hAnsi="宋体" w:cs="宋体"/>
          <w:sz w:val="24"/>
          <w:szCs w:val="24"/>
        </w:rPr>
      </w:pPr>
    </w:p>
    <w:p w:rsidR="004E6623" w:rsidRDefault="00D822CB">
      <w:pPr>
        <w:widowControl/>
        <w:spacing w:line="360" w:lineRule="auto"/>
        <w:ind w:firstLineChars="200" w:firstLine="480"/>
        <w:jc w:val="right"/>
        <w:rPr>
          <w:rFonts w:ascii="宋体" w:hAnsi="宋体" w:cs="宋体"/>
          <w:sz w:val="24"/>
          <w:szCs w:val="24"/>
        </w:rPr>
      </w:pPr>
      <w:r>
        <w:rPr>
          <w:rFonts w:ascii="宋体" w:hAnsi="宋体" w:cs="宋体" w:hint="eastAsia"/>
          <w:sz w:val="24"/>
          <w:szCs w:val="24"/>
        </w:rPr>
        <w:t>昆明市五华区人民代表大会常务委员会</w:t>
      </w:r>
    </w:p>
    <w:p w:rsidR="004E6623" w:rsidRDefault="00C45B6C">
      <w:pPr>
        <w:widowControl/>
        <w:spacing w:line="360" w:lineRule="auto"/>
        <w:ind w:firstLineChars="200" w:firstLine="480"/>
        <w:jc w:val="center"/>
        <w:rPr>
          <w:rFonts w:ascii="宋体" w:hAnsi="宋体" w:cs="宋体"/>
          <w:sz w:val="24"/>
          <w:szCs w:val="24"/>
        </w:rPr>
      </w:pPr>
      <w:r>
        <w:rPr>
          <w:rFonts w:ascii="宋体" w:hAnsi="宋体" w:cs="宋体" w:hint="eastAsia"/>
          <w:sz w:val="24"/>
          <w:szCs w:val="24"/>
        </w:rPr>
        <w:t xml:space="preserve">                                    </w:t>
      </w:r>
      <w:r w:rsidR="00D822CB">
        <w:rPr>
          <w:rFonts w:ascii="宋体" w:hAnsi="宋体" w:cs="宋体" w:hint="eastAsia"/>
          <w:sz w:val="24"/>
          <w:szCs w:val="24"/>
        </w:rPr>
        <w:t>2023年5月29日</w:t>
      </w:r>
    </w:p>
    <w:p w:rsidR="004E6623" w:rsidRDefault="004E6623">
      <w:pPr>
        <w:pStyle w:val="a6"/>
        <w:spacing w:line="360" w:lineRule="auto"/>
        <w:rPr>
          <w:rFonts w:ascii="宋体" w:hAnsi="宋体" w:cs="宋体"/>
          <w:szCs w:val="24"/>
        </w:rPr>
      </w:pPr>
    </w:p>
    <w:p w:rsidR="004E6623" w:rsidRDefault="004E6623">
      <w:pPr>
        <w:pStyle w:val="a6"/>
        <w:spacing w:line="360" w:lineRule="auto"/>
        <w:rPr>
          <w:rFonts w:ascii="宋体" w:hAnsi="宋体" w:cs="宋体"/>
          <w:szCs w:val="24"/>
        </w:rPr>
      </w:pPr>
    </w:p>
    <w:p w:rsidR="004E6623" w:rsidRDefault="004E6623">
      <w:pPr>
        <w:pStyle w:val="a6"/>
        <w:spacing w:line="360" w:lineRule="auto"/>
        <w:jc w:val="both"/>
        <w:rPr>
          <w:rFonts w:ascii="宋体" w:hAnsi="宋体" w:cs="宋体"/>
          <w:szCs w:val="24"/>
        </w:rPr>
      </w:pPr>
    </w:p>
    <w:sectPr w:rsidR="004E6623" w:rsidSect="004E6623">
      <w:headerReference w:type="default" r:id="rId7"/>
      <w:footerReference w:type="even" r:id="rId8"/>
      <w:footerReference w:type="default" r:id="rId9"/>
      <w:pgSz w:w="11906" w:h="16838"/>
      <w:pgMar w:top="2098" w:right="1474"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623" w:rsidRDefault="004E6623" w:rsidP="004E6623">
      <w:r>
        <w:separator/>
      </w:r>
    </w:p>
  </w:endnote>
  <w:endnote w:type="continuationSeparator" w:id="1">
    <w:p w:rsidR="004E6623" w:rsidRDefault="004E6623" w:rsidP="004E6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23" w:rsidRDefault="00D822CB">
    <w:pPr>
      <w:pStyle w:val="a4"/>
      <w:ind w:firstLineChars="100" w:firstLine="280"/>
      <w:rPr>
        <w:rFonts w:ascii="仿宋_GB2312" w:eastAsia="仿宋_GB2312"/>
        <w:sz w:val="28"/>
        <w:szCs w:val="28"/>
      </w:rPr>
    </w:pPr>
    <w:r>
      <w:rPr>
        <w:rFonts w:ascii="仿宋_GB2312" w:eastAsia="仿宋_GB2312" w:hint="eastAsia"/>
        <w:sz w:val="28"/>
        <w:szCs w:val="28"/>
      </w:rPr>
      <w:t>—</w:t>
    </w:r>
    <w:r w:rsidR="00345491">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345491">
      <w:rPr>
        <w:rFonts w:ascii="仿宋_GB2312" w:eastAsia="仿宋_GB2312" w:hint="eastAsia"/>
        <w:sz w:val="28"/>
        <w:szCs w:val="28"/>
      </w:rPr>
      <w:fldChar w:fldCharType="separate"/>
    </w:r>
    <w:r>
      <w:rPr>
        <w:rFonts w:ascii="仿宋_GB2312" w:eastAsia="仿宋_GB2312"/>
        <w:sz w:val="28"/>
        <w:szCs w:val="28"/>
        <w:lang w:val="zh-CN"/>
      </w:rPr>
      <w:t>2</w:t>
    </w:r>
    <w:r w:rsidR="00345491">
      <w:rPr>
        <w:rFonts w:ascii="仿宋_GB2312" w:eastAsia="仿宋_GB2312" w:hint="eastAsia"/>
        <w:sz w:val="28"/>
        <w:szCs w:val="28"/>
      </w:rPr>
      <w:fldChar w:fldCharType="end"/>
    </w:r>
    <w:r>
      <w:rPr>
        <w:rFonts w:ascii="仿宋_GB2312" w:eastAsia="仿宋_GB2312" w:hint="eastAsia"/>
        <w:sz w:val="28"/>
        <w:szCs w:val="28"/>
      </w:rPr>
      <w:t>—</w:t>
    </w:r>
  </w:p>
  <w:p w:rsidR="004E6623" w:rsidRDefault="004E66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23" w:rsidRDefault="00D822CB">
    <w:pPr>
      <w:pStyle w:val="a4"/>
      <w:wordWrap w:val="0"/>
      <w:jc w:val="right"/>
      <w:rPr>
        <w:rFonts w:ascii="仿宋_GB2312" w:eastAsia="仿宋_GB2312"/>
        <w:sz w:val="28"/>
        <w:szCs w:val="28"/>
      </w:rPr>
    </w:pPr>
    <w:r>
      <w:rPr>
        <w:rFonts w:ascii="仿宋_GB2312" w:eastAsia="仿宋_GB2312" w:hint="eastAsia"/>
        <w:sz w:val="28"/>
        <w:szCs w:val="28"/>
      </w:rPr>
      <w:t>—</w:t>
    </w:r>
    <w:r w:rsidR="00345491">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345491">
      <w:rPr>
        <w:rFonts w:ascii="仿宋_GB2312" w:eastAsia="仿宋_GB2312" w:hint="eastAsia"/>
        <w:sz w:val="28"/>
        <w:szCs w:val="28"/>
      </w:rPr>
      <w:fldChar w:fldCharType="separate"/>
    </w:r>
    <w:r w:rsidR="00C45B6C" w:rsidRPr="00C45B6C">
      <w:rPr>
        <w:rFonts w:ascii="仿宋_GB2312" w:eastAsia="仿宋_GB2312"/>
        <w:noProof/>
        <w:sz w:val="28"/>
        <w:szCs w:val="28"/>
        <w:lang w:val="zh-CN"/>
      </w:rPr>
      <w:t>1</w:t>
    </w:r>
    <w:r w:rsidR="00345491">
      <w:rPr>
        <w:rFonts w:ascii="仿宋_GB2312" w:eastAsia="仿宋_GB2312" w:hint="eastAsia"/>
        <w:sz w:val="28"/>
        <w:szCs w:val="28"/>
      </w:rPr>
      <w:fldChar w:fldCharType="end"/>
    </w:r>
    <w:r>
      <w:rPr>
        <w:rFonts w:ascii="仿宋_GB2312" w:eastAsia="仿宋_GB2312" w:hint="eastAsia"/>
        <w:sz w:val="28"/>
        <w:szCs w:val="28"/>
      </w:rPr>
      <w:t>—</w:t>
    </w:r>
  </w:p>
  <w:p w:rsidR="004E6623" w:rsidRDefault="004E66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623" w:rsidRDefault="004E6623" w:rsidP="004E6623">
      <w:r>
        <w:separator/>
      </w:r>
    </w:p>
  </w:footnote>
  <w:footnote w:type="continuationSeparator" w:id="1">
    <w:p w:rsidR="004E6623" w:rsidRDefault="004E6623" w:rsidP="004E6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23" w:rsidRDefault="004E662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E70B"/>
    <w:multiLevelType w:val="singleLevel"/>
    <w:tmpl w:val="1507E70B"/>
    <w:lvl w:ilvl="0">
      <w:start w:val="6"/>
      <w:numFmt w:val="chineseCounting"/>
      <w:suff w:val="nothing"/>
      <w:lvlText w:val="%1、"/>
      <w:lvlJc w:val="left"/>
      <w:rPr>
        <w:rFonts w:hint="eastAsia"/>
      </w:rPr>
    </w:lvl>
  </w:abstractNum>
  <w:abstractNum w:abstractNumId="1">
    <w:nsid w:val="1ACC8945"/>
    <w:multiLevelType w:val="singleLevel"/>
    <w:tmpl w:val="1ACC8945"/>
    <w:lvl w:ilvl="0">
      <w:start w:val="2"/>
      <w:numFmt w:val="decimal"/>
      <w:suff w:val="nothing"/>
      <w:lvlText w:val="（%1）"/>
      <w:lvlJc w:val="left"/>
    </w:lvl>
  </w:abstractNum>
  <w:abstractNum w:abstractNumId="2">
    <w:nsid w:val="4B04BFAB"/>
    <w:multiLevelType w:val="singleLevel"/>
    <w:tmpl w:val="4B04BFAB"/>
    <w:lvl w:ilvl="0">
      <w:start w:val="3"/>
      <w:numFmt w:val="chineseCounting"/>
      <w:suff w:val="nothing"/>
      <w:lvlText w:val="%1、"/>
      <w:lvlJc w:val="left"/>
      <w:rPr>
        <w:rFonts w:hint="eastAsia"/>
      </w:rPr>
    </w:lvl>
  </w:abstractNum>
  <w:abstractNum w:abstractNumId="3">
    <w:nsid w:val="7007F94E"/>
    <w:multiLevelType w:val="singleLevel"/>
    <w:tmpl w:val="7007F94E"/>
    <w:lvl w:ilvl="0">
      <w:start w:val="2"/>
      <w:numFmt w:val="decimal"/>
      <w:suff w:val="nothing"/>
      <w:lvlText w:val="（%1）"/>
      <w:lvlJc w:val="left"/>
    </w:lvl>
  </w:abstractNum>
  <w:abstractNum w:abstractNumId="4">
    <w:nsid w:val="761F73B9"/>
    <w:multiLevelType w:val="singleLevel"/>
    <w:tmpl w:val="761F73B9"/>
    <w:lvl w:ilvl="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A3NTY1YjhkYTg0NTM5NWViZGRlZDBkNDU5MjVjNzkifQ=="/>
  </w:docVars>
  <w:rsids>
    <w:rsidRoot w:val="136535C2"/>
    <w:rsid w:val="00345491"/>
    <w:rsid w:val="004E6623"/>
    <w:rsid w:val="00C45B6C"/>
    <w:rsid w:val="00D822CB"/>
    <w:rsid w:val="06F179C7"/>
    <w:rsid w:val="07336D3E"/>
    <w:rsid w:val="07E03F31"/>
    <w:rsid w:val="12806B3B"/>
    <w:rsid w:val="136535C2"/>
    <w:rsid w:val="1A545E88"/>
    <w:rsid w:val="25A14E0E"/>
    <w:rsid w:val="2DFB2290"/>
    <w:rsid w:val="3EB05C6A"/>
    <w:rsid w:val="475E6D0F"/>
    <w:rsid w:val="4C621A80"/>
    <w:rsid w:val="4DDF7191"/>
    <w:rsid w:val="5856301B"/>
    <w:rsid w:val="5D49561A"/>
    <w:rsid w:val="60001041"/>
    <w:rsid w:val="637D3ABD"/>
    <w:rsid w:val="642D7291"/>
    <w:rsid w:val="67C978BF"/>
    <w:rsid w:val="6ED44ED9"/>
    <w:rsid w:val="7A3D151B"/>
    <w:rsid w:val="7A5A53D0"/>
    <w:rsid w:val="7D8C2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66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4E6623"/>
  </w:style>
  <w:style w:type="paragraph" w:styleId="a4">
    <w:name w:val="footer"/>
    <w:basedOn w:val="a"/>
    <w:autoRedefine/>
    <w:uiPriority w:val="99"/>
    <w:qFormat/>
    <w:rsid w:val="004E6623"/>
    <w:pPr>
      <w:tabs>
        <w:tab w:val="center" w:pos="4153"/>
        <w:tab w:val="right" w:pos="8306"/>
      </w:tabs>
      <w:snapToGrid w:val="0"/>
      <w:jc w:val="left"/>
    </w:pPr>
    <w:rPr>
      <w:sz w:val="18"/>
      <w:szCs w:val="18"/>
    </w:rPr>
  </w:style>
  <w:style w:type="paragraph" w:styleId="a5">
    <w:name w:val="header"/>
    <w:basedOn w:val="a"/>
    <w:autoRedefine/>
    <w:qFormat/>
    <w:rsid w:val="004E6623"/>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autoRedefine/>
    <w:qFormat/>
    <w:rsid w:val="004E6623"/>
    <w:pPr>
      <w:spacing w:line="520" w:lineRule="exact"/>
      <w:jc w:val="center"/>
    </w:pPr>
    <w:rPr>
      <w:rFonts w:ascii="Times New Roman" w:hAnsi="Times New Roman"/>
      <w:sz w:val="24"/>
      <w:szCs w:val="20"/>
    </w:rPr>
  </w:style>
  <w:style w:type="paragraph" w:customStyle="1" w:styleId="BodyTextFirstIndent21">
    <w:name w:val="Body Text First Indent 21"/>
    <w:basedOn w:val="BodyTextIndent1"/>
    <w:autoRedefine/>
    <w:uiPriority w:val="99"/>
    <w:qFormat/>
    <w:rsid w:val="004E6623"/>
    <w:pPr>
      <w:spacing w:beforeAutospacing="1"/>
      <w:ind w:firstLineChars="200" w:firstLine="420"/>
    </w:pPr>
    <w:rPr>
      <w:rFonts w:ascii="Times New Roman" w:hAnsi="Times New Roman"/>
    </w:rPr>
  </w:style>
  <w:style w:type="paragraph" w:customStyle="1" w:styleId="BodyTextIndent1">
    <w:name w:val="Body Text Indent1"/>
    <w:basedOn w:val="a"/>
    <w:autoRedefine/>
    <w:uiPriority w:val="99"/>
    <w:qFormat/>
    <w:rsid w:val="004E6623"/>
    <w:pPr>
      <w:ind w:leftChars="200" w:left="420"/>
    </w:pPr>
    <w:rPr>
      <w:rFonts w:ascii="等线" w:eastAsia="等线" w:hAnsi="等线"/>
    </w:rPr>
  </w:style>
  <w:style w:type="character" w:customStyle="1" w:styleId="font21">
    <w:name w:val="font21"/>
    <w:basedOn w:val="a0"/>
    <w:autoRedefine/>
    <w:qFormat/>
    <w:rsid w:val="004E6623"/>
    <w:rPr>
      <w:rFonts w:ascii="宋体" w:eastAsia="宋体" w:hAnsi="宋体" w:cs="宋体" w:hint="eastAsia"/>
      <w:color w:val="000000"/>
      <w:sz w:val="22"/>
      <w:szCs w:val="22"/>
      <w:u w:val="none"/>
    </w:rPr>
  </w:style>
  <w:style w:type="character" w:customStyle="1" w:styleId="font01">
    <w:name w:val="font01"/>
    <w:basedOn w:val="a0"/>
    <w:autoRedefine/>
    <w:qFormat/>
    <w:rsid w:val="004E6623"/>
    <w:rPr>
      <w:rFonts w:ascii="Calibri" w:hAnsi="Calibri" w:cs="Calibri" w:hint="default"/>
      <w:color w:val="000000"/>
      <w:sz w:val="22"/>
      <w:szCs w:val="22"/>
      <w:u w:val="none"/>
    </w:rPr>
  </w:style>
  <w:style w:type="character" w:customStyle="1" w:styleId="font11">
    <w:name w:val="font11"/>
    <w:basedOn w:val="a0"/>
    <w:autoRedefine/>
    <w:qFormat/>
    <w:rsid w:val="004E6623"/>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5041</Words>
  <Characters>815</Characters>
  <Application>Microsoft Office Word</Application>
  <DocSecurity>0</DocSecurity>
  <Lines>6</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孙发兴</dc:creator>
  <cp:lastModifiedBy>admin</cp:lastModifiedBy>
  <cp:revision>3</cp:revision>
  <dcterms:created xsi:type="dcterms:W3CDTF">2024-05-24T03:25:00Z</dcterms:created>
  <dcterms:modified xsi:type="dcterms:W3CDTF">2024-05-29T05:00:00Z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9A3A0B4952D842C79A16ACF1559E5AB8_13</vt:lpwstr>
  </property>
</Properties>
</file>