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1000" w:lineRule="exact"/>
        <w:jc w:val="center"/>
        <w:rPr>
          <w:rFonts w:ascii="方正小标宋简体" w:eastAsia="方正小标宋简体"/>
          <w:snapToGrid w:val="0"/>
          <w:color w:val="FF0000"/>
          <w:spacing w:val="-14"/>
          <w:w w:val="80"/>
          <w:kern w:val="0"/>
          <w:sz w:val="72"/>
          <w:szCs w:val="72"/>
        </w:rPr>
      </w:pPr>
      <w:r>
        <w:rPr>
          <w:rFonts w:hint="eastAsia" w:ascii="方正小标宋简体" w:eastAsia="方正小标宋简体"/>
          <w:snapToGrid w:val="0"/>
          <w:color w:val="FF0000"/>
          <w:spacing w:val="-14"/>
          <w:w w:val="80"/>
          <w:kern w:val="0"/>
          <w:sz w:val="72"/>
          <w:szCs w:val="72"/>
        </w:rPr>
        <w:t>昆明市五华区人力资源和社会保障局</w:t>
      </w:r>
    </w:p>
    <w:p>
      <w:pPr>
        <w:spacing w:line="560" w:lineRule="exact"/>
        <w:jc w:val="center"/>
        <w:rPr>
          <w:rFonts w:hint="eastAsia" w:ascii="仿宋_GB2312" w:hAnsi="Calibri" w:eastAsia="仿宋_GB2312" w:cs="仿宋_GB2312"/>
          <w:kern w:val="0"/>
          <w:sz w:val="32"/>
          <w:szCs w:val="32"/>
        </w:rPr>
      </w:pPr>
      <w:r>
        <w:rPr>
          <w:rFonts w:ascii="方正小标宋简体" w:eastAsia="方正小标宋简体"/>
          <w:snapToGrid w:val="0"/>
          <w:color w:val="FF0000"/>
          <w:w w:val="80"/>
          <w:kern w:val="0"/>
          <w:sz w:val="80"/>
          <w:szCs w:val="80"/>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292100</wp:posOffset>
                </wp:positionV>
                <wp:extent cx="5615940" cy="0"/>
                <wp:effectExtent l="0" t="17145" r="7620" b="28575"/>
                <wp:wrapNone/>
                <wp:docPr id="2" name="直接箭头连接符 2"/>
                <wp:cNvGraphicFramePr/>
                <a:graphic xmlns:a="http://schemas.openxmlformats.org/drawingml/2006/main">
                  <a:graphicData uri="http://schemas.microsoft.com/office/word/2010/wordprocessingShape">
                    <wps:wsp>
                      <wps:cNvCnPr/>
                      <wps:spPr>
                        <a:xfrm>
                          <a:off x="0" y="0"/>
                          <a:ext cx="5615940" cy="0"/>
                        </a:xfrm>
                        <a:prstGeom prst="straightConnector1">
                          <a:avLst/>
                        </a:prstGeom>
                        <a:ln w="3492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55pt;margin-top:23pt;height:0pt;width:442.2pt;z-index:251659264;mso-width-relative:page;mso-height-relative:page;" filled="f" stroked="t" coordsize="21600,21600" o:gfxdata="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6e4jXTAAAABwEAAA8AAAAAAAAAAQAgAAAAIgAAAGRycy9kb3ducmV2&#10;LnhtbFBLAQIUABQAAAAIAIdO4kDXaDQzAQIAAO0DAAAOAAAAAAAAAAEAIAAAACIBAABkcnMvZTJv&#10;RG9jLnhtbFBLBQYAAAAABgAGAFkBAACVBQAAAAA=&#10;">
                <v:fill on="f" focussize="0,0"/>
                <v:stroke weight="2.75pt" color="#FF0000" joinstyle="round"/>
                <v:imagedata o:title=""/>
                <o:lock v:ext="edit" aspectratio="f"/>
              </v:shape>
            </w:pict>
          </mc:Fallback>
        </mc:AlternateContent>
      </w:r>
    </w:p>
    <w:p>
      <w:pPr>
        <w:autoSpaceDE w:val="0"/>
        <w:autoSpaceDN w:val="0"/>
        <w:adjustRightInd w:val="0"/>
        <w:jc w:val="center"/>
        <w:rPr>
          <w:rFonts w:hint="eastAsia" w:ascii="仿宋_GB2312" w:hAnsi="Calibri" w:eastAsia="仿宋_GB2312" w:cs="仿宋_GB2312"/>
          <w:kern w:val="0"/>
          <w:sz w:val="32"/>
          <w:szCs w:val="32"/>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昆明市五华区人力资源和社会保障局</w:t>
      </w:r>
    </w:p>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依法行政维护和谐劳动关系工作经费</w:t>
      </w:r>
    </w:p>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（一）项目概况</w:t>
      </w:r>
    </w:p>
    <w:p>
      <w:pPr>
        <w:spacing w:line="56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1.保障仲裁</w:t>
      </w:r>
      <w:r>
        <w:rPr>
          <w:rFonts w:hint="eastAsia" w:ascii="楷体_GB2312" w:hAnsi="楷体_GB2312" w:eastAsia="楷体_GB2312" w:cs="楷体_GB2312"/>
          <w:sz w:val="32"/>
          <w:szCs w:val="32"/>
          <w:lang w:eastAsia="zh-CN"/>
        </w:rPr>
        <w:t>工作正常开展</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区仲裁院认真贯彻落实党的二十大精神</w:t>
      </w:r>
      <w:r>
        <w:rPr>
          <w:rFonts w:hint="eastAsia" w:ascii="仿宋_GB2312" w:eastAsia="仿宋_GB2312"/>
          <w:sz w:val="32"/>
          <w:szCs w:val="32"/>
          <w:lang w:eastAsia="zh-CN"/>
        </w:rPr>
        <w:t>，</w:t>
      </w:r>
      <w:r>
        <w:rPr>
          <w:rFonts w:hint="eastAsia" w:ascii="仿宋_GB2312" w:eastAsia="仿宋_GB2312"/>
          <w:sz w:val="32"/>
          <w:szCs w:val="32"/>
        </w:rPr>
        <w:t>积极应对挑战</w:t>
      </w:r>
      <w:r>
        <w:rPr>
          <w:rFonts w:hint="eastAsia" w:ascii="仿宋_GB2312" w:eastAsia="仿宋_GB2312"/>
          <w:sz w:val="32"/>
          <w:szCs w:val="32"/>
          <w:lang w:eastAsia="zh-CN"/>
        </w:rPr>
        <w:t>，</w:t>
      </w:r>
      <w:r>
        <w:rPr>
          <w:rFonts w:hint="eastAsia" w:ascii="仿宋_GB2312" w:eastAsia="仿宋_GB2312"/>
          <w:sz w:val="32"/>
          <w:szCs w:val="32"/>
        </w:rPr>
        <w:t>紧紧围绕维护劳动者和企业合法权益</w:t>
      </w:r>
      <w:r>
        <w:rPr>
          <w:rFonts w:hint="eastAsia" w:ascii="仿宋_GB2312" w:eastAsia="仿宋_GB2312"/>
          <w:sz w:val="32"/>
          <w:szCs w:val="32"/>
          <w:lang w:eastAsia="zh-CN"/>
        </w:rPr>
        <w:t>，</w:t>
      </w:r>
      <w:r>
        <w:rPr>
          <w:rFonts w:hint="eastAsia" w:ascii="仿宋_GB2312" w:eastAsia="仿宋_GB2312"/>
          <w:sz w:val="32"/>
          <w:szCs w:val="32"/>
        </w:rPr>
        <w:t>以“稳定劳动关系”助力“稳就业”</w:t>
      </w:r>
      <w:r>
        <w:rPr>
          <w:rFonts w:hint="eastAsia" w:ascii="仿宋_GB2312" w:eastAsia="仿宋_GB2312"/>
          <w:sz w:val="32"/>
          <w:szCs w:val="32"/>
          <w:lang w:eastAsia="zh-CN"/>
        </w:rPr>
        <w:t>，</w:t>
      </w:r>
      <w:r>
        <w:rPr>
          <w:rFonts w:hint="eastAsia" w:ascii="仿宋_GB2312" w:eastAsia="仿宋_GB2312"/>
          <w:sz w:val="32"/>
          <w:szCs w:val="32"/>
        </w:rPr>
        <w:t>以提高劳动人事争议处理效能为主线,深入贯彻落实《中华人民共和国劳动合同法》《中华人民共和国劳动争议调解仲裁法》等法律法规</w:t>
      </w:r>
      <w:r>
        <w:rPr>
          <w:rFonts w:hint="eastAsia" w:ascii="仿宋_GB2312" w:eastAsia="仿宋_GB2312"/>
          <w:sz w:val="32"/>
          <w:szCs w:val="32"/>
          <w:lang w:eastAsia="zh-CN"/>
        </w:rPr>
        <w:t>，</w:t>
      </w:r>
      <w:r>
        <w:rPr>
          <w:rFonts w:hint="eastAsia" w:ascii="仿宋_GB2312" w:eastAsia="仿宋_GB2312"/>
          <w:sz w:val="32"/>
          <w:szCs w:val="32"/>
        </w:rPr>
        <w:t>加强基层调解组织建设和仲裁机构基本建设</w:t>
      </w:r>
      <w:r>
        <w:rPr>
          <w:rFonts w:hint="eastAsia" w:ascii="仿宋_GB2312" w:eastAsia="仿宋_GB2312"/>
          <w:sz w:val="32"/>
          <w:szCs w:val="32"/>
          <w:lang w:eastAsia="zh-CN"/>
        </w:rPr>
        <w:t>，</w:t>
      </w:r>
      <w:r>
        <w:rPr>
          <w:rFonts w:hint="eastAsia" w:ascii="仿宋_GB2312" w:eastAsia="仿宋_GB2312"/>
          <w:sz w:val="32"/>
          <w:szCs w:val="32"/>
        </w:rPr>
        <w:t>健全完善基本制度、夯实基础保障</w:t>
      </w:r>
      <w:r>
        <w:rPr>
          <w:rFonts w:hint="eastAsia" w:ascii="仿宋_GB2312" w:eastAsia="仿宋_GB2312"/>
          <w:sz w:val="32"/>
          <w:szCs w:val="32"/>
          <w:lang w:eastAsia="zh-CN"/>
        </w:rPr>
        <w:t>，</w:t>
      </w:r>
      <w:r>
        <w:rPr>
          <w:rFonts w:hint="eastAsia" w:ascii="仿宋_GB2312" w:eastAsia="仿宋_GB2312"/>
          <w:sz w:val="32"/>
          <w:szCs w:val="32"/>
        </w:rPr>
        <w:t>加强调裁审衔接</w:t>
      </w:r>
      <w:r>
        <w:rPr>
          <w:rFonts w:hint="eastAsia" w:ascii="仿宋_GB2312" w:eastAsia="仿宋_GB2312"/>
          <w:sz w:val="32"/>
          <w:szCs w:val="32"/>
          <w:lang w:eastAsia="zh-CN"/>
        </w:rPr>
        <w:t>，</w:t>
      </w:r>
      <w:r>
        <w:rPr>
          <w:rFonts w:hint="eastAsia" w:ascii="仿宋_GB2312" w:eastAsia="仿宋_GB2312"/>
          <w:sz w:val="32"/>
          <w:szCs w:val="32"/>
        </w:rPr>
        <w:t>努力构建新时期和谐劳动关系</w:t>
      </w:r>
      <w:r>
        <w:rPr>
          <w:rFonts w:hint="eastAsia" w:ascii="仿宋_GB2312" w:eastAsia="仿宋_GB2312"/>
          <w:sz w:val="32"/>
          <w:szCs w:val="32"/>
          <w:lang w:eastAsia="zh-CN"/>
        </w:rPr>
        <w:t>，</w:t>
      </w:r>
      <w:r>
        <w:rPr>
          <w:rFonts w:hint="eastAsia" w:ascii="仿宋_GB2312" w:eastAsia="仿宋_GB2312"/>
          <w:sz w:val="32"/>
          <w:szCs w:val="32"/>
        </w:rPr>
        <w:t>积极维护社会稳定。</w:t>
      </w:r>
    </w:p>
    <w:p>
      <w:pPr>
        <w:widowControl w:val="0"/>
        <w:spacing w:line="576" w:lineRule="exact"/>
        <w:ind w:firstLine="640" w:firstLineChars="200"/>
        <w:jc w:val="both"/>
        <w:rPr>
          <w:rFonts w:hint="default"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2.</w:t>
      </w:r>
      <w:r>
        <w:rPr>
          <w:rFonts w:hint="eastAsia" w:ascii="楷体_GB2312" w:hAnsi="楷体_GB2312" w:eastAsia="楷体_GB2312" w:cs="楷体_GB2312"/>
          <w:b w:val="0"/>
          <w:bCs w:val="0"/>
          <w:kern w:val="2"/>
          <w:sz w:val="32"/>
          <w:szCs w:val="32"/>
          <w:lang w:val="en-US" w:eastAsia="zh-CN" w:bidi="ar-SA"/>
        </w:rPr>
        <w:t>劳动监察大队办案</w:t>
      </w:r>
    </w:p>
    <w:p>
      <w:pPr>
        <w:widowControl w:val="0"/>
        <w:spacing w:line="576" w:lineRule="exact"/>
        <w:ind w:firstLine="640" w:firstLineChars="200"/>
        <w:jc w:val="both"/>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根据相关规定，劳动保障监察大队认真履行以下职责：依法纠正和查处用人单位违反劳动保障法律法规的行为。开展农民工维权工作，及时、妥善突发事件。在查处案件过程中，需要市场监管、公安等部门的支持和配合；有的案件要作相关评估、鉴定及委托；有的案件须外出调查取证，例如：在查处童工案件时，必须到童工出生地开展调查取证，产生异地调查取证费用包括误餐费、住宿费、车辆租赁、油料、路桥等相关费用。</w:t>
      </w:r>
    </w:p>
    <w:p>
      <w:pPr>
        <w:widowControl w:val="0"/>
        <w:numPr>
          <w:ilvl w:val="0"/>
          <w:numId w:val="0"/>
        </w:numPr>
        <w:spacing w:line="576" w:lineRule="exact"/>
        <w:ind w:firstLine="640" w:firstLineChars="200"/>
        <w:jc w:val="both"/>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3.依法行政诉讼</w:t>
      </w:r>
    </w:p>
    <w:p>
      <w:pPr>
        <w:widowControl w:val="0"/>
        <w:spacing w:line="576" w:lineRule="exact"/>
        <w:ind w:firstLine="640" w:firstLineChars="200"/>
        <w:jc w:val="both"/>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宣传国家法律法规和政策，受理违反劳动保障法律法规的投诉和举报，依法纠正和查处用人单位违反劳动保障法律法规的行为。开展农民工维权工作，及时、妥善突发事件。依法应对行政诉讼等。</w:t>
      </w:r>
    </w:p>
    <w:p>
      <w:pPr>
        <w:widowControl w:val="0"/>
        <w:spacing w:line="576" w:lineRule="exact"/>
        <w:ind w:firstLine="640" w:firstLineChars="200"/>
        <w:jc w:val="both"/>
        <w:rPr>
          <w:rFonts w:hint="default" w:ascii="楷体_GB2312" w:hAnsi="Times New Roman" w:eastAsia="楷体_GB2312" w:cs="Times New Roman"/>
          <w:color w:val="000000"/>
          <w:kern w:val="2"/>
          <w:sz w:val="32"/>
          <w:shd w:val="clear" w:color="auto" w:fill="FFFFFF"/>
          <w:lang w:val="en-US" w:eastAsia="zh-CN" w:bidi="ar-SA"/>
        </w:rPr>
      </w:pPr>
      <w:r>
        <w:rPr>
          <w:rFonts w:hint="eastAsia" w:ascii="楷体_GB2312" w:hAnsi="Times New Roman" w:eastAsia="楷体_GB2312" w:cs="Times New Roman"/>
          <w:color w:val="000000"/>
          <w:kern w:val="2"/>
          <w:sz w:val="32"/>
          <w:shd w:val="clear" w:color="auto" w:fill="FFFFFF"/>
          <w:lang w:val="en-US" w:eastAsia="zh-CN" w:bidi="ar-SA"/>
        </w:rPr>
        <w:t>4.工伤认定</w:t>
      </w:r>
    </w:p>
    <w:p>
      <w:pPr>
        <w:widowControl w:val="0"/>
        <w:spacing w:line="576" w:lineRule="exact"/>
        <w:ind w:firstLine="640" w:firstLineChars="200"/>
        <w:jc w:val="both"/>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进一步以政策为依据，以服务为宗旨，认真做好工伤认定工作。针对近年来农民工、各类企业参加工伤保险人数日益增多、工伤事故调查较为复杂的实际，从“准、快、细”三个方面扎实做好工伤认定工作，切实维护受伤职工和用人单位的合法权益。一是做到“准”，在工伤认定过程中严把工伤认定申请受理关，认真审核用人单位或个人提供的工伤认定申请，确保每一起工伤认定的准确性。二是做到“快”，接到工伤认定申请后，对提供所需材料齐全的，当场受理，及时组织人员开展调查取证，经调查事实清楚、证据确凿的，在最短的时间内完成认定工作；三是做到“细”，在进行工伤认定时，加强了对企业法人和现场旁证人员工伤认定、工伤保险政策的宣传，深入细致的做好调查核实工作，减少不必要的行政诉讼案件发生。</w:t>
      </w:r>
    </w:p>
    <w:p>
      <w:pPr>
        <w:widowControl w:val="0"/>
        <w:spacing w:line="576" w:lineRule="exact"/>
        <w:ind w:firstLine="640" w:firstLineChars="200"/>
        <w:jc w:val="both"/>
        <w:rPr>
          <w:rFonts w:hint="default" w:ascii="楷体_GB2312" w:hAnsi="Times New Roman" w:eastAsia="楷体_GB2312" w:cs="Times New Roman"/>
          <w:strike w:val="0"/>
          <w:dstrike w:val="0"/>
          <w:color w:val="000000"/>
          <w:kern w:val="2"/>
          <w:sz w:val="32"/>
          <w:shd w:val="clear" w:color="auto" w:fill="FFFFFF"/>
          <w:lang w:val="en-US" w:eastAsia="zh-CN" w:bidi="ar-SA"/>
        </w:rPr>
      </w:pPr>
      <w:r>
        <w:rPr>
          <w:rFonts w:hint="eastAsia" w:ascii="楷体_GB2312" w:hAnsi="Times New Roman" w:eastAsia="楷体_GB2312" w:cs="Times New Roman"/>
          <w:strike w:val="0"/>
          <w:dstrike w:val="0"/>
          <w:color w:val="000000"/>
          <w:kern w:val="2"/>
          <w:sz w:val="32"/>
          <w:shd w:val="clear" w:color="auto" w:fill="FFFFFF"/>
          <w:lang w:val="en-US" w:eastAsia="zh-CN" w:bidi="ar-SA"/>
        </w:rPr>
        <w:t>5.社会保险基金监督安全评估</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Calibri" w:eastAsia="仿宋_GB2312" w:cs="Times New Roman"/>
          <w:strike w:val="0"/>
          <w:dstrike w:val="0"/>
          <w:kern w:val="2"/>
          <w:sz w:val="32"/>
          <w:szCs w:val="32"/>
          <w:lang w:val="en-US" w:eastAsia="zh-CN" w:bidi="ar-SA"/>
        </w:rPr>
      </w:pPr>
      <w:r>
        <w:rPr>
          <w:rFonts w:hint="eastAsia" w:ascii="仿宋_GB2312" w:hAnsi="Calibri" w:eastAsia="仿宋_GB2312" w:cs="Times New Roman"/>
          <w:strike w:val="0"/>
          <w:dstrike w:val="0"/>
          <w:kern w:val="2"/>
          <w:sz w:val="32"/>
          <w:szCs w:val="32"/>
          <w:lang w:val="en-US" w:eastAsia="zh-CN" w:bidi="ar-SA"/>
        </w:rPr>
        <w:t>社会保险基金安全评估是强化基金安全状况监测，增强政策、经办、信息、监督四位一体监管的预见性和针对性，加强基金管理风险防控，强化监督管理，提高监管效能，提升基金安全程度的一项重要措施。</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（二）项目绩效目标</w:t>
      </w:r>
    </w:p>
    <w:p>
      <w:pPr>
        <w:widowControl w:val="0"/>
        <w:spacing w:line="560" w:lineRule="exact"/>
        <w:ind w:firstLine="640" w:firstLineChars="200"/>
        <w:jc w:val="both"/>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1.保障仲裁工作正常开展</w:t>
      </w:r>
    </w:p>
    <w:p>
      <w:pPr>
        <w:widowControl w:val="0"/>
        <w:spacing w:line="600" w:lineRule="exact"/>
        <w:ind w:firstLine="640" w:firstLineChars="200"/>
        <w:jc w:val="both"/>
        <w:rPr>
          <w:rFonts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以“预防为主、调解为主、基层为主”的办案思路，简化办事程序、提高工作效能、加强服务意识，提高劳动人事争议仲裁员队伍业务素质，定期交流劳动人事争议仲裁办案经验，更好的处理劳动人事争议仲裁工作面临的新情况、新问题。积极稳妥处理劳动人事争议，确保劳动人事争议调解仲裁工作全面、有序、扎实推进，促进劳动关系和谐发展。</w:t>
      </w:r>
    </w:p>
    <w:p>
      <w:pPr>
        <w:widowControl w:val="0"/>
        <w:spacing w:line="576" w:lineRule="exact"/>
        <w:ind w:firstLine="640" w:firstLineChars="200"/>
        <w:jc w:val="both"/>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2.劳动监察大队办案</w:t>
      </w:r>
    </w:p>
    <w:p>
      <w:pPr>
        <w:widowControl w:val="0"/>
        <w:spacing w:line="576" w:lineRule="exact"/>
        <w:ind w:firstLine="640" w:firstLineChars="200"/>
        <w:jc w:val="both"/>
        <w:rPr>
          <w:rFonts w:hint="eastAsia" w:ascii="仿宋_GB2312" w:hAnsi="Calibri" w:eastAsia="仿宋_GB2312" w:cs="Times New Roman"/>
          <w:kern w:val="2"/>
          <w:sz w:val="32"/>
          <w:szCs w:val="32"/>
          <w:lang w:val="en-US" w:eastAsia="zh-CN" w:bidi="ar-SA"/>
        </w:rPr>
      </w:pPr>
      <w:r>
        <w:rPr>
          <w:rFonts w:hint="eastAsia" w:ascii="仿宋_GB2312" w:hAnsi="宋体" w:eastAsia="仿宋_GB2312" w:cs="宋体"/>
          <w:color w:val="000000"/>
          <w:kern w:val="0"/>
          <w:sz w:val="32"/>
          <w:szCs w:val="32"/>
          <w:lang w:val="en-US" w:eastAsia="zh-CN" w:bidi="ar-SA"/>
        </w:rPr>
        <w:t>按照全年实际</w:t>
      </w:r>
      <w:r>
        <w:rPr>
          <w:rFonts w:hint="eastAsia" w:ascii="仿宋_GB2312" w:hAnsi="Calibri" w:eastAsia="仿宋_GB2312" w:cs="Times New Roman"/>
          <w:kern w:val="2"/>
          <w:sz w:val="32"/>
          <w:szCs w:val="32"/>
          <w:lang w:val="en-US" w:eastAsia="zh-CN" w:bidi="ar-SA"/>
        </w:rPr>
        <w:t>举报、投诉案件结案率98%以上，及时、妥善处理突发事件、依法查处违法案件等。</w:t>
      </w:r>
    </w:p>
    <w:p>
      <w:pPr>
        <w:widowControl w:val="0"/>
        <w:spacing w:line="576" w:lineRule="exact"/>
        <w:ind w:firstLine="640" w:firstLineChars="200"/>
        <w:jc w:val="both"/>
        <w:rPr>
          <w:rFonts w:hint="eastAsia" w:ascii="仿宋_GB2312" w:hAnsi="Calibri" w:eastAsia="仿宋_GB2312" w:cs="Times New Roman"/>
          <w:kern w:val="2"/>
          <w:sz w:val="32"/>
          <w:szCs w:val="32"/>
          <w:lang w:val="en-US" w:eastAsia="zh-CN" w:bidi="ar-SA"/>
        </w:rPr>
      </w:pPr>
      <w:r>
        <w:rPr>
          <w:rFonts w:hint="eastAsia" w:ascii="楷体_GB2312" w:hAnsi="楷体_GB2312" w:eastAsia="楷体_GB2312" w:cs="楷体_GB2312"/>
          <w:kern w:val="2"/>
          <w:sz w:val="32"/>
          <w:szCs w:val="32"/>
          <w:lang w:val="en-US" w:eastAsia="zh-CN" w:bidi="ar-SA"/>
        </w:rPr>
        <w:t>3.依法行政诉讼</w:t>
      </w:r>
    </w:p>
    <w:p>
      <w:pPr>
        <w:widowControl w:val="0"/>
        <w:spacing w:line="576" w:lineRule="exact"/>
        <w:ind w:firstLine="640" w:firstLineChars="200"/>
        <w:jc w:val="both"/>
        <w:rPr>
          <w:rFonts w:hint="eastAsia" w:ascii="仿宋_GB2312" w:hAnsi="宋体" w:eastAsia="仿宋_GB2312" w:cs="宋体"/>
          <w:color w:val="000000"/>
          <w:kern w:val="0"/>
          <w:sz w:val="32"/>
          <w:szCs w:val="32"/>
          <w:lang w:val="en-US" w:eastAsia="zh-CN" w:bidi="ar-SA"/>
        </w:rPr>
      </w:pPr>
      <w:r>
        <w:rPr>
          <w:rFonts w:hint="eastAsia" w:ascii="仿宋_GB2312" w:hAnsi="Calibri" w:eastAsia="仿宋_GB2312" w:cs="Times New Roman"/>
          <w:kern w:val="2"/>
          <w:sz w:val="32"/>
          <w:szCs w:val="32"/>
          <w:lang w:val="en-US" w:eastAsia="zh-CN" w:bidi="ar-SA"/>
        </w:rPr>
        <w:t>聘请专职律师作为五华区人社局行政诉讼案件的委托承办律师，参与诉讼。</w:t>
      </w:r>
    </w:p>
    <w:p>
      <w:pPr>
        <w:widowControl w:val="0"/>
        <w:spacing w:line="576" w:lineRule="exact"/>
        <w:ind w:firstLine="640" w:firstLineChars="200"/>
        <w:jc w:val="both"/>
        <w:rPr>
          <w:rFonts w:hint="default" w:ascii="楷体_GB2312" w:hAnsi="Times New Roman" w:eastAsia="楷体_GB2312" w:cs="Times New Roman"/>
          <w:color w:val="000000"/>
          <w:kern w:val="2"/>
          <w:sz w:val="32"/>
          <w:shd w:val="clear" w:color="auto" w:fill="FFFFFF"/>
          <w:lang w:val="en-US" w:eastAsia="zh-CN" w:bidi="ar-SA"/>
        </w:rPr>
      </w:pPr>
      <w:r>
        <w:rPr>
          <w:rFonts w:hint="eastAsia" w:ascii="楷体_GB2312" w:hAnsi="Times New Roman" w:eastAsia="楷体_GB2312" w:cs="Times New Roman"/>
          <w:color w:val="000000"/>
          <w:kern w:val="2"/>
          <w:sz w:val="32"/>
          <w:shd w:val="clear" w:color="auto" w:fill="FFFFFF"/>
          <w:lang w:val="en-US" w:eastAsia="zh-CN" w:bidi="ar-SA"/>
        </w:rPr>
        <w:t>4.工伤认定</w:t>
      </w:r>
    </w:p>
    <w:p>
      <w:pPr>
        <w:widowControl w:val="0"/>
        <w:spacing w:line="576" w:lineRule="exact"/>
        <w:ind w:firstLine="640" w:firstLineChars="200"/>
        <w:jc w:val="both"/>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日常做好政策咨询解答工作，对企业职工所涉及的工伤认定方面的政策予以指导，对企业职工工伤认定申请进行认真细致审核。通过我们细心工作，避免和减少职工因工受伤利益受损而引发的行政复议、诉讼等案件，切实保障受伤职工及时得到基本救治的经济补偿，更有效维护企业和职工的合法权益。</w:t>
      </w:r>
    </w:p>
    <w:p>
      <w:pPr>
        <w:widowControl w:val="0"/>
        <w:spacing w:line="576" w:lineRule="exact"/>
        <w:ind w:firstLine="640" w:firstLineChars="200"/>
        <w:jc w:val="both"/>
        <w:rPr>
          <w:rFonts w:hint="default" w:ascii="楷体_GB2312" w:hAnsi="Times New Roman" w:eastAsia="楷体_GB2312" w:cs="Times New Roman"/>
          <w:strike w:val="0"/>
          <w:dstrike w:val="0"/>
          <w:color w:val="000000"/>
          <w:kern w:val="2"/>
          <w:sz w:val="32"/>
          <w:shd w:val="clear" w:color="auto" w:fill="FFFFFF"/>
          <w:lang w:val="en-US" w:eastAsia="zh-CN" w:bidi="ar-SA"/>
        </w:rPr>
      </w:pPr>
      <w:r>
        <w:rPr>
          <w:rFonts w:hint="eastAsia" w:ascii="楷体_GB2312" w:hAnsi="Times New Roman" w:eastAsia="楷体_GB2312" w:cs="Times New Roman"/>
          <w:strike w:val="0"/>
          <w:dstrike w:val="0"/>
          <w:color w:val="000000"/>
          <w:kern w:val="2"/>
          <w:sz w:val="32"/>
          <w:shd w:val="clear" w:color="auto" w:fill="FFFFFF"/>
          <w:lang w:val="en-US" w:eastAsia="zh-CN" w:bidi="ar-SA"/>
        </w:rPr>
        <w:t>5.开展社会保险基金监督安全评估</w:t>
      </w:r>
    </w:p>
    <w:p>
      <w:pPr>
        <w:widowControl w:val="0"/>
        <w:spacing w:line="576"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方正仿宋_GBK" w:eastAsia="仿宋_GB2312" w:cs="方正仿宋_GBK"/>
          <w:kern w:val="2"/>
          <w:sz w:val="32"/>
          <w:szCs w:val="32"/>
          <w:lang w:val="en-US" w:eastAsia="zh-CN" w:bidi="ar-SA"/>
        </w:rPr>
        <w:t>为充分发挥社会保险基金安全评估促进基金管理风险防控措施落实，维护基金安全，保障社会保险事业健康持续发展的重要作用，按照省市要求全面开展社会保险基金安全评估工作。</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（三）项目组织管理情况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lang w:val="en-US" w:eastAsia="zh-CN"/>
        </w:rPr>
        <w:t>1.</w:t>
      </w:r>
      <w:r>
        <w:rPr>
          <w:rFonts w:hint="eastAsia" w:ascii="楷体_GB2312" w:hAnsi="楷体_GB2312" w:eastAsia="楷体_GB2312" w:cs="楷体_GB2312"/>
          <w:sz w:val="32"/>
          <w:szCs w:val="32"/>
          <w:highlight w:val="none"/>
          <w:lang w:val="en-US" w:eastAsia="zh-CN"/>
        </w:rPr>
        <w:t>保障仲裁</w:t>
      </w:r>
      <w:r>
        <w:rPr>
          <w:rFonts w:hint="eastAsia" w:ascii="楷体_GB2312" w:hAnsi="楷体_GB2312" w:eastAsia="楷体_GB2312" w:cs="楷体_GB2312"/>
          <w:sz w:val="32"/>
          <w:szCs w:val="32"/>
          <w:highlight w:val="none"/>
          <w:lang w:eastAsia="zh-CN"/>
        </w:rPr>
        <w:t>工作正常开展</w:t>
      </w:r>
    </w:p>
    <w:p>
      <w:pPr>
        <w:spacing w:line="576" w:lineRule="exact"/>
        <w:ind w:firstLine="640" w:firstLineChars="200"/>
        <w:rPr>
          <w:rFonts w:hint="default" w:ascii="仿宋_GB2312" w:hAnsi="宋体" w:eastAsia="仿宋_GB2312"/>
          <w:sz w:val="32"/>
          <w:szCs w:val="32"/>
          <w:highlight w:val="none"/>
        </w:rPr>
      </w:pPr>
      <w:r>
        <w:rPr>
          <w:rFonts w:hint="default" w:ascii="仿宋_GB2312" w:hAnsi="宋体" w:eastAsia="仿宋_GB2312"/>
          <w:sz w:val="32"/>
          <w:szCs w:val="32"/>
          <w:highlight w:val="none"/>
        </w:rPr>
        <w:t>具体实施科室：</w:t>
      </w:r>
      <w:r>
        <w:rPr>
          <w:rFonts w:hint="eastAsia" w:ascii="仿宋_GB2312" w:hAnsi="宋体" w:eastAsia="仿宋_GB2312"/>
          <w:sz w:val="32"/>
          <w:szCs w:val="32"/>
          <w:highlight w:val="none"/>
        </w:rPr>
        <w:t>区劳动人事争议仲裁院</w:t>
      </w:r>
    </w:p>
    <w:p>
      <w:pPr>
        <w:spacing w:line="576" w:lineRule="exact"/>
        <w:ind w:firstLine="640" w:firstLineChars="200"/>
        <w:rPr>
          <w:rFonts w:hint="eastAsia" w:ascii="楷体_GB2312" w:hAnsi="黑体" w:eastAsia="楷体_GB2312"/>
          <w:sz w:val="32"/>
          <w:szCs w:val="32"/>
          <w:highlight w:val="none"/>
          <w:lang w:eastAsia="zh-CN"/>
        </w:rPr>
      </w:pPr>
      <w:r>
        <w:rPr>
          <w:rFonts w:hint="eastAsia" w:ascii="楷体_GB2312" w:hAnsi="楷体_GB2312" w:eastAsia="楷体_GB2312" w:cs="楷体_GB2312"/>
          <w:sz w:val="32"/>
          <w:szCs w:val="32"/>
          <w:highlight w:val="none"/>
          <w:lang w:val="en-US" w:eastAsia="zh-CN"/>
        </w:rPr>
        <w:t>2.</w:t>
      </w:r>
      <w:r>
        <w:rPr>
          <w:rFonts w:hint="eastAsia" w:ascii="楷体_GB2312" w:hAnsi="楷体_GB2312" w:eastAsia="楷体_GB2312" w:cs="楷体_GB2312"/>
          <w:sz w:val="32"/>
          <w:szCs w:val="32"/>
          <w:highlight w:val="none"/>
          <w:lang w:eastAsia="zh-CN"/>
        </w:rPr>
        <w:t>劳动监察大队办案</w:t>
      </w:r>
    </w:p>
    <w:p>
      <w:pPr>
        <w:ind w:firstLine="640" w:firstLineChars="200"/>
        <w:rPr>
          <w:rFonts w:hint="default" w:ascii="仿宋_GB2312" w:hAnsi="黑体" w:eastAsia="仿宋_GB2312"/>
          <w:sz w:val="32"/>
          <w:szCs w:val="32"/>
          <w:highlight w:val="none"/>
          <w:lang w:val="en-US"/>
        </w:rPr>
      </w:pPr>
      <w:r>
        <w:rPr>
          <w:rFonts w:hint="eastAsia" w:ascii="仿宋_GB2312" w:hAnsi="黑体" w:eastAsia="仿宋_GB2312"/>
          <w:sz w:val="32"/>
          <w:szCs w:val="32"/>
          <w:highlight w:val="none"/>
        </w:rPr>
        <w:t>具体实施科室</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区劳动保障监察大队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3.依法行政诉讼</w:t>
      </w:r>
    </w:p>
    <w:p>
      <w:pPr>
        <w:ind w:firstLine="640" w:firstLineChars="200"/>
        <w:rPr>
          <w:rFonts w:hint="default" w:ascii="仿宋_GB2312" w:hAnsi="黑体" w:eastAsia="仿宋_GB2312"/>
          <w:sz w:val="32"/>
          <w:szCs w:val="32"/>
          <w:highlight w:val="none"/>
          <w:lang w:val="en-US"/>
        </w:rPr>
      </w:pPr>
      <w:r>
        <w:rPr>
          <w:rFonts w:hint="eastAsia" w:ascii="仿宋_GB2312" w:hAnsi="黑体" w:eastAsia="仿宋_GB2312"/>
          <w:sz w:val="32"/>
          <w:szCs w:val="32"/>
          <w:highlight w:val="none"/>
        </w:rPr>
        <w:t>具体实施科室</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法规和劳动关系科</w:t>
      </w:r>
    </w:p>
    <w:p>
      <w:pPr>
        <w:spacing w:line="576" w:lineRule="exact"/>
        <w:ind w:firstLine="640" w:firstLineChars="200"/>
        <w:rPr>
          <w:rFonts w:hint="default" w:ascii="楷体_GB2312" w:hAnsi="Times New Roman" w:eastAsia="楷体_GB2312" w:cs="Times New Roman"/>
          <w:color w:val="000000" w:themeColor="text1"/>
          <w:sz w:val="32"/>
          <w:highlight w:val="none"/>
          <w:shd w:val="clear" w:color="auto" w:fill="FFFFFF"/>
          <w:lang w:val="en-US" w:eastAsia="zh-CN"/>
          <w14:textFill>
            <w14:solidFill>
              <w14:schemeClr w14:val="tx1"/>
            </w14:solidFill>
          </w14:textFill>
        </w:rPr>
      </w:pPr>
      <w:r>
        <w:rPr>
          <w:rFonts w:hint="eastAsia" w:ascii="楷体_GB2312" w:hAnsi="Times New Roman" w:eastAsia="楷体_GB2312" w:cs="Times New Roman"/>
          <w:color w:val="000000" w:themeColor="text1"/>
          <w:sz w:val="32"/>
          <w:highlight w:val="none"/>
          <w:shd w:val="clear" w:color="auto" w:fill="FFFFFF"/>
          <w:lang w:val="en-US" w:eastAsia="zh-CN"/>
          <w14:textFill>
            <w14:solidFill>
              <w14:schemeClr w14:val="tx1"/>
            </w14:solidFill>
          </w14:textFill>
        </w:rPr>
        <w:t>4.</w:t>
      </w:r>
      <w:r>
        <w:rPr>
          <w:rFonts w:hint="eastAsia" w:ascii="楷体_GB2312" w:hAnsi="Times New Roman" w:eastAsia="楷体_GB2312" w:cs="Times New Roman"/>
          <w:color w:val="000000" w:themeColor="text1"/>
          <w:sz w:val="32"/>
          <w:highlight w:val="none"/>
          <w:shd w:val="clear" w:color="auto" w:fill="FFFFFF"/>
          <w14:textFill>
            <w14:solidFill>
              <w14:schemeClr w14:val="tx1"/>
            </w14:solidFill>
          </w14:textFill>
        </w:rPr>
        <w:t>工伤认定</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具体实施科室：工资福利科</w:t>
      </w:r>
    </w:p>
    <w:p>
      <w:pPr>
        <w:spacing w:line="576" w:lineRule="exact"/>
        <w:ind w:firstLine="640" w:firstLineChars="200"/>
        <w:rPr>
          <w:rFonts w:hint="eastAsia" w:ascii="黑体" w:hAnsi="黑体" w:eastAsia="黑体"/>
          <w:strike w:val="0"/>
          <w:dstrike w:val="0"/>
          <w:sz w:val="32"/>
          <w:szCs w:val="32"/>
          <w:highlight w:val="none"/>
        </w:rPr>
      </w:pPr>
      <w:r>
        <w:rPr>
          <w:rFonts w:hint="eastAsia" w:ascii="楷体_GB2312" w:hAnsi="Times New Roman" w:eastAsia="楷体_GB2312" w:cs="Times New Roman"/>
          <w:strike w:val="0"/>
          <w:dstrike w:val="0"/>
          <w:color w:val="000000" w:themeColor="text1"/>
          <w:sz w:val="32"/>
          <w:highlight w:val="none"/>
          <w:shd w:val="clear" w:color="auto" w:fill="FFFFFF"/>
          <w:lang w:val="en-US" w:eastAsia="zh-CN"/>
          <w14:textFill>
            <w14:solidFill>
              <w14:schemeClr w14:val="tx1"/>
            </w14:solidFill>
          </w14:textFill>
        </w:rPr>
        <w:t>5.</w:t>
      </w:r>
      <w:r>
        <w:rPr>
          <w:rFonts w:hint="eastAsia" w:ascii="楷体_GB2312" w:hAnsi="Times New Roman" w:eastAsia="楷体_GB2312" w:cs="Times New Roman"/>
          <w:strike w:val="0"/>
          <w:dstrike w:val="0"/>
          <w:color w:val="000000" w:themeColor="text1"/>
          <w:sz w:val="32"/>
          <w:highlight w:val="none"/>
          <w:shd w:val="clear" w:color="auto" w:fill="FFFFFF"/>
          <w14:textFill>
            <w14:solidFill>
              <w14:schemeClr w14:val="tx1"/>
            </w14:solidFill>
          </w14:textFill>
        </w:rPr>
        <w:t>开展社会保险基金监督安全评估</w:t>
      </w:r>
    </w:p>
    <w:p>
      <w:pPr>
        <w:ind w:firstLine="640" w:firstLineChars="200"/>
        <w:rPr>
          <w:rFonts w:ascii="仿宋_GB2312" w:hAnsi="黑体" w:eastAsia="仿宋_GB2312"/>
          <w:strike w:val="0"/>
          <w:dstrike w:val="0"/>
          <w:sz w:val="32"/>
          <w:szCs w:val="32"/>
          <w:highlight w:val="none"/>
        </w:rPr>
      </w:pPr>
      <w:r>
        <w:rPr>
          <w:rFonts w:hint="eastAsia" w:ascii="仿宋_GB2312" w:hAnsi="黑体" w:eastAsia="仿宋_GB2312"/>
          <w:strike w:val="0"/>
          <w:dstrike w:val="0"/>
          <w:sz w:val="32"/>
          <w:szCs w:val="32"/>
          <w:highlight w:val="none"/>
        </w:rPr>
        <w:t>具体实施科室</w:t>
      </w:r>
      <w:r>
        <w:rPr>
          <w:rFonts w:hint="eastAsia" w:ascii="仿宋_GB2312" w:hAnsi="黑体" w:eastAsia="仿宋_GB2312"/>
          <w:strike w:val="0"/>
          <w:dstrike w:val="0"/>
          <w:sz w:val="32"/>
          <w:szCs w:val="32"/>
          <w:highlight w:val="none"/>
          <w:lang w:eastAsia="zh-CN"/>
        </w:rPr>
        <w:t>：社保基金监督科</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（一）绩效评价目的、对象和范围</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绩效评价的目的是根据年初设定的绩效目标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运用科学合理的绩效评价指标、评价标准和评价方法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区人社局依法行政维护和谐劳动关系工作经费</w:t>
      </w:r>
      <w:r>
        <w:rPr>
          <w:rFonts w:hint="eastAsia" w:ascii="仿宋_GB2312" w:hAnsi="仿宋_GB2312" w:eastAsia="仿宋_GB2312" w:cs="仿宋_GB2312"/>
          <w:color w:val="auto"/>
          <w:sz w:val="32"/>
          <w:szCs w:val="32"/>
        </w:rPr>
        <w:t>项目支出的经济性、效率性和效益性进行客观、公正的评价。绩效评价的对象是纳入财政预算管理区人社局依法行政维护和谐劳动关系工作经费项目支出资金。绩效评价的范围：一是财政资金使用情况、财务管理状况；二是绩效目标的实现程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包括是否达到预定产出和效果等。</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绩效评价原则、依据、指标体系等</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1.绩效评价原则：客观评价、实事求是</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2.评价依据：</w:t>
      </w:r>
      <w:r>
        <w:rPr>
          <w:rFonts w:hint="eastAsia" w:ascii="仿宋_GB2312" w:hAnsi="仿宋_GB2312" w:eastAsia="仿宋_GB2312" w:cs="仿宋_GB2312"/>
          <w:color w:val="auto"/>
          <w:sz w:val="32"/>
          <w:szCs w:val="32"/>
          <w:lang w:eastAsia="zh-CN"/>
        </w:rPr>
        <w:t>根据国家相关法律法规和规章制度、预算管理制度、项目及财务管理办法，单位职能职责、中长期发展规划及年度工作计划、单位申请预算时提出的绩效目标及其他相关材料、预算批复，结合年度预算执行情况和年度决算报告进行评价。</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3.评价指标体系：共分为</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个指标分类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项一级指标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项二级指标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rPr>
        <w:t>项三级指标。（详见《项目支出绩效评价表》）</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评价方法及标准:根据完成工作任务和取得工作成绩进行比较研究。</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（三）绩效评价工作过程</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加强财政预算项目支出绩效评价工作，我单位根据三定方案明确评价对象、评价工作目标及评价要求;成立项目支出绩效评价工作小组，了解项目总体情况、绩效评价政策、评价标准，收集相关资料。通过查阅相关的财务会计报表、账簿、会计凭证，了解项目资金收支情况、项目资金到位情况、实际支出情况和财务管理状况；核实和统计相关数据资料，评价该项目预期目标实现情况。组织讨论，评价打分，形成评价结论，提出存在问题、建议和意见，撰写评价报告。</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三、综合评价情况及评价结论（附相关评分表）</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（一）绩效评价综合结论</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绩效评价组从决策指标、产出指标、效益指标等方面进行评价，综合评分为97分，评价等级为优秀。</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项目立项符合规范，立项依据充分；绩效目标设置合理，绩效指标设置明确；预算编制结合实际，资金分配根据项目实际情况合理分配；在组织实施过程中能够较好完成项目目标。</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（二）绩效目标实现情况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受理查办违反劳动保障法律法规的举报、投诉案件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进行劳动法律法规等宣传工作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维护劳动者的合法权益。2022年受理劳动监察案件10180件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受理劳动仲裁案件2531件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完成仲裁文书专递送达587件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按时完成劳动监察案件结案和工伤认定案件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维护劳动者合法权益。</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按工作要求需对受理的工伤认定申请案件进行调查取证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维护劳动者的合法权益。受理工伤认定912件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60天内作出认定结论。</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为进一步加强基金风险防控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强化监督管理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促进完善政策制度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规范经办服务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提高精细化管理水平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提升基金安全程度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委托昆明博扬会计师事务所对202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年度企业职工基本养老保险基金、失业保险基金、工伤保险基金、城乡居民社会养老保险基金和被征地人员基本养老保险基金基金、就业补助资金的运行情况和基金风险管控状况进行评估。</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（一）项目决策情况分析</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依据上级文件及日常工作开展，需要保障仲裁工作正常开展、劳动监察大队办案工作及依法行政诉讼工作正常进行、进行工伤认定等。</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（二）项目过程情况分析</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项目按照三定方案明确科室工作职责，依法依规开展工作：</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Times New Roman" w:eastAsia="楷体_GB2312" w:cs="Times New Roman"/>
          <w:color w:val="000000" w:themeColor="text1"/>
          <w:sz w:val="32"/>
          <w:shd w:val="clear" w:color="auto" w:fill="FFFFFF"/>
          <w:lang w:val="en-US" w:eastAsia="zh-CN"/>
          <w14:textFill>
            <w14:solidFill>
              <w14:schemeClr w14:val="tx1"/>
            </w14:solidFill>
          </w14:textFill>
        </w:rPr>
        <w:t>1.保障仲裁工作正常开展</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依法、高效、公正、规范处理劳动人事争议案件；为调解员、专职仲裁员、兼职仲裁员沟通学习交流的平台，提升业务能力，保证办案质效；采取有效措施切实加强调解仲裁案件档案整理工作，按照一案一档规范条理地对案卷进行归档整理；加强劳动普法宣传活动。开展劳资培训，与广大企业和职工面对面，进行法律、法规和政策的宣传，提高群众法治意识。</w:t>
      </w:r>
    </w:p>
    <w:p>
      <w:pPr>
        <w:spacing w:line="576" w:lineRule="exact"/>
        <w:ind w:firstLine="640" w:firstLineChars="200"/>
        <w:rPr>
          <w:rFonts w:hint="eastAsia" w:ascii="楷体_GB2312" w:hAnsi="Times New Roman" w:eastAsia="楷体_GB2312" w:cs="Times New Roman"/>
          <w:color w:val="000000" w:themeColor="text1"/>
          <w:sz w:val="32"/>
          <w:shd w:val="clear" w:color="auto" w:fill="FFFFFF"/>
          <w:lang w:val="en-US" w:eastAsia="zh-CN"/>
          <w14:textFill>
            <w14:solidFill>
              <w14:schemeClr w14:val="tx1"/>
            </w14:solidFill>
          </w14:textFill>
        </w:rPr>
      </w:pPr>
      <w:r>
        <w:rPr>
          <w:rFonts w:hint="eastAsia" w:ascii="楷体_GB2312" w:hAnsi="Times New Roman" w:eastAsia="楷体_GB2312" w:cs="Times New Roman"/>
          <w:color w:val="000000" w:themeColor="text1"/>
          <w:sz w:val="32"/>
          <w:shd w:val="clear" w:color="auto" w:fill="FFFFFF"/>
          <w:lang w:val="en-US" w:eastAsia="zh-CN"/>
          <w14:textFill>
            <w14:solidFill>
              <w14:schemeClr w14:val="tx1"/>
            </w14:solidFill>
          </w14:textFill>
        </w:rPr>
        <w:t>2.劳动监察大队办案</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宣传国家法律法规和政策，受理违反劳动保障法律法规的投诉和举报，依法纠正和查处用人单位违反劳动保障法律法规的行为。开展农民工维权工作，及时、妥善突发事件等。</w:t>
      </w:r>
    </w:p>
    <w:p>
      <w:pPr>
        <w:spacing w:line="576" w:lineRule="exact"/>
        <w:ind w:firstLine="640" w:firstLineChars="200"/>
        <w:rPr>
          <w:rFonts w:hint="eastAsia" w:ascii="楷体_GB2312" w:hAnsi="Times New Roman" w:eastAsia="楷体_GB2312" w:cs="Times New Roman"/>
          <w:color w:val="000000" w:themeColor="text1"/>
          <w:sz w:val="32"/>
          <w:shd w:val="clear" w:color="auto" w:fill="FFFFFF"/>
          <w:lang w:val="en-US" w:eastAsia="zh-CN"/>
          <w14:textFill>
            <w14:solidFill>
              <w14:schemeClr w14:val="tx1"/>
            </w14:solidFill>
          </w14:textFill>
        </w:rPr>
      </w:pPr>
      <w:r>
        <w:rPr>
          <w:rFonts w:hint="eastAsia" w:ascii="楷体_GB2312" w:hAnsi="Times New Roman" w:eastAsia="楷体_GB2312" w:cs="Times New Roman"/>
          <w:color w:val="000000" w:themeColor="text1"/>
          <w:sz w:val="32"/>
          <w:shd w:val="clear" w:color="auto" w:fill="FFFFFF"/>
          <w:lang w:val="en-US" w:eastAsia="zh-CN"/>
          <w14:textFill>
            <w14:solidFill>
              <w14:schemeClr w14:val="tx1"/>
            </w14:solidFill>
          </w14:textFill>
        </w:rPr>
        <w:t>3.依法行政诉讼</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宣传国家法律法规和政策，受理违反劳动保障法律法规的投诉和举报，依法应对行政诉讼，聘请专职律师作为五华区人社局行政诉讼案件的委托承办律师，参与诉讼等。</w:t>
      </w:r>
    </w:p>
    <w:p>
      <w:pPr>
        <w:spacing w:line="576" w:lineRule="exact"/>
        <w:ind w:firstLine="640" w:firstLineChars="200"/>
        <w:rPr>
          <w:rFonts w:hint="eastAsia" w:ascii="楷体_GB2312" w:hAnsi="Times New Roman" w:eastAsia="楷体_GB2312" w:cs="Times New Roman"/>
          <w:color w:val="000000" w:themeColor="text1"/>
          <w:sz w:val="32"/>
          <w:shd w:val="clear" w:color="auto" w:fill="FFFFFF"/>
          <w:lang w:val="en-US" w:eastAsia="zh-CN"/>
          <w14:textFill>
            <w14:solidFill>
              <w14:schemeClr w14:val="tx1"/>
            </w14:solidFill>
          </w14:textFill>
        </w:rPr>
      </w:pPr>
      <w:r>
        <w:rPr>
          <w:rFonts w:hint="eastAsia" w:ascii="楷体_GB2312" w:hAnsi="Times New Roman" w:eastAsia="楷体_GB2312" w:cs="Times New Roman"/>
          <w:color w:val="000000" w:themeColor="text1"/>
          <w:sz w:val="32"/>
          <w:shd w:val="clear" w:color="auto" w:fill="FFFFFF"/>
          <w:lang w:val="en-US" w:eastAsia="zh-CN"/>
          <w14:textFill>
            <w14:solidFill>
              <w14:schemeClr w14:val="tx1"/>
            </w14:solidFill>
          </w14:textFill>
        </w:rPr>
        <w:t>4.工伤认定</w:t>
      </w:r>
    </w:p>
    <w:p>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工伤保险条例》、云南省人民政府关于印发云南省实施《工伤保险条例》办法的通知（云政发〔2011〕255号）、昆明市劳动和社会保障局关于调整工伤认定委托下放权限有关问题的通知（昆劳社通〔2009〕41号）进行工伤认定。</w:t>
      </w:r>
    </w:p>
    <w:p>
      <w:pPr>
        <w:spacing w:line="576" w:lineRule="exact"/>
        <w:ind w:firstLine="640" w:firstLineChars="200"/>
        <w:rPr>
          <w:rFonts w:hint="eastAsia" w:ascii="楷体_GB2312" w:hAnsi="Times New Roman" w:eastAsia="楷体_GB2312" w:cs="Times New Roman"/>
          <w:color w:val="000000" w:themeColor="text1"/>
          <w:sz w:val="32"/>
          <w:shd w:val="clear" w:color="auto" w:fill="FFFFFF"/>
          <w:lang w:val="en-US" w:eastAsia="zh-CN"/>
          <w14:textFill>
            <w14:solidFill>
              <w14:schemeClr w14:val="tx1"/>
            </w14:solidFill>
          </w14:textFill>
        </w:rPr>
      </w:pPr>
      <w:r>
        <w:rPr>
          <w:rFonts w:hint="eastAsia" w:ascii="楷体_GB2312" w:hAnsi="Times New Roman" w:eastAsia="楷体_GB2312" w:cs="Times New Roman"/>
          <w:color w:val="000000" w:themeColor="text1"/>
          <w:sz w:val="32"/>
          <w:shd w:val="clear" w:color="auto" w:fill="FFFFFF"/>
          <w:lang w:val="en-US" w:eastAsia="zh-CN"/>
          <w14:textFill>
            <w14:solidFill>
              <w14:schemeClr w14:val="tx1"/>
            </w14:solidFill>
          </w14:textFill>
        </w:rPr>
        <w:t>5.开展社会保险基金监督安全评估</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加大监督力度，严查违规行为。加强对高风险业务的监督检查，推动完善政策制度，规范经办服务，提高精细化管理水平，提升基金安全程度。</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（三）项目产出情况分析</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1.2022年受理劳动监察案件10180件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受理劳动仲裁案件2531件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完成仲裁文书专递送达587件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按时完成劳动监察案件结案和工伤认定案件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维护劳动者合法权益。</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2.按工作要求需对受理的工伤认定申请案件进行调查取证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维护劳动者的合法权益。受理工伤认定912件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60天内作出认定结论。</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3.委托昆明博扬会计师事务所对202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年度企业职工基本养老保险基金、失业保险基金、工伤保险基金、城乡居民社会养老保险基金和被征地人员基本养老保险基金基金、就业补助资金的运行情况和基金风险管控状况进行评估。</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项目预算资金为</w:t>
      </w:r>
      <w:r>
        <w:rPr>
          <w:rFonts w:hint="eastAsia" w:ascii="仿宋_GB2312" w:hAnsi="仿宋_GB2312" w:eastAsia="仿宋_GB2312" w:cs="仿宋_GB2312"/>
          <w:color w:val="auto"/>
          <w:sz w:val="32"/>
          <w:szCs w:val="32"/>
          <w:lang w:val="en-US" w:eastAsia="zh-CN"/>
        </w:rPr>
        <w:t>400000元，资金实际到位111822元，实际支出111822元，资金到位率27.96%，执行率100%。项目预算执行率高，产出情况好。</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（四）项目效益情况分析</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完成情况优秀，实现效益情况好。实现受理查办违反劳动保障法律法规的举报、投诉案件，进行劳动法律法规等宣传工作，维护劳动者的合法权益；按工作要求需对受理的工伤认定申请案件进行调查取证，维护劳动者的合法权益；委托具备资质的中介机构对社会保险基金进行安全评估，加强基金风险防控，提升基金安全程度等目标。</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五、主要经验及做法</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严格按照</w:t>
      </w:r>
      <w:r>
        <w:rPr>
          <w:rFonts w:hint="eastAsia" w:ascii="仿宋_GB2312" w:hAnsi="仿宋_GB2312" w:eastAsia="仿宋_GB2312" w:cs="仿宋_GB2312"/>
          <w:color w:val="auto"/>
          <w:sz w:val="32"/>
          <w:szCs w:val="32"/>
          <w:lang w:eastAsia="zh-CN"/>
        </w:rPr>
        <w:t>相关法律法规和财务管理制度</w:t>
      </w:r>
      <w:r>
        <w:rPr>
          <w:rFonts w:hint="eastAsia" w:ascii="仿宋_GB2312" w:hAnsi="仿宋_GB2312" w:eastAsia="仿宋_GB2312" w:cs="仿宋_GB2312"/>
          <w:color w:val="auto"/>
          <w:sz w:val="32"/>
          <w:szCs w:val="32"/>
        </w:rPr>
        <w:t>进行项目支出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正确使用资金。</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eastAsia" w:ascii="黑体" w:hAnsi="黑体" w:eastAsia="黑体" w:cs="黑体"/>
          <w:color w:val="auto"/>
          <w:sz w:val="32"/>
          <w:szCs w:val="32"/>
        </w:rPr>
      </w:pPr>
      <w:r>
        <w:rPr>
          <w:rFonts w:hint="eastAsia" w:ascii="仿宋_GB2312" w:hAnsi="仿宋_GB2312" w:eastAsia="仿宋_GB2312" w:cs="仿宋_GB2312"/>
          <w:color w:val="auto"/>
          <w:sz w:val="32"/>
          <w:szCs w:val="32"/>
          <w:lang w:eastAsia="zh-CN"/>
        </w:rPr>
        <w:t>（二）及时</w:t>
      </w:r>
      <w:r>
        <w:rPr>
          <w:rFonts w:hint="eastAsia" w:ascii="仿宋_GB2312" w:hAnsi="仿宋_GB2312" w:eastAsia="仿宋_GB2312" w:cs="仿宋_GB2312"/>
          <w:color w:val="auto"/>
          <w:sz w:val="32"/>
          <w:szCs w:val="32"/>
        </w:rPr>
        <w:t>受理违反劳动保障法律法规的投诉和举报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依法纠正和查处用人单位违反劳动保障法律法规的行为。</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宣传国家法律法规和政策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聘请律师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依法应对行政诉讼。</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确保企业工伤认定决定的合法、准确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按工作要求需对受理的部分工伤认定申请案件进行现场调查取证</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b w:val="0"/>
          <w:bCs w:val="0"/>
          <w:color w:val="auto"/>
          <w:sz w:val="32"/>
          <w:szCs w:val="32"/>
          <w:lang w:eastAsia="zh-CN"/>
        </w:rPr>
        <w:t>将</w:t>
      </w:r>
      <w:r>
        <w:rPr>
          <w:rFonts w:hint="eastAsia" w:ascii="仿宋_GB2312" w:hAnsi="仿宋_GB2312" w:eastAsia="仿宋_GB2312" w:cs="仿宋_GB2312"/>
          <w:b w:val="0"/>
          <w:bCs w:val="0"/>
          <w:color w:val="auto"/>
          <w:sz w:val="32"/>
          <w:szCs w:val="32"/>
        </w:rPr>
        <w:t>基</w:t>
      </w:r>
      <w:r>
        <w:rPr>
          <w:rFonts w:hint="eastAsia" w:ascii="仿宋_GB2312" w:hAnsi="仿宋_GB2312" w:eastAsia="仿宋_GB2312" w:cs="仿宋_GB2312"/>
          <w:color w:val="auto"/>
          <w:sz w:val="32"/>
          <w:szCs w:val="32"/>
        </w:rPr>
        <w:t>金运作与基金监管分离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内外监控相结合。基金监管部门独立于基金运作的其他各个职能部门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独立行使监管权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保证监管职能在客观公正的环境下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有效行使其监管职责。</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加速信息化建设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实现科学高效监管。建立社会养老保险数据库和信息传输系统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完善信息披露制度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包括职工数据库、离退休人员数据库、欠费企业数据库和个人账户数据库等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并要及时更新和扩充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便于从全局把握养老保险基金的基本情况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以实现社会保障服务周到化、智能化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最大限度地维护参保人员的根本利益。</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加强诚信道德建设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控制道德风险。采用正式的制度安排预防、发现、处罚威慑来控制道德风险。</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Times New Roman" w:eastAsia="楷体_GB2312" w:cs="Times New Roman"/>
          <w:strike w:val="0"/>
          <w:dstrike w:val="0"/>
          <w:color w:val="000000" w:themeColor="text1"/>
          <w:sz w:val="32"/>
          <w:shd w:val="clear" w:color="auto" w:fill="FFFFFF"/>
          <w:lang w:val="en-US" w:eastAsia="zh-CN"/>
          <w14:textFill>
            <w14:solidFill>
              <w14:schemeClr w14:val="tx1"/>
            </w14:solidFill>
          </w14:textFill>
        </w:rPr>
      </w:pPr>
      <w:r>
        <w:rPr>
          <w:rFonts w:hint="eastAsia" w:ascii="黑体" w:hAnsi="黑体" w:eastAsia="黑体" w:cs="黑体"/>
          <w:color w:val="auto"/>
          <w:sz w:val="32"/>
          <w:szCs w:val="32"/>
        </w:rPr>
        <w:t>六、存在的问题及原因分析</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在项目工作开展过程中，资金到位率低，原因是财政资金紧张。</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七、有关建议</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加强项目管理，合理规划资金，提高资金利用率。</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八、其他需要说明的问题</w:t>
      </w:r>
    </w:p>
    <w:p>
      <w:pPr>
        <w:keepNext w:val="0"/>
        <w:keepLines w:val="0"/>
        <w:pageBreakBefore w:val="0"/>
        <w:widowControl/>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color w:val="auto"/>
          <w:sz w:val="32"/>
          <w:szCs w:val="32"/>
          <w:lang w:val="en-US" w:eastAsia="zh-CN"/>
        </w:rPr>
        <w:t>无</w:t>
      </w:r>
    </w:p>
    <w:p>
      <w:pPr>
        <w:autoSpaceDE w:val="0"/>
        <w:autoSpaceDN w:val="0"/>
        <w:adjustRightInd w:val="0"/>
        <w:jc w:val="left"/>
        <w:rPr>
          <w:rFonts w:hint="eastAsia" w:ascii="仿宋_GB2312" w:hAnsi="Calibri" w:eastAsia="仿宋_GB2312" w:cs="仿宋_GB2312"/>
          <w:b/>
          <w:bCs/>
          <w:kern w:val="0"/>
          <w:sz w:val="32"/>
          <w:szCs w:val="32"/>
        </w:rPr>
      </w:pPr>
    </w:p>
    <w:p>
      <w:pPr>
        <w:spacing w:line="500" w:lineRule="exact"/>
        <w:rPr>
          <w:rFonts w:hint="eastAsia" w:ascii="仿宋_GB2312" w:eastAsia="仿宋_GB2312"/>
          <w:sz w:val="32"/>
          <w:szCs w:val="32"/>
        </w:rPr>
      </w:pPr>
    </w:p>
    <w:p>
      <w:pPr>
        <w:spacing w:line="500" w:lineRule="exact"/>
        <w:rPr>
          <w:rFonts w:hint="eastAsia" w:ascii="仿宋_GB2312" w:eastAsia="仿宋_GB2312"/>
          <w:sz w:val="32"/>
          <w:szCs w:val="32"/>
        </w:rPr>
      </w:pPr>
      <w:bookmarkStart w:id="0" w:name="_GoBack"/>
      <w:bookmarkEnd w:id="0"/>
    </w:p>
    <w:p>
      <w:pPr>
        <w:spacing w:line="500" w:lineRule="exact"/>
        <w:ind w:firstLine="640" w:firstLineChars="200"/>
        <w:rPr>
          <w:rFonts w:hint="eastAsia" w:ascii="仿宋_GB2312" w:eastAsia="仿宋_GB2312" w:cs="仿宋_GB2312"/>
          <w:sz w:val="32"/>
          <w:szCs w:val="32"/>
        </w:rPr>
      </w:pPr>
    </w:p>
    <w:p>
      <w:pPr>
        <w:spacing w:line="500" w:lineRule="exact"/>
        <w:ind w:firstLine="640" w:firstLineChars="200"/>
        <w:jc w:val="right"/>
        <w:rPr>
          <w:rFonts w:hint="eastAsia" w:ascii="仿宋_GB2312" w:eastAsia="仿宋_GB2312" w:cs="仿宋_GB2312"/>
          <w:sz w:val="32"/>
          <w:szCs w:val="32"/>
        </w:rPr>
      </w:pPr>
      <w:r>
        <w:rPr>
          <w:rFonts w:hint="eastAsia" w:ascii="仿宋_GB2312" w:eastAsia="仿宋_GB2312" w:cs="仿宋_GB2312"/>
          <w:sz w:val="32"/>
          <w:szCs w:val="32"/>
        </w:rPr>
        <w:t>昆明市五华区人力资源和社会保障局</w:t>
      </w:r>
    </w:p>
    <w:p>
      <w:pPr>
        <w:spacing w:line="500" w:lineRule="exact"/>
        <w:jc w:val="center"/>
        <w:rPr>
          <w:rFonts w:hint="eastAsia" w:ascii="仿宋_GB2312" w:eastAsia="仿宋_GB2312" w:cs="仿宋_GB2312"/>
          <w:sz w:val="32"/>
          <w:szCs w:val="32"/>
        </w:rPr>
      </w:pPr>
      <w:r>
        <w:rPr>
          <w:rFonts w:hint="eastAsia" w:ascii="仿宋_GB2312" w:eastAsia="仿宋_GB2312" w:cs="仿宋_GB2312"/>
          <w:sz w:val="32"/>
          <w:szCs w:val="32"/>
        </w:rPr>
        <w:t xml:space="preserve">                     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月</w:t>
      </w:r>
      <w:r>
        <w:rPr>
          <w:rFonts w:hint="eastAsia" w:ascii="仿宋_GB2312" w:eastAsia="仿宋_GB2312" w:cs="仿宋_GB2312"/>
          <w:sz w:val="32"/>
          <w:szCs w:val="32"/>
          <w:lang w:val="en-US" w:eastAsia="zh-CN"/>
        </w:rPr>
        <w:t>29</w:t>
      </w:r>
      <w:r>
        <w:rPr>
          <w:rFonts w:hint="eastAsia" w:ascii="仿宋_GB2312" w:eastAsia="仿宋_GB2312" w:cs="仿宋_GB2312"/>
          <w:sz w:val="32"/>
          <w:szCs w:val="32"/>
        </w:rPr>
        <w:t xml:space="preserve">日   </w:t>
      </w:r>
    </w:p>
    <w:p>
      <w:pPr>
        <w:rPr>
          <w:rFonts w:hint="eastAsia"/>
          <w:lang w:eastAsia="zh-CN"/>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iZDcxYmExMjNmNmJjYjEzNTQ3Nzc1ZTEwODEwNGUifQ=="/>
  </w:docVars>
  <w:rsids>
    <w:rsidRoot w:val="4A0D449E"/>
    <w:rsid w:val="03F751D8"/>
    <w:rsid w:val="0492207E"/>
    <w:rsid w:val="05EB7D14"/>
    <w:rsid w:val="06D721B0"/>
    <w:rsid w:val="0C197F77"/>
    <w:rsid w:val="1F8D7E91"/>
    <w:rsid w:val="22081397"/>
    <w:rsid w:val="23A221A9"/>
    <w:rsid w:val="25887057"/>
    <w:rsid w:val="25D612B3"/>
    <w:rsid w:val="25E03162"/>
    <w:rsid w:val="2AE55802"/>
    <w:rsid w:val="2B807273"/>
    <w:rsid w:val="30FD3114"/>
    <w:rsid w:val="322A618B"/>
    <w:rsid w:val="3C636521"/>
    <w:rsid w:val="3D082BC7"/>
    <w:rsid w:val="41B853E2"/>
    <w:rsid w:val="438E246E"/>
    <w:rsid w:val="4A0D449E"/>
    <w:rsid w:val="567E247E"/>
    <w:rsid w:val="5D281324"/>
    <w:rsid w:val="61E46E4D"/>
    <w:rsid w:val="688F305E"/>
    <w:rsid w:val="6C2E06D3"/>
    <w:rsid w:val="75F63144"/>
    <w:rsid w:val="77436BAC"/>
    <w:rsid w:val="7C690A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2"/>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11</Pages>
  <Words>4468</Words>
  <Characters>4576</Characters>
  <Lines>0</Lines>
  <Paragraphs>0</Paragraphs>
  <TotalTime>24</TotalTime>
  <ScaleCrop>false</ScaleCrop>
  <LinksUpToDate>false</LinksUpToDate>
  <CharactersWithSpaces>4600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2021-02-18T05:27:00Z</dcterms:created>
  <dc:creator>旁观者</dc:creator>
  <cp:lastModifiedBy>一世长安</cp:lastModifiedBy>
  <cp:lastPrinted>2023-05-29T01:30:00Z</cp:lastPrinted>
  <dcterms:modified xsi:type="dcterms:W3CDTF">2023-05-29T06:46:08Z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A90AE2145E4646169FEC4E59298EFB03_13</vt:lpwstr>
  </property>
</Properties>
</file>