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rPr>
          <w:rFonts w:hint="eastAsia" w:ascii="黑体" w:hAnsi="黑体" w:eastAsia="黑体" w:cs="黑体"/>
          <w:lang w:val="en-US" w:eastAsia="zh-CN"/>
        </w:rPr>
      </w:pPr>
      <w:r>
        <w:rPr>
          <w:rFonts w:hint="eastAsia" w:ascii="黑体" w:hAnsi="黑体" w:eastAsia="黑体" w:cs="黑体"/>
          <w:lang w:eastAsia="zh-CN"/>
        </w:rPr>
        <w:t>附件</w:t>
      </w:r>
      <w:r>
        <w:rPr>
          <w:rFonts w:hint="eastAsia" w:ascii="黑体" w:hAnsi="黑体" w:eastAsia="黑体" w:cs="黑体"/>
          <w:lang w:val="en-US" w:eastAsia="zh-CN"/>
        </w:rPr>
        <w:t>4：</w:t>
      </w:r>
      <w:bookmarkStart w:id="97" w:name="_GoBack"/>
      <w:bookmarkEnd w:id="97"/>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昆明市五华区西翥街道办事处2</w:t>
      </w:r>
      <w:r>
        <w:rPr>
          <w:rFonts w:ascii="方正小标宋简体" w:hAnsi="方正小标宋简体" w:eastAsia="方正小标宋简体" w:cs="方正小标宋简体"/>
          <w:sz w:val="44"/>
          <w:szCs w:val="44"/>
        </w:rPr>
        <w:t>02</w:t>
      </w:r>
      <w:r>
        <w:rPr>
          <w:rFonts w:hint="eastAsia" w:ascii="方正小标宋简体" w:hAnsi="方正小标宋简体" w:eastAsia="方正小标宋简体" w:cs="方正小标宋简体"/>
          <w:sz w:val="44"/>
          <w:szCs w:val="44"/>
        </w:rPr>
        <w:t>3年</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应急处置中心工作经费项目</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支出绩效评价报告</w:t>
      </w:r>
    </w:p>
    <w:p>
      <w:pPr>
        <w:ind w:firstLine="880" w:firstLineChars="200"/>
        <w:jc w:val="center"/>
        <w:rPr>
          <w:rFonts w:ascii="方正小标宋简体" w:hAnsi="方正小标宋简体" w:eastAsia="方正小标宋简体" w:cs="方正小标宋简体"/>
          <w:sz w:val="44"/>
          <w:szCs w:val="44"/>
        </w:rPr>
      </w:pPr>
    </w:p>
    <w:p>
      <w:pPr>
        <w:ind w:firstLine="880" w:firstLineChars="200"/>
        <w:jc w:val="center"/>
        <w:rPr>
          <w:rFonts w:ascii="方正小标宋简体" w:hAnsi="方正小标宋简体" w:eastAsia="方正小标宋简体" w:cs="方正小标宋简体"/>
          <w:sz w:val="44"/>
          <w:szCs w:val="44"/>
        </w:rPr>
      </w:pPr>
    </w:p>
    <w:p>
      <w:pPr>
        <w:ind w:firstLine="880" w:firstLineChars="200"/>
        <w:jc w:val="center"/>
        <w:rPr>
          <w:rFonts w:ascii="方正小标宋简体" w:hAnsi="方正小标宋简体" w:eastAsia="方正小标宋简体" w:cs="方正小标宋简体"/>
          <w:sz w:val="44"/>
          <w:szCs w:val="44"/>
        </w:rPr>
      </w:pPr>
    </w:p>
    <w:p>
      <w:pPr>
        <w:rPr>
          <w:rFonts w:ascii="方正小标宋简体" w:hAnsi="方正小标宋简体" w:eastAsia="方正小标宋简体" w:cs="方正小标宋简体"/>
          <w:sz w:val="44"/>
          <w:szCs w:val="44"/>
        </w:rPr>
      </w:pPr>
    </w:p>
    <w:p>
      <w:pPr>
        <w:ind w:firstLine="880" w:firstLineChars="200"/>
        <w:jc w:val="center"/>
        <w:rPr>
          <w:rFonts w:ascii="方正小标宋简体" w:hAnsi="方正小标宋简体" w:eastAsia="方正小标宋简体" w:cs="方正小标宋简体"/>
          <w:sz w:val="44"/>
          <w:szCs w:val="44"/>
        </w:rPr>
      </w:pPr>
    </w:p>
    <w:p>
      <w:pPr>
        <w:ind w:firstLine="880" w:firstLineChars="200"/>
        <w:jc w:val="center"/>
        <w:rPr>
          <w:rFonts w:ascii="方正小标宋简体" w:hAnsi="方正小标宋简体" w:eastAsia="方正小标宋简体" w:cs="方正小标宋简体"/>
          <w:sz w:val="44"/>
          <w:szCs w:val="44"/>
        </w:rPr>
      </w:pPr>
    </w:p>
    <w:p>
      <w:pPr>
        <w:ind w:firstLine="1280" w:firstLineChars="400"/>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预算部门：昆明市五华区西翥街道办事处</w:t>
      </w:r>
    </w:p>
    <w:p>
      <w:pPr>
        <w:ind w:firstLine="1280" w:firstLineChars="400"/>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项目单位：昆明市五华区西翥街道办事处</w:t>
      </w:r>
    </w:p>
    <w:p>
      <w:pPr>
        <w:ind w:firstLine="640" w:firstLineChars="200"/>
        <w:rPr>
          <w:rFonts w:ascii="方正小标宋简体" w:hAnsi="方正小标宋简体" w:eastAsia="方正小标宋简体" w:cs="方正小标宋简体"/>
          <w:sz w:val="32"/>
          <w:szCs w:val="32"/>
        </w:rPr>
      </w:pPr>
    </w:p>
    <w:p>
      <w:pPr>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2</w:t>
      </w:r>
      <w:r>
        <w:rPr>
          <w:rFonts w:ascii="方正小标宋简体" w:hAnsi="方正小标宋简体" w:eastAsia="方正小标宋简体" w:cs="方正小标宋简体"/>
          <w:sz w:val="32"/>
          <w:szCs w:val="32"/>
        </w:rPr>
        <w:t>02</w:t>
      </w:r>
      <w:r>
        <w:rPr>
          <w:rFonts w:hint="eastAsia" w:ascii="方正小标宋简体" w:hAnsi="方正小标宋简体" w:eastAsia="方正小标宋简体" w:cs="方正小标宋简体"/>
          <w:sz w:val="32"/>
          <w:szCs w:val="32"/>
        </w:rPr>
        <w:t>4年5月</w:t>
      </w:r>
    </w:p>
    <w:p>
      <w:pPr>
        <w:ind w:firstLine="880" w:firstLineChars="200"/>
        <w:jc w:val="center"/>
        <w:rPr>
          <w:rFonts w:ascii="方正小标宋简体" w:hAnsi="方正小标宋简体" w:eastAsia="方正小标宋简体" w:cs="方正小标宋简体"/>
          <w:sz w:val="44"/>
          <w:szCs w:val="44"/>
        </w:rPr>
      </w:pPr>
    </w:p>
    <w:p>
      <w:pPr>
        <w:ind w:firstLine="880" w:firstLineChars="200"/>
        <w:jc w:val="center"/>
        <w:rPr>
          <w:rFonts w:ascii="方正小标宋简体" w:hAnsi="方正小标宋简体" w:eastAsia="方正小标宋简体" w:cs="方正小标宋简体"/>
          <w:sz w:val="44"/>
          <w:szCs w:val="44"/>
        </w:rPr>
        <w:sectPr>
          <w:pgSz w:w="11906" w:h="16838"/>
          <w:pgMar w:top="1440" w:right="1800" w:bottom="1440" w:left="1800" w:header="851" w:footer="992" w:gutter="0"/>
          <w:cols w:space="425" w:num="1"/>
          <w:docGrid w:type="lines" w:linePitch="312" w:charSpace="0"/>
        </w:sectPr>
      </w:pPr>
    </w:p>
    <w:p>
      <w:pPr>
        <w:pStyle w:val="13"/>
        <w:tabs>
          <w:tab w:val="right" w:leader="dot" w:pos="8504"/>
          <w:tab w:val="clear" w:pos="8789"/>
        </w:tabs>
        <w:spacing w:line="240" w:lineRule="auto"/>
        <w:jc w:val="center"/>
        <w:rPr>
          <w:rFonts w:ascii="方正小标宋简体" w:hAnsi="方正小标宋简体" w:eastAsia="方正小标宋简体" w:cs="方正小标宋简体"/>
          <w:kern w:val="30"/>
          <w:sz w:val="44"/>
          <w:szCs w:val="44"/>
        </w:rPr>
      </w:pPr>
      <w:r>
        <w:rPr>
          <w:rFonts w:hint="eastAsia" w:ascii="方正小标宋简体" w:hAnsi="方正小标宋简体" w:eastAsia="方正小标宋简体" w:cs="方正小标宋简体"/>
          <w:kern w:val="30"/>
          <w:sz w:val="44"/>
          <w:szCs w:val="44"/>
        </w:rPr>
        <w:t>目 录</w:t>
      </w:r>
    </w:p>
    <w:p>
      <w:pPr>
        <w:pStyle w:val="13"/>
        <w:tabs>
          <w:tab w:val="right" w:leader="dot" w:pos="8844"/>
          <w:tab w:val="clear" w:pos="8789"/>
        </w:tabs>
        <w:spacing w:line="240" w:lineRule="auto"/>
        <w:jc w:val="both"/>
        <w:rPr>
          <w:rFonts w:ascii="仿宋" w:hAnsi="仿宋" w:eastAsia="仿宋" w:cs="仿宋"/>
          <w:sz w:val="30"/>
          <w:szCs w:val="30"/>
        </w:rPr>
      </w:pPr>
      <w:r>
        <w:rPr>
          <w:rFonts w:ascii="仿宋" w:hAnsi="仿宋" w:eastAsia="仿宋" w:cs="宋体"/>
          <w:bCs/>
          <w:sz w:val="30"/>
          <w:szCs w:val="30"/>
        </w:rPr>
        <w:fldChar w:fldCharType="begin"/>
      </w:r>
      <w:r>
        <w:rPr>
          <w:rFonts w:ascii="仿宋" w:hAnsi="仿宋" w:eastAsia="仿宋" w:cs="宋体"/>
          <w:bCs/>
          <w:sz w:val="30"/>
          <w:szCs w:val="30"/>
        </w:rPr>
        <w:instrText xml:space="preserve"> TOC \o "1-3" \h \z \u </w:instrText>
      </w:r>
      <w:r>
        <w:rPr>
          <w:rFonts w:ascii="仿宋" w:hAnsi="仿宋" w:eastAsia="仿宋" w:cs="宋体"/>
          <w:bCs/>
          <w:sz w:val="30"/>
          <w:szCs w:val="30"/>
        </w:rPr>
        <w:fldChar w:fldCharType="separate"/>
      </w:r>
      <w:r>
        <w:fldChar w:fldCharType="begin"/>
      </w:r>
      <w:r>
        <w:instrText xml:space="preserve"> HYPERLINK \l "_Toc28854" </w:instrText>
      </w:r>
      <w:r>
        <w:fldChar w:fldCharType="separate"/>
      </w:r>
      <w:r>
        <w:rPr>
          <w:rFonts w:hint="eastAsia" w:ascii="仿宋" w:hAnsi="仿宋" w:eastAsia="仿宋" w:cs="仿宋"/>
          <w:spacing w:val="6"/>
          <w:sz w:val="30"/>
          <w:szCs w:val="30"/>
        </w:rPr>
        <w:t>一、基本情况</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_Toc28854 \h </w:instrText>
      </w:r>
      <w:r>
        <w:rPr>
          <w:rFonts w:hint="eastAsia" w:ascii="仿宋" w:hAnsi="仿宋" w:eastAsia="仿宋" w:cs="仿宋"/>
          <w:sz w:val="30"/>
          <w:szCs w:val="30"/>
        </w:rPr>
        <w:fldChar w:fldCharType="separate"/>
      </w:r>
      <w:r>
        <w:rPr>
          <w:rFonts w:hint="eastAsia" w:ascii="仿宋" w:hAnsi="仿宋" w:eastAsia="仿宋" w:cs="仿宋"/>
          <w:sz w:val="30"/>
          <w:szCs w:val="30"/>
        </w:rPr>
        <w:t>- 1 -</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"_Toc24801" </w:instrText>
      </w:r>
      <w:r>
        <w:fldChar w:fldCharType="separate"/>
      </w:r>
      <w:r>
        <w:rPr>
          <w:rFonts w:hint="eastAsia" w:ascii="仿宋" w:hAnsi="仿宋" w:eastAsia="仿宋" w:cs="仿宋"/>
          <w:b w:val="0"/>
          <w:bCs w:val="0"/>
          <w:spacing w:val="6"/>
          <w:kern w:val="30"/>
          <w:sz w:val="30"/>
          <w:szCs w:val="30"/>
        </w:rPr>
        <w:t>（一）项目概况</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_Toc24801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- 1 -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"_Toc22085" </w:instrText>
      </w:r>
      <w:r>
        <w:fldChar w:fldCharType="separate"/>
      </w:r>
      <w:r>
        <w:rPr>
          <w:rFonts w:hint="eastAsia" w:ascii="仿宋" w:hAnsi="仿宋" w:eastAsia="仿宋" w:cs="仿宋"/>
          <w:b w:val="0"/>
          <w:bCs w:val="0"/>
          <w:spacing w:val="6"/>
          <w:kern w:val="30"/>
          <w:sz w:val="30"/>
          <w:szCs w:val="30"/>
        </w:rPr>
        <w:t>（二）项目预算及资金使用情况</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_Toc22085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- 1 -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"_Toc732" </w:instrText>
      </w:r>
      <w:r>
        <w:fldChar w:fldCharType="separate"/>
      </w:r>
      <w:r>
        <w:rPr>
          <w:rFonts w:hint="eastAsia" w:ascii="仿宋" w:hAnsi="仿宋" w:eastAsia="仿宋" w:cs="仿宋"/>
          <w:b w:val="0"/>
          <w:bCs w:val="0"/>
          <w:spacing w:val="6"/>
          <w:kern w:val="30"/>
          <w:sz w:val="30"/>
          <w:szCs w:val="30"/>
        </w:rPr>
        <w:t>（三）项目计划实施内容</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_Toc732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- 2 -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"_Toc31619" </w:instrText>
      </w:r>
      <w:r>
        <w:fldChar w:fldCharType="separate"/>
      </w:r>
      <w:r>
        <w:rPr>
          <w:rFonts w:hint="eastAsia" w:ascii="仿宋" w:hAnsi="仿宋" w:eastAsia="仿宋" w:cs="仿宋"/>
          <w:b w:val="0"/>
          <w:bCs w:val="0"/>
          <w:spacing w:val="6"/>
          <w:kern w:val="30"/>
          <w:sz w:val="30"/>
          <w:szCs w:val="30"/>
        </w:rPr>
        <w:t>（四）项目绩效目标</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_Toc31619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- 5 -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"_Toc26682" </w:instrText>
      </w:r>
      <w:r>
        <w:fldChar w:fldCharType="separate"/>
      </w:r>
      <w:r>
        <w:rPr>
          <w:rFonts w:hint="eastAsia" w:ascii="仿宋" w:hAnsi="仿宋" w:eastAsia="仿宋" w:cs="仿宋"/>
          <w:b w:val="0"/>
          <w:bCs w:val="0"/>
          <w:spacing w:val="6"/>
          <w:kern w:val="30"/>
          <w:sz w:val="30"/>
          <w:szCs w:val="30"/>
        </w:rPr>
        <w:t>（五）组织管理情况</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_Toc26682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- 6 -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pPr>
        <w:pStyle w:val="13"/>
        <w:tabs>
          <w:tab w:val="right" w:leader="dot" w:pos="8844"/>
          <w:tab w:val="clear" w:pos="8789"/>
        </w:tabs>
        <w:spacing w:line="240" w:lineRule="auto"/>
        <w:jc w:val="both"/>
        <w:rPr>
          <w:rFonts w:ascii="仿宋" w:hAnsi="仿宋" w:eastAsia="仿宋" w:cs="仿宋"/>
          <w:sz w:val="30"/>
          <w:szCs w:val="30"/>
        </w:rPr>
      </w:pPr>
      <w:r>
        <w:fldChar w:fldCharType="begin"/>
      </w:r>
      <w:r>
        <w:instrText xml:space="preserve"> HYPERLINK \l "_Toc26687" </w:instrText>
      </w:r>
      <w:r>
        <w:fldChar w:fldCharType="separate"/>
      </w:r>
      <w:r>
        <w:rPr>
          <w:rFonts w:hint="eastAsia" w:ascii="仿宋" w:hAnsi="仿宋" w:eastAsia="仿宋" w:cs="仿宋"/>
          <w:spacing w:val="6"/>
          <w:sz w:val="30"/>
          <w:szCs w:val="30"/>
        </w:rPr>
        <w:t>二、</w:t>
      </w:r>
      <w:r>
        <w:rPr>
          <w:rFonts w:hint="eastAsia" w:ascii="仿宋" w:hAnsi="仿宋" w:eastAsia="仿宋" w:cs="仿宋"/>
          <w:sz w:val="30"/>
          <w:szCs w:val="30"/>
        </w:rPr>
        <w:t>绩效评价工作开展情况</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_Toc26687 \h </w:instrText>
      </w:r>
      <w:r>
        <w:rPr>
          <w:rFonts w:hint="eastAsia" w:ascii="仿宋" w:hAnsi="仿宋" w:eastAsia="仿宋" w:cs="仿宋"/>
          <w:sz w:val="30"/>
          <w:szCs w:val="30"/>
        </w:rPr>
        <w:fldChar w:fldCharType="separate"/>
      </w:r>
      <w:r>
        <w:rPr>
          <w:rFonts w:hint="eastAsia" w:ascii="仿宋" w:hAnsi="仿宋" w:eastAsia="仿宋" w:cs="仿宋"/>
          <w:sz w:val="30"/>
          <w:szCs w:val="30"/>
        </w:rPr>
        <w:t>- 7 -</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"_Toc30499" </w:instrText>
      </w:r>
      <w:r>
        <w:fldChar w:fldCharType="separate"/>
      </w:r>
      <w:r>
        <w:rPr>
          <w:rFonts w:hint="eastAsia" w:ascii="仿宋" w:hAnsi="仿宋" w:eastAsia="仿宋" w:cs="仿宋"/>
          <w:b w:val="0"/>
          <w:bCs w:val="0"/>
          <w:spacing w:val="6"/>
          <w:sz w:val="30"/>
          <w:szCs w:val="30"/>
        </w:rPr>
        <w:t>（一）绩效评价目的、对象和范围</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_Toc30499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- 7 -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"_Toc14669" </w:instrText>
      </w:r>
      <w:r>
        <w:fldChar w:fldCharType="separate"/>
      </w:r>
      <w:r>
        <w:rPr>
          <w:rFonts w:hint="eastAsia" w:ascii="仿宋" w:hAnsi="仿宋" w:eastAsia="仿宋" w:cs="仿宋"/>
          <w:b w:val="0"/>
          <w:bCs w:val="0"/>
          <w:spacing w:val="6"/>
          <w:sz w:val="30"/>
          <w:szCs w:val="30"/>
        </w:rPr>
        <w:t>（二）绩效评价</w:t>
      </w:r>
      <w:r>
        <w:rPr>
          <w:rFonts w:hint="eastAsia" w:ascii="仿宋" w:hAnsi="仿宋" w:eastAsia="仿宋" w:cs="仿宋"/>
          <w:b w:val="0"/>
          <w:bCs w:val="0"/>
          <w:spacing w:val="6"/>
          <w:sz w:val="30"/>
          <w:szCs w:val="30"/>
          <w:lang w:val="en-US"/>
        </w:rPr>
        <w:t>依据</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_Toc14669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- 7 -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"_Toc4925" </w:instrText>
      </w:r>
      <w:r>
        <w:fldChar w:fldCharType="separate"/>
      </w:r>
      <w:r>
        <w:rPr>
          <w:rFonts w:hint="eastAsia" w:ascii="仿宋" w:hAnsi="仿宋" w:eastAsia="仿宋" w:cs="仿宋"/>
          <w:b w:val="0"/>
          <w:bCs w:val="0"/>
          <w:spacing w:val="6"/>
          <w:sz w:val="30"/>
          <w:szCs w:val="30"/>
        </w:rPr>
        <w:t>（</w:t>
      </w:r>
      <w:r>
        <w:rPr>
          <w:rFonts w:hint="eastAsia" w:ascii="仿宋" w:hAnsi="仿宋" w:eastAsia="仿宋" w:cs="仿宋"/>
          <w:b w:val="0"/>
          <w:bCs w:val="0"/>
          <w:spacing w:val="6"/>
          <w:sz w:val="30"/>
          <w:szCs w:val="30"/>
          <w:lang w:val="en-US"/>
        </w:rPr>
        <w:t>三</w:t>
      </w:r>
      <w:r>
        <w:rPr>
          <w:rFonts w:hint="eastAsia" w:ascii="仿宋" w:hAnsi="仿宋" w:eastAsia="仿宋" w:cs="仿宋"/>
          <w:b w:val="0"/>
          <w:bCs w:val="0"/>
          <w:spacing w:val="6"/>
          <w:sz w:val="30"/>
          <w:szCs w:val="30"/>
        </w:rPr>
        <w:t>）绩效评价方法</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_Toc4925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- 8 -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"_Toc7509" </w:instrText>
      </w:r>
      <w:r>
        <w:fldChar w:fldCharType="separate"/>
      </w:r>
      <w:r>
        <w:rPr>
          <w:rFonts w:hint="eastAsia" w:ascii="仿宋" w:hAnsi="仿宋" w:eastAsia="仿宋" w:cs="仿宋"/>
          <w:b w:val="0"/>
          <w:bCs w:val="0"/>
          <w:spacing w:val="6"/>
          <w:sz w:val="30"/>
          <w:szCs w:val="30"/>
        </w:rPr>
        <w:t>（</w:t>
      </w:r>
      <w:r>
        <w:rPr>
          <w:rFonts w:hint="eastAsia" w:ascii="仿宋" w:hAnsi="仿宋" w:eastAsia="仿宋" w:cs="仿宋"/>
          <w:b w:val="0"/>
          <w:bCs w:val="0"/>
          <w:spacing w:val="6"/>
          <w:sz w:val="30"/>
          <w:szCs w:val="30"/>
          <w:lang w:val="en-US"/>
        </w:rPr>
        <w:t>四</w:t>
      </w:r>
      <w:r>
        <w:rPr>
          <w:rFonts w:hint="eastAsia" w:ascii="仿宋" w:hAnsi="仿宋" w:eastAsia="仿宋" w:cs="仿宋"/>
          <w:b w:val="0"/>
          <w:bCs w:val="0"/>
          <w:spacing w:val="6"/>
          <w:sz w:val="30"/>
          <w:szCs w:val="30"/>
        </w:rPr>
        <w:t>）绩效评价指标体系</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_Toc7509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- 10 -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"_Toc3007" </w:instrText>
      </w:r>
      <w:r>
        <w:fldChar w:fldCharType="separate"/>
      </w:r>
      <w:r>
        <w:rPr>
          <w:rFonts w:hint="eastAsia" w:ascii="仿宋" w:hAnsi="仿宋" w:eastAsia="仿宋" w:cs="仿宋"/>
          <w:b w:val="0"/>
          <w:bCs w:val="0"/>
          <w:spacing w:val="6"/>
          <w:sz w:val="30"/>
          <w:szCs w:val="30"/>
        </w:rPr>
        <w:t>（</w:t>
      </w:r>
      <w:r>
        <w:rPr>
          <w:rFonts w:hint="eastAsia" w:ascii="仿宋" w:hAnsi="仿宋" w:eastAsia="仿宋" w:cs="仿宋"/>
          <w:b w:val="0"/>
          <w:bCs w:val="0"/>
          <w:spacing w:val="6"/>
          <w:sz w:val="30"/>
          <w:szCs w:val="30"/>
          <w:lang w:val="en-US"/>
        </w:rPr>
        <w:t>五</w:t>
      </w:r>
      <w:r>
        <w:rPr>
          <w:rFonts w:hint="eastAsia" w:ascii="仿宋" w:hAnsi="仿宋" w:eastAsia="仿宋" w:cs="仿宋"/>
          <w:b w:val="0"/>
          <w:bCs w:val="0"/>
          <w:spacing w:val="6"/>
          <w:sz w:val="30"/>
          <w:szCs w:val="30"/>
        </w:rPr>
        <w:t>）绩效评价抽样</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_Toc3007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- 11 -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pPr>
        <w:pStyle w:val="13"/>
        <w:tabs>
          <w:tab w:val="right" w:leader="dot" w:pos="8844"/>
          <w:tab w:val="clear" w:pos="8789"/>
        </w:tabs>
        <w:spacing w:line="240" w:lineRule="auto"/>
        <w:jc w:val="both"/>
        <w:rPr>
          <w:rFonts w:ascii="仿宋" w:hAnsi="仿宋" w:eastAsia="仿宋" w:cs="仿宋"/>
          <w:sz w:val="30"/>
          <w:szCs w:val="30"/>
        </w:rPr>
      </w:pPr>
      <w:r>
        <w:fldChar w:fldCharType="begin"/>
      </w:r>
      <w:r>
        <w:instrText xml:space="preserve"> HYPERLINK \l "_Toc23839" </w:instrText>
      </w:r>
      <w:r>
        <w:fldChar w:fldCharType="separate"/>
      </w:r>
      <w:r>
        <w:rPr>
          <w:rFonts w:hint="eastAsia" w:ascii="仿宋" w:hAnsi="仿宋" w:eastAsia="仿宋" w:cs="仿宋"/>
          <w:spacing w:val="6"/>
          <w:sz w:val="30"/>
          <w:szCs w:val="30"/>
        </w:rPr>
        <w:t>四、绩效评价结论</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_Toc23839 \h </w:instrText>
      </w:r>
      <w:r>
        <w:rPr>
          <w:rFonts w:hint="eastAsia" w:ascii="仿宋" w:hAnsi="仿宋" w:eastAsia="仿宋" w:cs="仿宋"/>
          <w:sz w:val="30"/>
          <w:szCs w:val="30"/>
        </w:rPr>
        <w:fldChar w:fldCharType="separate"/>
      </w:r>
      <w:r>
        <w:rPr>
          <w:rFonts w:hint="eastAsia" w:ascii="仿宋" w:hAnsi="仿宋" w:eastAsia="仿宋" w:cs="仿宋"/>
          <w:sz w:val="30"/>
          <w:szCs w:val="30"/>
        </w:rPr>
        <w:t>- 11 -</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"_Toc2839" </w:instrText>
      </w:r>
      <w:r>
        <w:fldChar w:fldCharType="separate"/>
      </w:r>
      <w:r>
        <w:rPr>
          <w:rFonts w:hint="eastAsia" w:ascii="仿宋" w:hAnsi="仿宋" w:eastAsia="仿宋" w:cs="仿宋"/>
          <w:b w:val="0"/>
          <w:bCs w:val="0"/>
          <w:spacing w:val="6"/>
          <w:sz w:val="30"/>
          <w:szCs w:val="30"/>
        </w:rPr>
        <w:t>（一）绩效评价综合结论</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_Toc2839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- 11 -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"_Toc29463" </w:instrText>
      </w:r>
      <w:r>
        <w:fldChar w:fldCharType="separate"/>
      </w:r>
      <w:r>
        <w:rPr>
          <w:rFonts w:hint="eastAsia" w:ascii="仿宋" w:hAnsi="仿宋" w:eastAsia="仿宋" w:cs="仿宋"/>
          <w:b w:val="0"/>
          <w:bCs w:val="0"/>
          <w:spacing w:val="6"/>
          <w:sz w:val="30"/>
          <w:szCs w:val="30"/>
        </w:rPr>
        <w:t>（二）绩效目标实现情况</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_Toc29463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- 13 -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pPr>
        <w:pStyle w:val="13"/>
        <w:tabs>
          <w:tab w:val="right" w:leader="dot" w:pos="8844"/>
          <w:tab w:val="clear" w:pos="8789"/>
        </w:tabs>
        <w:spacing w:line="240" w:lineRule="auto"/>
        <w:jc w:val="both"/>
        <w:rPr>
          <w:rFonts w:ascii="仿宋" w:hAnsi="仿宋" w:eastAsia="仿宋" w:cs="仿宋"/>
          <w:sz w:val="30"/>
          <w:szCs w:val="30"/>
        </w:rPr>
      </w:pPr>
      <w:r>
        <w:fldChar w:fldCharType="begin"/>
      </w:r>
      <w:r>
        <w:instrText xml:space="preserve"> HYPERLINK \l "_Toc7378" </w:instrText>
      </w:r>
      <w:r>
        <w:fldChar w:fldCharType="separate"/>
      </w:r>
      <w:r>
        <w:rPr>
          <w:rFonts w:hint="eastAsia" w:ascii="仿宋" w:hAnsi="仿宋" w:eastAsia="仿宋" w:cs="仿宋"/>
          <w:spacing w:val="6"/>
          <w:sz w:val="30"/>
          <w:szCs w:val="30"/>
        </w:rPr>
        <w:t>五、绩效评价情况分析</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_Toc7378 \h </w:instrText>
      </w:r>
      <w:r>
        <w:rPr>
          <w:rFonts w:hint="eastAsia" w:ascii="仿宋" w:hAnsi="仿宋" w:eastAsia="仿宋" w:cs="仿宋"/>
          <w:sz w:val="30"/>
          <w:szCs w:val="30"/>
        </w:rPr>
        <w:fldChar w:fldCharType="separate"/>
      </w:r>
      <w:r>
        <w:rPr>
          <w:rFonts w:hint="eastAsia" w:ascii="仿宋" w:hAnsi="仿宋" w:eastAsia="仿宋" w:cs="仿宋"/>
          <w:sz w:val="30"/>
          <w:szCs w:val="30"/>
        </w:rPr>
        <w:t>- 14 -</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"_Toc5153" </w:instrText>
      </w:r>
      <w:r>
        <w:fldChar w:fldCharType="separate"/>
      </w:r>
      <w:r>
        <w:rPr>
          <w:rFonts w:hint="eastAsia" w:ascii="仿宋" w:hAnsi="仿宋" w:eastAsia="仿宋" w:cs="仿宋"/>
          <w:b w:val="0"/>
          <w:bCs w:val="0"/>
          <w:spacing w:val="6"/>
          <w:sz w:val="30"/>
          <w:szCs w:val="30"/>
        </w:rPr>
        <w:t>（一）决策情况分析</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_Toc5153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- 14 -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"_Toc17314" </w:instrText>
      </w:r>
      <w:r>
        <w:fldChar w:fldCharType="separate"/>
      </w:r>
      <w:r>
        <w:rPr>
          <w:rFonts w:hint="eastAsia" w:ascii="仿宋" w:hAnsi="仿宋" w:eastAsia="仿宋" w:cs="仿宋"/>
          <w:b w:val="0"/>
          <w:bCs w:val="0"/>
          <w:spacing w:val="6"/>
          <w:sz w:val="30"/>
          <w:szCs w:val="30"/>
        </w:rPr>
        <w:t>（二）过程情况分析</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_Toc17314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- 14 -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"_Toc23551" </w:instrText>
      </w:r>
      <w:r>
        <w:fldChar w:fldCharType="separate"/>
      </w:r>
      <w:r>
        <w:rPr>
          <w:rFonts w:hint="eastAsia" w:ascii="仿宋" w:hAnsi="仿宋" w:eastAsia="仿宋" w:cs="仿宋"/>
          <w:b w:val="0"/>
          <w:bCs w:val="0"/>
          <w:spacing w:val="6"/>
          <w:sz w:val="30"/>
          <w:szCs w:val="30"/>
        </w:rPr>
        <w:t>（三）产出情况分析</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_Toc23551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- 15 -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"_Toc10426" </w:instrText>
      </w:r>
      <w:r>
        <w:fldChar w:fldCharType="separate"/>
      </w:r>
      <w:r>
        <w:rPr>
          <w:rFonts w:hint="eastAsia" w:ascii="仿宋" w:hAnsi="仿宋" w:eastAsia="仿宋" w:cs="仿宋"/>
          <w:b w:val="0"/>
          <w:bCs w:val="0"/>
          <w:spacing w:val="6"/>
          <w:sz w:val="30"/>
          <w:szCs w:val="30"/>
        </w:rPr>
        <w:t>（四）效益情况分析</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_Toc10426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- 16 -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pPr>
        <w:pStyle w:val="13"/>
        <w:tabs>
          <w:tab w:val="right" w:leader="dot" w:pos="8844"/>
          <w:tab w:val="clear" w:pos="8789"/>
        </w:tabs>
        <w:spacing w:line="240" w:lineRule="auto"/>
        <w:jc w:val="both"/>
        <w:rPr>
          <w:rFonts w:ascii="仿宋" w:hAnsi="仿宋" w:eastAsia="仿宋" w:cs="仿宋"/>
          <w:sz w:val="30"/>
          <w:szCs w:val="30"/>
        </w:rPr>
      </w:pPr>
      <w:r>
        <w:fldChar w:fldCharType="begin"/>
      </w:r>
      <w:r>
        <w:instrText xml:space="preserve"> HYPERLINK \l "_Toc8648" </w:instrText>
      </w:r>
      <w:r>
        <w:fldChar w:fldCharType="separate"/>
      </w:r>
      <w:r>
        <w:rPr>
          <w:rFonts w:hint="eastAsia" w:ascii="仿宋" w:hAnsi="仿宋" w:eastAsia="仿宋" w:cs="仿宋"/>
          <w:spacing w:val="6"/>
          <w:sz w:val="30"/>
          <w:szCs w:val="30"/>
        </w:rPr>
        <w:t>六、主要经验及做法</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_Toc8648 \h </w:instrText>
      </w:r>
      <w:r>
        <w:rPr>
          <w:rFonts w:hint="eastAsia" w:ascii="仿宋" w:hAnsi="仿宋" w:eastAsia="仿宋" w:cs="仿宋"/>
          <w:sz w:val="30"/>
          <w:szCs w:val="30"/>
        </w:rPr>
        <w:fldChar w:fldCharType="separate"/>
      </w:r>
      <w:r>
        <w:rPr>
          <w:rFonts w:hint="eastAsia" w:ascii="仿宋" w:hAnsi="仿宋" w:eastAsia="仿宋" w:cs="仿宋"/>
          <w:sz w:val="30"/>
          <w:szCs w:val="30"/>
        </w:rPr>
        <w:t>- 17 -</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13"/>
        <w:tabs>
          <w:tab w:val="right" w:leader="dot" w:pos="8844"/>
          <w:tab w:val="clear" w:pos="8789"/>
        </w:tabs>
        <w:spacing w:line="240" w:lineRule="auto"/>
        <w:jc w:val="both"/>
        <w:rPr>
          <w:rFonts w:ascii="仿宋" w:hAnsi="仿宋" w:eastAsia="仿宋" w:cs="仿宋"/>
          <w:sz w:val="30"/>
          <w:szCs w:val="30"/>
        </w:rPr>
      </w:pPr>
      <w:r>
        <w:fldChar w:fldCharType="begin"/>
      </w:r>
      <w:r>
        <w:instrText xml:space="preserve"> HYPERLINK \l "_Toc30417" </w:instrText>
      </w:r>
      <w:r>
        <w:fldChar w:fldCharType="separate"/>
      </w:r>
      <w:r>
        <w:rPr>
          <w:rFonts w:hint="eastAsia" w:ascii="仿宋" w:hAnsi="仿宋" w:eastAsia="仿宋" w:cs="仿宋"/>
          <w:spacing w:val="6"/>
          <w:sz w:val="30"/>
          <w:szCs w:val="30"/>
        </w:rPr>
        <w:t>七、存在问题</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_Toc30417 \h </w:instrText>
      </w:r>
      <w:r>
        <w:rPr>
          <w:rFonts w:hint="eastAsia" w:ascii="仿宋" w:hAnsi="仿宋" w:eastAsia="仿宋" w:cs="仿宋"/>
          <w:sz w:val="30"/>
          <w:szCs w:val="30"/>
        </w:rPr>
        <w:fldChar w:fldCharType="separate"/>
      </w:r>
      <w:r>
        <w:rPr>
          <w:rFonts w:hint="eastAsia" w:ascii="仿宋" w:hAnsi="仿宋" w:eastAsia="仿宋" w:cs="仿宋"/>
          <w:sz w:val="30"/>
          <w:szCs w:val="30"/>
        </w:rPr>
        <w:t>- 17 -</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13"/>
        <w:tabs>
          <w:tab w:val="right" w:leader="dot" w:pos="8844"/>
          <w:tab w:val="clear" w:pos="8789"/>
        </w:tabs>
        <w:spacing w:line="240" w:lineRule="auto"/>
        <w:jc w:val="both"/>
      </w:pPr>
      <w:r>
        <w:fldChar w:fldCharType="begin"/>
      </w:r>
      <w:r>
        <w:instrText xml:space="preserve"> HYPERLINK \l "_Toc23881" </w:instrText>
      </w:r>
      <w:r>
        <w:fldChar w:fldCharType="separate"/>
      </w:r>
      <w:r>
        <w:rPr>
          <w:rFonts w:hint="eastAsia" w:ascii="仿宋" w:hAnsi="仿宋" w:eastAsia="仿宋" w:cs="仿宋"/>
          <w:spacing w:val="6"/>
          <w:sz w:val="30"/>
          <w:szCs w:val="30"/>
        </w:rPr>
        <w:t>五、建议</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_Toc23881 \h </w:instrText>
      </w:r>
      <w:r>
        <w:rPr>
          <w:rFonts w:hint="eastAsia" w:ascii="仿宋" w:hAnsi="仿宋" w:eastAsia="仿宋" w:cs="仿宋"/>
          <w:sz w:val="30"/>
          <w:szCs w:val="30"/>
        </w:rPr>
        <w:fldChar w:fldCharType="separate"/>
      </w:r>
      <w:r>
        <w:rPr>
          <w:rFonts w:hint="eastAsia" w:ascii="仿宋" w:hAnsi="仿宋" w:eastAsia="仿宋" w:cs="仿宋"/>
          <w:sz w:val="30"/>
          <w:szCs w:val="30"/>
        </w:rPr>
        <w:t>- 18 -</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widowControl/>
        <w:rPr>
          <w:rFonts w:hAnsi="仿宋" w:cs="宋体"/>
          <w:bCs/>
          <w:szCs w:val="30"/>
        </w:rPr>
      </w:pPr>
      <w:r>
        <w:rPr>
          <w:rFonts w:hAnsi="仿宋" w:cs="宋体"/>
          <w:bCs/>
          <w:kern w:val="0"/>
          <w:szCs w:val="30"/>
        </w:rPr>
        <w:fldChar w:fldCharType="end"/>
      </w:r>
    </w:p>
    <w:p>
      <w:pPr>
        <w:tabs>
          <w:tab w:val="left" w:pos="6105"/>
        </w:tabs>
        <w:jc w:val="left"/>
        <w:rPr>
          <w:rFonts w:ascii="宋体" w:hAnsi="宋体" w:eastAsia="宋体"/>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851" w:footer="1474" w:gutter="0"/>
          <w:pgNumType w:start="1"/>
          <w:cols w:space="425" w:num="1"/>
          <w:titlePg/>
          <w:docGrid w:type="lines" w:linePitch="579" w:charSpace="3247"/>
        </w:sectPr>
      </w:pPr>
    </w:p>
    <w:p>
      <w:pPr>
        <w:spacing w:line="590" w:lineRule="exact"/>
        <w:jc w:val="center"/>
        <w:rPr>
          <w:rFonts w:ascii="方正小标宋简体" w:eastAsia="方正小标宋简体"/>
          <w:spacing w:val="6"/>
          <w:sz w:val="36"/>
          <w:szCs w:val="36"/>
        </w:rPr>
      </w:pPr>
      <w:r>
        <w:rPr>
          <w:rFonts w:hint="eastAsia" w:ascii="方正小标宋简体" w:eastAsia="方正小标宋简体"/>
          <w:spacing w:val="6"/>
          <w:sz w:val="36"/>
          <w:szCs w:val="36"/>
        </w:rPr>
        <w:t>西翥街道办事处应急处置中心工作经费</w:t>
      </w:r>
    </w:p>
    <w:p>
      <w:pPr>
        <w:spacing w:line="590" w:lineRule="exact"/>
        <w:jc w:val="center"/>
        <w:rPr>
          <w:rFonts w:ascii="方正小标宋简体" w:eastAsia="方正小标宋简体"/>
          <w:spacing w:val="6"/>
          <w:sz w:val="36"/>
          <w:szCs w:val="36"/>
        </w:rPr>
      </w:pPr>
      <w:r>
        <w:rPr>
          <w:rFonts w:hint="eastAsia" w:ascii="方正小标宋简体" w:eastAsia="方正小标宋简体"/>
          <w:spacing w:val="6"/>
          <w:sz w:val="36"/>
          <w:szCs w:val="36"/>
        </w:rPr>
        <w:t>项目支出绩效评价报告</w:t>
      </w:r>
    </w:p>
    <w:p>
      <w:pPr>
        <w:spacing w:line="590" w:lineRule="exact"/>
        <w:ind w:firstLine="624" w:firstLineChars="200"/>
        <w:jc w:val="center"/>
        <w:rPr>
          <w:rFonts w:hAnsi="仿宋" w:cs="仿宋"/>
          <w:spacing w:val="6"/>
          <w:szCs w:val="30"/>
        </w:rPr>
      </w:pPr>
    </w:p>
    <w:p>
      <w:pPr>
        <w:spacing w:line="590" w:lineRule="exact"/>
        <w:ind w:firstLine="624" w:firstLineChars="200"/>
        <w:outlineLvl w:val="0"/>
        <w:rPr>
          <w:rFonts w:ascii="黑体" w:hAnsi="黑体" w:eastAsia="黑体" w:cs="黑体"/>
          <w:b/>
          <w:bCs/>
          <w:spacing w:val="6"/>
          <w:szCs w:val="30"/>
        </w:rPr>
      </w:pPr>
      <w:bookmarkStart w:id="0" w:name="_Toc536428355"/>
      <w:bookmarkStart w:id="1" w:name="_Toc19712"/>
      <w:bookmarkStart w:id="2" w:name="_Toc2462"/>
      <w:bookmarkStart w:id="3" w:name="_Toc28854"/>
      <w:r>
        <w:rPr>
          <w:rStyle w:val="26"/>
          <w:rFonts w:hint="eastAsia" w:ascii="黑体" w:hAnsi="黑体" w:eastAsia="黑体" w:cs="黑体"/>
          <w:b w:val="0"/>
          <w:bCs w:val="0"/>
          <w:spacing w:val="6"/>
          <w:sz w:val="30"/>
          <w:szCs w:val="30"/>
        </w:rPr>
        <w:t>一、基本情况</w:t>
      </w:r>
      <w:bookmarkEnd w:id="0"/>
      <w:bookmarkEnd w:id="1"/>
      <w:bookmarkEnd w:id="2"/>
      <w:bookmarkEnd w:id="3"/>
    </w:p>
    <w:p>
      <w:pPr>
        <w:pStyle w:val="4"/>
        <w:spacing w:before="0" w:after="0" w:line="590" w:lineRule="exact"/>
        <w:ind w:firstLine="624" w:firstLineChars="200"/>
        <w:rPr>
          <w:rFonts w:ascii="楷体" w:hAnsi="楷体" w:eastAsia="楷体"/>
          <w:bCs w:val="0"/>
          <w:spacing w:val="6"/>
          <w:szCs w:val="30"/>
        </w:rPr>
      </w:pPr>
      <w:bookmarkStart w:id="4" w:name="_Toc27016"/>
      <w:bookmarkStart w:id="5" w:name="_Toc24801"/>
      <w:bookmarkStart w:id="6" w:name="_Toc26990"/>
      <w:bookmarkStart w:id="7" w:name="_Toc536428356"/>
      <w:r>
        <w:rPr>
          <w:rFonts w:hint="eastAsia" w:ascii="楷体" w:hAnsi="楷体" w:eastAsia="楷体"/>
          <w:bCs w:val="0"/>
          <w:spacing w:val="6"/>
          <w:kern w:val="30"/>
          <w:sz w:val="30"/>
          <w:szCs w:val="30"/>
        </w:rPr>
        <w:t>（一）项目概况</w:t>
      </w:r>
      <w:bookmarkEnd w:id="4"/>
      <w:bookmarkEnd w:id="5"/>
      <w:bookmarkEnd w:id="6"/>
      <w:bookmarkEnd w:id="7"/>
    </w:p>
    <w:p>
      <w:pPr>
        <w:spacing w:line="590" w:lineRule="exact"/>
        <w:ind w:firstLine="624" w:firstLineChars="200"/>
        <w:rPr>
          <w:rFonts w:hAnsi="仿宋" w:cs="仿宋"/>
          <w:spacing w:val="6"/>
          <w:szCs w:val="30"/>
        </w:rPr>
      </w:pPr>
      <w:bookmarkStart w:id="8" w:name="_Toc536428357"/>
      <w:r>
        <w:rPr>
          <w:rFonts w:hint="eastAsia" w:hAnsi="仿宋" w:cs="仿宋"/>
          <w:spacing w:val="6"/>
          <w:szCs w:val="30"/>
        </w:rPr>
        <w:t>按照《昆明市森林防火条例》、五华区森林指挥部《关于印发五华区2022年度森林草原防灭火宣传教育工作方案的通知》（五森指〔2021〕6号）；五政办通〔2020〕72号《关于印发五华区森林草原消防专业半专业队伍建设管理办法（试行）的通知》；五安办〔2022〕28号《关于印发五华区2022年“安全生产月”和“安全生产万里行”活动方案的通知》；《中华人民共和国消防法》《云南省消防条例》《昆明市消防条例》《2022年五华区消防安全责任书》等文件要求，为进一步做好2022年应急处置中心工作，结合应急处置中心森林防火、森林草原消防专业队伍建设、安全生产、消防安全等相关工作实际情况，制定2023年应急处置中心预算项目实施方案、开展相关工作。</w:t>
      </w:r>
    </w:p>
    <w:bookmarkEnd w:id="8"/>
    <w:p>
      <w:pPr>
        <w:pStyle w:val="4"/>
        <w:spacing w:before="0" w:after="0" w:line="590" w:lineRule="exact"/>
        <w:ind w:firstLine="624" w:firstLineChars="200"/>
        <w:rPr>
          <w:rFonts w:ascii="楷体" w:hAnsi="楷体" w:eastAsia="楷体"/>
          <w:bCs w:val="0"/>
          <w:spacing w:val="6"/>
          <w:kern w:val="30"/>
          <w:sz w:val="30"/>
          <w:szCs w:val="30"/>
        </w:rPr>
      </w:pPr>
      <w:bookmarkStart w:id="9" w:name="_Toc22085"/>
      <w:bookmarkStart w:id="10" w:name="_Toc11587"/>
      <w:bookmarkStart w:id="11" w:name="_Toc75851125"/>
      <w:bookmarkStart w:id="12" w:name="_Toc23847"/>
      <w:r>
        <w:rPr>
          <w:rFonts w:hint="eastAsia" w:ascii="楷体" w:hAnsi="楷体" w:eastAsia="楷体"/>
          <w:bCs w:val="0"/>
          <w:spacing w:val="6"/>
          <w:kern w:val="30"/>
          <w:sz w:val="30"/>
          <w:szCs w:val="30"/>
        </w:rPr>
        <w:t>（二）项目预算及资金使用情况</w:t>
      </w:r>
      <w:bookmarkEnd w:id="9"/>
      <w:bookmarkEnd w:id="10"/>
      <w:bookmarkEnd w:id="11"/>
      <w:bookmarkEnd w:id="12"/>
    </w:p>
    <w:p>
      <w:pPr>
        <w:spacing w:line="590" w:lineRule="exact"/>
        <w:ind w:firstLine="624" w:firstLineChars="200"/>
        <w:rPr>
          <w:rFonts w:hAnsi="仿宋" w:cs="仿宋"/>
          <w:spacing w:val="6"/>
          <w:szCs w:val="30"/>
        </w:rPr>
      </w:pPr>
      <w:r>
        <w:rPr>
          <w:rFonts w:hint="eastAsia" w:hAnsi="仿宋" w:cs="仿宋"/>
          <w:spacing w:val="6"/>
          <w:szCs w:val="30"/>
        </w:rPr>
        <w:t>1.项目预算情况</w:t>
      </w:r>
    </w:p>
    <w:p>
      <w:pPr>
        <w:spacing w:line="590" w:lineRule="exact"/>
        <w:ind w:firstLine="624" w:firstLineChars="200"/>
        <w:rPr>
          <w:rFonts w:hAnsi="仿宋" w:cs="仿宋"/>
          <w:spacing w:val="6"/>
          <w:szCs w:val="30"/>
        </w:rPr>
      </w:pPr>
      <w:r>
        <w:rPr>
          <w:rFonts w:hint="eastAsia" w:hAnsi="仿宋" w:cs="仿宋"/>
          <w:spacing w:val="6"/>
          <w:szCs w:val="30"/>
        </w:rPr>
        <w:t>根据《昆明市五华区财政局关于批复2023年部门预算的通知》（五财预总〔2023〕2号），应急处置中心工作经费项目预算资金51.50万元，其中明细项目预算经费分别为：宣传材料警示牌制作费1.00万元、森林防火工作经费30.52万元、森林对讲机续费4.48万元、安全生产宣传培训经费8.00万元、消防宣传培训经费1.00万元、应急队团体险4.50万元、应急队水电费2.00万元。</w:t>
      </w:r>
    </w:p>
    <w:p>
      <w:pPr>
        <w:spacing w:line="590" w:lineRule="exact"/>
        <w:ind w:firstLine="624" w:firstLineChars="200"/>
        <w:rPr>
          <w:rFonts w:hAnsi="仿宋" w:cs="仿宋"/>
          <w:spacing w:val="6"/>
          <w:szCs w:val="30"/>
        </w:rPr>
      </w:pPr>
      <w:r>
        <w:rPr>
          <w:rFonts w:hint="eastAsia" w:hAnsi="仿宋" w:cs="仿宋"/>
          <w:spacing w:val="6"/>
          <w:szCs w:val="30"/>
        </w:rPr>
        <w:t>2．资金使用情况</w:t>
      </w:r>
    </w:p>
    <w:p>
      <w:pPr>
        <w:tabs>
          <w:tab w:val="left" w:pos="5280"/>
        </w:tabs>
        <w:spacing w:line="590" w:lineRule="exact"/>
        <w:ind w:firstLine="624" w:firstLineChars="200"/>
        <w:rPr>
          <w:rFonts w:ascii="宋体" w:hAnsi="宋体" w:eastAsia="宋体"/>
          <w:spacing w:val="6"/>
          <w:kern w:val="2"/>
          <w:sz w:val="28"/>
          <w:szCs w:val="28"/>
        </w:rPr>
      </w:pPr>
      <w:bookmarkStart w:id="13" w:name="_Toc75851126"/>
      <w:r>
        <w:rPr>
          <w:rFonts w:hint="eastAsia" w:hAnsi="仿宋" w:cs="仿宋"/>
          <w:spacing w:val="6"/>
          <w:szCs w:val="30"/>
          <w:lang w:bidi="zh-TW"/>
        </w:rPr>
        <w:t>根</w:t>
      </w:r>
      <w:r>
        <w:rPr>
          <w:rFonts w:hint="eastAsia" w:hAnsi="仿宋" w:cs="仿宋"/>
          <w:spacing w:val="6"/>
          <w:szCs w:val="30"/>
          <w:lang w:val="zh-TW" w:bidi="zh-TW"/>
        </w:rPr>
        <w:t>据</w:t>
      </w:r>
      <w:r>
        <w:rPr>
          <w:rFonts w:hint="eastAsia" w:hAnsi="仿宋" w:cs="仿宋"/>
          <w:spacing w:val="6"/>
          <w:szCs w:val="30"/>
        </w:rPr>
        <w:t>（五财预总〔2023〕2号）文及</w:t>
      </w:r>
      <w:r>
        <w:rPr>
          <w:rFonts w:hint="eastAsia" w:hAnsi="仿宋" w:cs="仿宋"/>
          <w:spacing w:val="6"/>
          <w:szCs w:val="30"/>
          <w:lang w:val="zh-TW" w:bidi="zh-TW"/>
        </w:rPr>
        <w:t>财务账表，截至202</w:t>
      </w:r>
      <w:r>
        <w:rPr>
          <w:rFonts w:hint="eastAsia" w:hAnsi="仿宋" w:cs="仿宋"/>
          <w:spacing w:val="6"/>
          <w:szCs w:val="30"/>
          <w:lang w:bidi="zh-TW"/>
        </w:rPr>
        <w:t>3</w:t>
      </w:r>
      <w:r>
        <w:rPr>
          <w:rFonts w:hint="eastAsia" w:hAnsi="仿宋" w:cs="仿宋"/>
          <w:spacing w:val="6"/>
          <w:szCs w:val="30"/>
          <w:lang w:val="zh-TW" w:bidi="zh-TW"/>
        </w:rPr>
        <w:t>年12月31日，项目实际收到资金</w:t>
      </w:r>
      <w:r>
        <w:rPr>
          <w:rFonts w:hint="eastAsia" w:hAnsi="仿宋" w:cs="仿宋"/>
          <w:spacing w:val="6"/>
          <w:szCs w:val="30"/>
          <w:lang w:bidi="zh-TW"/>
        </w:rPr>
        <w:t>8.42</w:t>
      </w:r>
      <w:r>
        <w:rPr>
          <w:rFonts w:hint="eastAsia" w:hAnsi="仿宋" w:cs="仿宋"/>
          <w:spacing w:val="6"/>
          <w:szCs w:val="30"/>
          <w:lang w:val="zh-TW" w:bidi="zh-TW"/>
        </w:rPr>
        <w:t>万元，实际支出</w:t>
      </w:r>
      <w:r>
        <w:rPr>
          <w:rFonts w:hint="eastAsia" w:hAnsi="仿宋" w:cs="仿宋"/>
          <w:spacing w:val="6"/>
          <w:szCs w:val="30"/>
          <w:lang w:bidi="zh-TW"/>
        </w:rPr>
        <w:t>8.42</w:t>
      </w:r>
      <w:r>
        <w:rPr>
          <w:rFonts w:hint="eastAsia" w:hAnsi="仿宋" w:cs="仿宋"/>
          <w:spacing w:val="6"/>
          <w:szCs w:val="30"/>
          <w:lang w:val="zh-TW" w:bidi="zh-TW"/>
        </w:rPr>
        <w:t>万元。该</w:t>
      </w:r>
      <w:r>
        <w:rPr>
          <w:rFonts w:hint="eastAsia" w:hAnsi="仿宋" w:cs="仿宋"/>
          <w:spacing w:val="6"/>
          <w:kern w:val="2"/>
          <w:szCs w:val="30"/>
        </w:rPr>
        <w:t>项目支出情况详见下表：</w:t>
      </w:r>
    </w:p>
    <w:p>
      <w:pPr>
        <w:jc w:val="center"/>
        <w:rPr>
          <w:rFonts w:ascii="黑体" w:hAnsi="黑体" w:eastAsia="黑体"/>
          <w:color w:val="000000" w:themeColor="text1"/>
          <w:spacing w:val="6"/>
          <w:sz w:val="24"/>
          <w:szCs w:val="24"/>
          <w14:textFill>
            <w14:solidFill>
              <w14:schemeClr w14:val="tx1"/>
            </w14:solidFill>
          </w14:textFill>
        </w:rPr>
      </w:pPr>
      <w:r>
        <w:rPr>
          <w:rFonts w:hint="eastAsia" w:ascii="黑体" w:hAnsi="黑体" w:eastAsia="黑体"/>
          <w:color w:val="000000" w:themeColor="text1"/>
          <w:spacing w:val="6"/>
          <w:sz w:val="24"/>
          <w:szCs w:val="24"/>
          <w14:textFill>
            <w14:solidFill>
              <w14:schemeClr w14:val="tx1"/>
            </w14:solidFill>
          </w14:textFill>
        </w:rPr>
        <w:t>表1：预算资金支出明细情况表</w:t>
      </w:r>
    </w:p>
    <w:p>
      <w:pPr>
        <w:jc w:val="right"/>
        <w:rPr>
          <w:spacing w:val="6"/>
        </w:rPr>
      </w:pPr>
      <w:r>
        <w:rPr>
          <w:rFonts w:hint="eastAsia" w:ascii="黑体" w:hAnsi="黑体" w:eastAsia="黑体"/>
          <w:color w:val="000000" w:themeColor="text1"/>
          <w:spacing w:val="6"/>
          <w:sz w:val="24"/>
          <w:szCs w:val="24"/>
          <w14:textFill>
            <w14:solidFill>
              <w14:schemeClr w14:val="tx1"/>
            </w14:solidFill>
          </w14:textFill>
        </w:rPr>
        <w:t>单位：元</w:t>
      </w:r>
    </w:p>
    <w:tbl>
      <w:tblPr>
        <w:tblStyle w:val="19"/>
        <w:tblW w:w="5000" w:type="pct"/>
        <w:jc w:val="center"/>
        <w:tblLayout w:type="autofit"/>
        <w:tblCellMar>
          <w:top w:w="0" w:type="dxa"/>
          <w:left w:w="108" w:type="dxa"/>
          <w:bottom w:w="0" w:type="dxa"/>
          <w:right w:w="108" w:type="dxa"/>
        </w:tblCellMar>
      </w:tblPr>
      <w:tblGrid>
        <w:gridCol w:w="679"/>
        <w:gridCol w:w="447"/>
        <w:gridCol w:w="448"/>
        <w:gridCol w:w="1017"/>
        <w:gridCol w:w="4874"/>
        <w:gridCol w:w="1595"/>
      </w:tblGrid>
      <w:tr>
        <w:tblPrEx>
          <w:tblCellMar>
            <w:top w:w="0" w:type="dxa"/>
            <w:left w:w="108" w:type="dxa"/>
            <w:bottom w:w="0" w:type="dxa"/>
            <w:right w:w="108" w:type="dxa"/>
          </w:tblCellMar>
        </w:tblPrEx>
        <w:trPr>
          <w:trHeight w:val="319" w:hRule="atLeast"/>
          <w:tblHeader/>
          <w:jc w:val="center"/>
        </w:trPr>
        <w:tc>
          <w:tcPr>
            <w:tcW w:w="37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b/>
                <w:bCs/>
                <w:spacing w:val="6"/>
                <w:sz w:val="21"/>
              </w:rPr>
            </w:pPr>
            <w:r>
              <w:rPr>
                <w:rFonts w:hint="eastAsia" w:hAnsi="仿宋" w:cs="仿宋"/>
                <w:b/>
                <w:bCs/>
                <w:spacing w:val="6"/>
                <w:kern w:val="0"/>
                <w:sz w:val="21"/>
                <w:lang w:bidi="ar"/>
              </w:rPr>
              <w:t>年</w:t>
            </w:r>
          </w:p>
        </w:tc>
        <w:tc>
          <w:tcPr>
            <w:tcW w:w="24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b/>
                <w:bCs/>
                <w:spacing w:val="6"/>
                <w:sz w:val="21"/>
              </w:rPr>
            </w:pPr>
            <w:r>
              <w:rPr>
                <w:rFonts w:hint="eastAsia" w:hAnsi="仿宋" w:cs="仿宋"/>
                <w:b/>
                <w:bCs/>
                <w:spacing w:val="6"/>
                <w:kern w:val="0"/>
                <w:sz w:val="21"/>
                <w:lang w:bidi="ar"/>
              </w:rPr>
              <w:t>月</w:t>
            </w:r>
          </w:p>
        </w:tc>
        <w:tc>
          <w:tcPr>
            <w:tcW w:w="24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b/>
                <w:bCs/>
                <w:spacing w:val="6"/>
                <w:sz w:val="21"/>
              </w:rPr>
            </w:pPr>
            <w:r>
              <w:rPr>
                <w:rFonts w:hint="eastAsia" w:hAnsi="仿宋" w:cs="仿宋"/>
                <w:b/>
                <w:bCs/>
                <w:spacing w:val="6"/>
                <w:kern w:val="0"/>
                <w:sz w:val="21"/>
                <w:lang w:bidi="ar"/>
              </w:rPr>
              <w:t>日</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b/>
                <w:bCs/>
                <w:spacing w:val="6"/>
                <w:sz w:val="21"/>
              </w:rPr>
            </w:pPr>
            <w:r>
              <w:rPr>
                <w:rFonts w:hint="eastAsia" w:hAnsi="仿宋" w:cs="仿宋"/>
                <w:b/>
                <w:bCs/>
                <w:spacing w:val="6"/>
                <w:kern w:val="0"/>
                <w:sz w:val="21"/>
                <w:lang w:bidi="ar"/>
              </w:rPr>
              <w:t>凭证号</w:t>
            </w:r>
          </w:p>
        </w:tc>
        <w:tc>
          <w:tcPr>
            <w:tcW w:w="2687"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Ansi="仿宋" w:cs="仿宋"/>
                <w:b/>
                <w:bCs/>
                <w:spacing w:val="6"/>
                <w:sz w:val="21"/>
              </w:rPr>
            </w:pPr>
            <w:r>
              <w:rPr>
                <w:rFonts w:hint="eastAsia" w:hAnsi="仿宋" w:cs="仿宋"/>
                <w:b/>
                <w:bCs/>
                <w:spacing w:val="6"/>
                <w:kern w:val="0"/>
                <w:sz w:val="21"/>
                <w:lang w:bidi="ar"/>
              </w:rPr>
              <w:t>摘要</w:t>
            </w:r>
          </w:p>
        </w:tc>
        <w:tc>
          <w:tcPr>
            <w:tcW w:w="88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b/>
                <w:bCs/>
                <w:spacing w:val="6"/>
                <w:sz w:val="21"/>
              </w:rPr>
            </w:pPr>
            <w:r>
              <w:rPr>
                <w:rFonts w:hint="eastAsia" w:hAnsi="仿宋" w:cs="仿宋"/>
                <w:b/>
                <w:bCs/>
                <w:spacing w:val="6"/>
                <w:kern w:val="0"/>
                <w:sz w:val="21"/>
                <w:lang w:bidi="ar"/>
              </w:rPr>
              <w:t>金额</w:t>
            </w:r>
          </w:p>
        </w:tc>
      </w:tr>
      <w:tr>
        <w:tblPrEx>
          <w:tblCellMar>
            <w:top w:w="0" w:type="dxa"/>
            <w:left w:w="108" w:type="dxa"/>
            <w:bottom w:w="0" w:type="dxa"/>
            <w:right w:w="108" w:type="dxa"/>
          </w:tblCellMar>
        </w:tblPrEx>
        <w:trPr>
          <w:trHeight w:val="732" w:hRule="atLeast"/>
          <w:jc w:val="center"/>
        </w:trPr>
        <w:tc>
          <w:tcPr>
            <w:tcW w:w="37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spacing w:val="6"/>
                <w:kern w:val="0"/>
                <w:sz w:val="21"/>
                <w:lang w:bidi="ar"/>
              </w:rPr>
            </w:pPr>
            <w:r>
              <w:rPr>
                <w:rFonts w:hint="eastAsia" w:hAnsi="仿宋" w:cs="仿宋"/>
                <w:spacing w:val="6"/>
                <w:kern w:val="0"/>
                <w:sz w:val="21"/>
                <w:lang w:bidi="ar"/>
              </w:rPr>
              <w:t>2023</w:t>
            </w:r>
          </w:p>
        </w:tc>
        <w:tc>
          <w:tcPr>
            <w:tcW w:w="24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spacing w:val="6"/>
                <w:kern w:val="0"/>
                <w:sz w:val="21"/>
                <w:lang w:bidi="ar"/>
              </w:rPr>
            </w:pPr>
            <w:r>
              <w:rPr>
                <w:rFonts w:hint="eastAsia" w:hAnsi="仿宋" w:cs="仿宋"/>
                <w:spacing w:val="6"/>
                <w:kern w:val="0"/>
                <w:sz w:val="21"/>
                <w:lang w:bidi="ar"/>
              </w:rPr>
              <w:t>3</w:t>
            </w:r>
          </w:p>
        </w:tc>
        <w:tc>
          <w:tcPr>
            <w:tcW w:w="24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spacing w:val="6"/>
                <w:kern w:val="0"/>
                <w:sz w:val="21"/>
                <w:lang w:bidi="ar"/>
              </w:rPr>
            </w:pPr>
            <w:r>
              <w:rPr>
                <w:rFonts w:hint="eastAsia" w:hAnsi="仿宋" w:cs="仿宋"/>
                <w:spacing w:val="6"/>
                <w:kern w:val="0"/>
                <w:sz w:val="21"/>
                <w:lang w:bidi="ar"/>
              </w:rPr>
              <w:t>30</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Ansi="仿宋" w:cs="仿宋"/>
                <w:spacing w:val="6"/>
                <w:kern w:val="0"/>
                <w:sz w:val="21"/>
                <w:lang w:bidi="ar"/>
              </w:rPr>
            </w:pPr>
            <w:r>
              <w:rPr>
                <w:rFonts w:hint="eastAsia" w:hAnsi="仿宋" w:cs="仿宋"/>
                <w:spacing w:val="6"/>
                <w:kern w:val="0"/>
                <w:sz w:val="21"/>
                <w:lang w:bidi="ar"/>
              </w:rPr>
              <w:t>记账-8</w:t>
            </w:r>
          </w:p>
        </w:tc>
        <w:tc>
          <w:tcPr>
            <w:tcW w:w="2687" w:type="pct"/>
            <w:tcBorders>
              <w:top w:val="single" w:color="000000" w:sz="4" w:space="0"/>
              <w:left w:val="single" w:color="000000" w:sz="4" w:space="0"/>
              <w:bottom w:val="single" w:color="000000" w:sz="4" w:space="0"/>
              <w:right w:val="single" w:color="000000" w:sz="4" w:space="0"/>
            </w:tcBorders>
            <w:vAlign w:val="center"/>
          </w:tcPr>
          <w:p>
            <w:pPr>
              <w:widowControl/>
              <w:snapToGrid w:val="0"/>
              <w:textAlignment w:val="center"/>
              <w:rPr>
                <w:rFonts w:hAnsi="仿宋" w:cs="仿宋"/>
                <w:spacing w:val="6"/>
                <w:kern w:val="0"/>
                <w:sz w:val="21"/>
                <w:lang w:bidi="ar"/>
              </w:rPr>
            </w:pPr>
            <w:r>
              <w:rPr>
                <w:rFonts w:hint="eastAsia" w:hAnsi="仿宋" w:cs="仿宋"/>
                <w:spacing w:val="6"/>
                <w:kern w:val="0"/>
                <w:sz w:val="21"/>
                <w:lang w:bidi="ar"/>
              </w:rPr>
              <w:t>支付2023年应急队队员购买团体意外保险</w:t>
            </w:r>
          </w:p>
        </w:tc>
        <w:tc>
          <w:tcPr>
            <w:tcW w:w="88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right"/>
              <w:textAlignment w:val="center"/>
              <w:rPr>
                <w:rFonts w:hAnsi="仿宋" w:cs="仿宋"/>
                <w:spacing w:val="6"/>
                <w:kern w:val="0"/>
                <w:sz w:val="21"/>
                <w:lang w:bidi="ar"/>
              </w:rPr>
            </w:pPr>
            <w:r>
              <w:rPr>
                <w:rFonts w:hint="eastAsia" w:hAnsi="仿宋" w:cs="仿宋"/>
                <w:spacing w:val="6"/>
                <w:kern w:val="0"/>
                <w:sz w:val="21"/>
                <w:lang w:bidi="ar"/>
              </w:rPr>
              <w:t>45,000.00</w:t>
            </w:r>
          </w:p>
        </w:tc>
      </w:tr>
      <w:tr>
        <w:tblPrEx>
          <w:tblCellMar>
            <w:top w:w="0" w:type="dxa"/>
            <w:left w:w="108" w:type="dxa"/>
            <w:bottom w:w="0" w:type="dxa"/>
            <w:right w:w="108" w:type="dxa"/>
          </w:tblCellMar>
        </w:tblPrEx>
        <w:trPr>
          <w:trHeight w:val="758" w:hRule="atLeast"/>
          <w:jc w:val="center"/>
        </w:trPr>
        <w:tc>
          <w:tcPr>
            <w:tcW w:w="37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spacing w:val="6"/>
                <w:kern w:val="0"/>
                <w:sz w:val="21"/>
                <w:lang w:bidi="ar"/>
              </w:rPr>
            </w:pPr>
            <w:r>
              <w:rPr>
                <w:rFonts w:hint="eastAsia" w:hAnsi="仿宋" w:cs="仿宋"/>
                <w:spacing w:val="6"/>
                <w:kern w:val="0"/>
                <w:sz w:val="21"/>
                <w:lang w:bidi="ar"/>
              </w:rPr>
              <w:t>2023</w:t>
            </w:r>
          </w:p>
        </w:tc>
        <w:tc>
          <w:tcPr>
            <w:tcW w:w="24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spacing w:val="6"/>
                <w:kern w:val="0"/>
                <w:sz w:val="21"/>
                <w:lang w:bidi="ar"/>
              </w:rPr>
            </w:pPr>
            <w:r>
              <w:rPr>
                <w:rFonts w:hint="eastAsia" w:hAnsi="仿宋" w:cs="仿宋"/>
                <w:spacing w:val="6"/>
                <w:kern w:val="0"/>
                <w:sz w:val="21"/>
                <w:lang w:bidi="ar"/>
              </w:rPr>
              <w:t>11</w:t>
            </w:r>
          </w:p>
        </w:tc>
        <w:tc>
          <w:tcPr>
            <w:tcW w:w="24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spacing w:val="6"/>
                <w:kern w:val="0"/>
                <w:sz w:val="21"/>
                <w:lang w:bidi="ar"/>
              </w:rPr>
            </w:pPr>
            <w:r>
              <w:rPr>
                <w:rFonts w:hint="eastAsia" w:hAnsi="仿宋" w:cs="仿宋"/>
                <w:spacing w:val="6"/>
                <w:kern w:val="0"/>
                <w:sz w:val="21"/>
                <w:lang w:bidi="ar"/>
              </w:rPr>
              <w:t>30</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Ansi="仿宋" w:cs="仿宋"/>
                <w:spacing w:val="6"/>
                <w:kern w:val="0"/>
                <w:sz w:val="21"/>
                <w:lang w:bidi="ar"/>
              </w:rPr>
            </w:pPr>
            <w:r>
              <w:rPr>
                <w:rFonts w:hint="eastAsia" w:hAnsi="仿宋" w:cs="仿宋"/>
                <w:spacing w:val="6"/>
                <w:kern w:val="0"/>
                <w:sz w:val="21"/>
                <w:lang w:bidi="ar"/>
              </w:rPr>
              <w:t>记账-36</w:t>
            </w:r>
          </w:p>
        </w:tc>
        <w:tc>
          <w:tcPr>
            <w:tcW w:w="2687" w:type="pct"/>
            <w:tcBorders>
              <w:top w:val="single" w:color="000000" w:sz="4" w:space="0"/>
              <w:left w:val="single" w:color="000000" w:sz="4" w:space="0"/>
              <w:bottom w:val="single" w:color="000000" w:sz="4" w:space="0"/>
              <w:right w:val="single" w:color="000000" w:sz="4" w:space="0"/>
            </w:tcBorders>
            <w:vAlign w:val="center"/>
          </w:tcPr>
          <w:p>
            <w:pPr>
              <w:widowControl/>
              <w:snapToGrid w:val="0"/>
              <w:textAlignment w:val="center"/>
              <w:rPr>
                <w:rFonts w:hAnsi="仿宋" w:cs="仿宋"/>
                <w:spacing w:val="6"/>
                <w:kern w:val="0"/>
                <w:sz w:val="21"/>
                <w:lang w:bidi="ar"/>
              </w:rPr>
            </w:pPr>
            <w:r>
              <w:rPr>
                <w:rFonts w:hint="eastAsia" w:hAnsi="仿宋" w:cs="仿宋"/>
                <w:spacing w:val="6"/>
                <w:kern w:val="0"/>
                <w:sz w:val="21"/>
                <w:lang w:bidi="ar"/>
              </w:rPr>
              <w:t>支付2023年西翥街道对讲机网络续费</w:t>
            </w:r>
          </w:p>
        </w:tc>
        <w:tc>
          <w:tcPr>
            <w:tcW w:w="88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right"/>
              <w:textAlignment w:val="center"/>
              <w:rPr>
                <w:rFonts w:hAnsi="仿宋" w:cs="仿宋"/>
                <w:spacing w:val="6"/>
                <w:kern w:val="0"/>
                <w:sz w:val="21"/>
                <w:lang w:bidi="ar"/>
              </w:rPr>
            </w:pPr>
            <w:r>
              <w:rPr>
                <w:rFonts w:hint="eastAsia" w:hAnsi="仿宋" w:cs="仿宋"/>
                <w:spacing w:val="6"/>
                <w:kern w:val="0"/>
                <w:sz w:val="21"/>
                <w:lang w:bidi="ar"/>
              </w:rPr>
              <w:t>39,200.00</w:t>
            </w:r>
          </w:p>
        </w:tc>
      </w:tr>
      <w:tr>
        <w:tblPrEx>
          <w:tblCellMar>
            <w:top w:w="0" w:type="dxa"/>
            <w:left w:w="108" w:type="dxa"/>
            <w:bottom w:w="0" w:type="dxa"/>
            <w:right w:w="108" w:type="dxa"/>
          </w:tblCellMar>
        </w:tblPrEx>
        <w:trPr>
          <w:trHeight w:val="384" w:hRule="atLeast"/>
          <w:jc w:val="center"/>
        </w:trPr>
        <w:tc>
          <w:tcPr>
            <w:tcW w:w="4119" w:type="pct"/>
            <w:gridSpan w:val="5"/>
            <w:tcBorders>
              <w:top w:val="single" w:color="000000" w:sz="4" w:space="0"/>
              <w:left w:val="single" w:color="000000" w:sz="4" w:space="0"/>
              <w:bottom w:val="single" w:color="000000" w:sz="4" w:space="0"/>
              <w:right w:val="single" w:color="000000" w:sz="4" w:space="0"/>
            </w:tcBorders>
            <w:noWrap/>
            <w:vAlign w:val="center"/>
          </w:tcPr>
          <w:p>
            <w:pPr>
              <w:widowControl/>
              <w:tabs>
                <w:tab w:val="left" w:pos="4604"/>
              </w:tabs>
              <w:snapToGrid w:val="0"/>
              <w:jc w:val="center"/>
              <w:textAlignment w:val="center"/>
              <w:rPr>
                <w:rFonts w:hAnsi="仿宋" w:cs="仿宋"/>
                <w:b/>
                <w:bCs/>
                <w:spacing w:val="6"/>
                <w:kern w:val="0"/>
                <w:sz w:val="21"/>
                <w:lang w:bidi="ar"/>
              </w:rPr>
            </w:pPr>
            <w:r>
              <w:rPr>
                <w:rFonts w:hint="eastAsia" w:hAnsi="仿宋" w:cs="仿宋"/>
                <w:b/>
                <w:bCs/>
                <w:spacing w:val="6"/>
                <w:kern w:val="0"/>
                <w:sz w:val="21"/>
                <w:lang w:bidi="ar"/>
              </w:rPr>
              <w:t>合计</w:t>
            </w:r>
          </w:p>
        </w:tc>
        <w:tc>
          <w:tcPr>
            <w:tcW w:w="88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right"/>
              <w:textAlignment w:val="center"/>
              <w:rPr>
                <w:rFonts w:hAnsi="仿宋" w:cs="仿宋"/>
                <w:b/>
                <w:bCs/>
                <w:spacing w:val="6"/>
                <w:kern w:val="0"/>
                <w:sz w:val="21"/>
                <w:lang w:bidi="ar"/>
              </w:rPr>
            </w:pPr>
            <w:r>
              <w:rPr>
                <w:rFonts w:hint="eastAsia" w:hAnsi="仿宋" w:cs="仿宋"/>
                <w:b/>
                <w:bCs/>
                <w:spacing w:val="6"/>
                <w:kern w:val="0"/>
                <w:sz w:val="21"/>
                <w:lang w:bidi="ar"/>
              </w:rPr>
              <w:t>84,200.00</w:t>
            </w:r>
          </w:p>
        </w:tc>
      </w:tr>
    </w:tbl>
    <w:p>
      <w:pPr>
        <w:pStyle w:val="4"/>
        <w:spacing w:before="0" w:after="0" w:line="590" w:lineRule="exact"/>
        <w:ind w:firstLine="624" w:firstLineChars="200"/>
        <w:rPr>
          <w:rFonts w:ascii="楷体" w:hAnsi="楷体" w:eastAsia="楷体"/>
          <w:bCs w:val="0"/>
          <w:spacing w:val="6"/>
          <w:kern w:val="30"/>
          <w:sz w:val="30"/>
          <w:szCs w:val="30"/>
        </w:rPr>
      </w:pPr>
      <w:bookmarkStart w:id="14" w:name="_Toc732"/>
      <w:bookmarkStart w:id="15" w:name="_Toc20104"/>
      <w:bookmarkStart w:id="16" w:name="_Toc32170"/>
      <w:r>
        <w:rPr>
          <w:rFonts w:hint="eastAsia" w:ascii="楷体" w:hAnsi="楷体" w:eastAsia="楷体"/>
          <w:bCs w:val="0"/>
          <w:spacing w:val="6"/>
          <w:kern w:val="30"/>
          <w:sz w:val="30"/>
          <w:szCs w:val="30"/>
        </w:rPr>
        <w:t>（三）项目计划实施内容</w:t>
      </w:r>
      <w:bookmarkEnd w:id="13"/>
      <w:bookmarkEnd w:id="14"/>
      <w:bookmarkEnd w:id="15"/>
      <w:bookmarkEnd w:id="16"/>
    </w:p>
    <w:p>
      <w:pPr>
        <w:tabs>
          <w:tab w:val="left" w:pos="5280"/>
        </w:tabs>
        <w:spacing w:line="590" w:lineRule="exact"/>
        <w:ind w:firstLine="624" w:firstLineChars="200"/>
        <w:rPr>
          <w:rFonts w:hAnsi="仿宋" w:cs="仿宋"/>
          <w:spacing w:val="6"/>
          <w:szCs w:val="30"/>
          <w:lang w:bidi="zh-TW"/>
        </w:rPr>
      </w:pPr>
      <w:r>
        <w:rPr>
          <w:rFonts w:hint="eastAsia" w:hAnsi="仿宋" w:cs="仿宋"/>
          <w:spacing w:val="6"/>
          <w:szCs w:val="30"/>
          <w:lang w:bidi="zh-TW"/>
        </w:rPr>
        <w:t>根据《2023年应急处置中心财政预算项目实施方案》项目实施内容如下：</w:t>
      </w:r>
    </w:p>
    <w:p>
      <w:pPr>
        <w:tabs>
          <w:tab w:val="left" w:pos="5280"/>
        </w:tabs>
        <w:spacing w:line="590" w:lineRule="exact"/>
        <w:ind w:firstLine="624" w:firstLineChars="200"/>
        <w:rPr>
          <w:rFonts w:hAnsi="仿宋" w:cs="仿宋"/>
          <w:spacing w:val="6"/>
          <w:szCs w:val="30"/>
          <w:lang w:bidi="zh-TW"/>
        </w:rPr>
      </w:pPr>
      <w:r>
        <w:rPr>
          <w:rFonts w:hint="eastAsia" w:hAnsi="仿宋" w:cs="仿宋"/>
          <w:spacing w:val="6"/>
          <w:szCs w:val="30"/>
          <w:lang w:bidi="zh-TW"/>
        </w:rPr>
        <w:t>1.森林防火</w:t>
      </w:r>
    </w:p>
    <w:p>
      <w:pPr>
        <w:spacing w:line="560" w:lineRule="exact"/>
        <w:ind w:firstLine="630"/>
        <w:rPr>
          <w:rFonts w:hAnsi="仿宋" w:cs="仿宋"/>
          <w:spacing w:val="6"/>
          <w:szCs w:val="30"/>
          <w:lang w:val="zh-CN" w:bidi="zh-TW"/>
        </w:rPr>
      </w:pPr>
      <w:r>
        <w:rPr>
          <w:rFonts w:hint="eastAsia" w:hAnsi="仿宋" w:cs="仿宋"/>
          <w:spacing w:val="6"/>
          <w:szCs w:val="30"/>
          <w:lang w:bidi="zh-TW"/>
        </w:rPr>
        <w:t>（1）</w:t>
      </w:r>
      <w:r>
        <w:rPr>
          <w:rFonts w:hint="eastAsia" w:hAnsi="仿宋" w:cs="仿宋"/>
          <w:spacing w:val="6"/>
          <w:szCs w:val="30"/>
          <w:lang w:val="zh-CN" w:bidi="zh-TW"/>
        </w:rPr>
        <w:t>森林防火期内，严格执行上级有关森林防火的法律法规及文件精神,开展广泛宣传。对原有标语、标牌进行刷新，增强全民防火意识。对本村内的重点人员（精神病患者、聋、哑、痴、呆人员）进行重点看管、教育；</w:t>
      </w:r>
    </w:p>
    <w:p>
      <w:pPr>
        <w:spacing w:line="560" w:lineRule="exact"/>
        <w:ind w:firstLine="630"/>
        <w:rPr>
          <w:rFonts w:hAnsi="仿宋" w:cs="仿宋"/>
          <w:spacing w:val="6"/>
          <w:szCs w:val="30"/>
          <w:lang w:val="zh-CN" w:bidi="zh-TW"/>
        </w:rPr>
      </w:pPr>
      <w:r>
        <w:rPr>
          <w:rFonts w:hint="eastAsia" w:hAnsi="仿宋" w:cs="仿宋"/>
          <w:spacing w:val="6"/>
          <w:szCs w:val="30"/>
          <w:lang w:val="zh-CN" w:bidi="zh-TW"/>
        </w:rPr>
        <w:t>（</w:t>
      </w:r>
      <w:r>
        <w:rPr>
          <w:rFonts w:hint="eastAsia" w:hAnsi="仿宋" w:cs="仿宋"/>
          <w:spacing w:val="6"/>
          <w:szCs w:val="30"/>
          <w:lang w:bidi="zh-TW"/>
        </w:rPr>
        <w:t>2</w:t>
      </w:r>
      <w:r>
        <w:rPr>
          <w:rFonts w:hint="eastAsia" w:hAnsi="仿宋" w:cs="仿宋"/>
          <w:spacing w:val="6"/>
          <w:szCs w:val="30"/>
          <w:lang w:val="zh-CN" w:bidi="zh-TW"/>
        </w:rPr>
        <w:t>）认真落实值班制度。严格执行24小时领导带班值班制度和火情报告制度，加强组织领导，确保森林防火信息指令畅通，全面做好处置突发火灾的组织指挥，一旦发生火情，街道办事处和社区主要领导、分管领导等指挥部成员要在第一时间赶到现场，科学组织指挥，调集专业扑火队、预备队迅速施救，将森林受害面积降到最低限度，确保不发生人员伤亡事故。</w:t>
      </w:r>
    </w:p>
    <w:p>
      <w:pPr>
        <w:spacing w:line="560" w:lineRule="exact"/>
        <w:ind w:firstLine="630"/>
        <w:rPr>
          <w:rFonts w:hAnsi="仿宋" w:cs="仿宋"/>
          <w:spacing w:val="6"/>
          <w:szCs w:val="30"/>
          <w:lang w:val="zh-CN" w:bidi="zh-TW"/>
        </w:rPr>
      </w:pPr>
      <w:r>
        <w:rPr>
          <w:rFonts w:hint="eastAsia" w:hAnsi="仿宋" w:cs="仿宋"/>
          <w:spacing w:val="6"/>
          <w:szCs w:val="30"/>
          <w:lang w:val="zh-CN" w:bidi="zh-TW"/>
        </w:rPr>
        <w:t>（</w:t>
      </w:r>
      <w:r>
        <w:rPr>
          <w:rFonts w:hint="eastAsia" w:hAnsi="仿宋" w:cs="仿宋"/>
          <w:spacing w:val="6"/>
          <w:szCs w:val="30"/>
          <w:lang w:bidi="zh-TW"/>
        </w:rPr>
        <w:t>3</w:t>
      </w:r>
      <w:r>
        <w:rPr>
          <w:rFonts w:hint="eastAsia" w:hAnsi="仿宋" w:cs="仿宋"/>
          <w:spacing w:val="6"/>
          <w:szCs w:val="30"/>
          <w:lang w:val="zh-CN" w:bidi="zh-TW"/>
        </w:rPr>
        <w:t>）加强巡查，按照五华区森林防火指挥部“人员、机具、训练、资金、场地”五落实的要求，到辖区内开展森林防火巡查，对出现的违规农事用火及时进行查处。</w:t>
      </w:r>
    </w:p>
    <w:p>
      <w:pPr>
        <w:spacing w:line="560" w:lineRule="exact"/>
        <w:ind w:firstLine="630"/>
        <w:rPr>
          <w:rFonts w:hAnsi="仿宋" w:cs="仿宋"/>
          <w:spacing w:val="6"/>
          <w:szCs w:val="30"/>
          <w:lang w:bidi="zh-TW"/>
        </w:rPr>
      </w:pPr>
      <w:r>
        <w:rPr>
          <w:rFonts w:hint="eastAsia" w:hAnsi="仿宋" w:cs="仿宋"/>
          <w:spacing w:val="6"/>
          <w:szCs w:val="30"/>
          <w:lang w:bidi="zh-TW"/>
        </w:rPr>
        <w:t>2.安全生产工作</w:t>
      </w:r>
    </w:p>
    <w:p>
      <w:pPr>
        <w:pStyle w:val="41"/>
        <w:overflowPunct w:val="0"/>
        <w:adjustRightInd w:val="0"/>
        <w:snapToGrid w:val="0"/>
        <w:spacing w:line="560" w:lineRule="exact"/>
        <w:ind w:firstLine="624"/>
        <w:rPr>
          <w:rFonts w:hAnsi="仿宋" w:cs="仿宋"/>
          <w:spacing w:val="6"/>
          <w:szCs w:val="30"/>
          <w:lang w:val="zh-CN" w:bidi="zh-TW"/>
        </w:rPr>
      </w:pPr>
      <w:r>
        <w:rPr>
          <w:rFonts w:hint="eastAsia" w:hAnsi="仿宋" w:cs="仿宋"/>
          <w:spacing w:val="6"/>
          <w:szCs w:val="30"/>
          <w:lang w:bidi="zh-TW"/>
        </w:rPr>
        <w:t>（1）</w:t>
      </w:r>
      <w:r>
        <w:rPr>
          <w:rFonts w:hint="eastAsia" w:hAnsi="仿宋" w:cs="仿宋"/>
          <w:spacing w:val="6"/>
          <w:szCs w:val="30"/>
          <w:lang w:val="zh-CN" w:bidi="zh-TW"/>
        </w:rPr>
        <w:t>认真落实安全生产责任制。坚持党政同责、一岗双责、齐抓共管、失职追责；按照“管行业必须管安全、管业务必须管安全、管生产经营必须管安全”和“谁主管谁负责”的原则，实施安全生产行业领域主管和网格化管理制度；</w:t>
      </w:r>
    </w:p>
    <w:p>
      <w:pPr>
        <w:pStyle w:val="41"/>
        <w:overflowPunct w:val="0"/>
        <w:adjustRightInd w:val="0"/>
        <w:snapToGrid w:val="0"/>
        <w:spacing w:line="560" w:lineRule="exact"/>
        <w:ind w:firstLine="624"/>
        <w:rPr>
          <w:rFonts w:hAnsi="仿宋" w:cs="仿宋"/>
          <w:spacing w:val="6"/>
          <w:szCs w:val="30"/>
          <w:lang w:val="zh-CN" w:bidi="zh-TW"/>
        </w:rPr>
      </w:pPr>
      <w:r>
        <w:rPr>
          <w:rFonts w:hint="eastAsia" w:hAnsi="仿宋" w:cs="仿宋"/>
          <w:spacing w:val="6"/>
          <w:szCs w:val="30"/>
          <w:lang w:val="zh-CN" w:bidi="zh-TW"/>
        </w:rPr>
        <w:t>（</w:t>
      </w:r>
      <w:r>
        <w:rPr>
          <w:rFonts w:hint="eastAsia" w:hAnsi="仿宋" w:cs="仿宋"/>
          <w:spacing w:val="6"/>
          <w:szCs w:val="30"/>
          <w:lang w:bidi="zh-TW"/>
        </w:rPr>
        <w:t>2</w:t>
      </w:r>
      <w:r>
        <w:rPr>
          <w:rFonts w:hint="eastAsia" w:hAnsi="仿宋" w:cs="仿宋"/>
          <w:spacing w:val="6"/>
          <w:szCs w:val="30"/>
          <w:lang w:val="zh-CN" w:bidi="zh-TW"/>
        </w:rPr>
        <w:t>）强化基础建设和安全预防。认真召开每月安全形势分析会，每季安全生产专题会，分析、研究、部署安全生产工作；监督检查、宣传教育、调查摸底全面覆盖、贯通全年为工作常态；在重大政治活动、节假日、季节性变化等重要时间节点，开展综合、专项整治强化安全预防；</w:t>
      </w:r>
    </w:p>
    <w:p>
      <w:pPr>
        <w:pStyle w:val="41"/>
        <w:overflowPunct w:val="0"/>
        <w:adjustRightInd w:val="0"/>
        <w:snapToGrid w:val="0"/>
        <w:spacing w:line="560" w:lineRule="exact"/>
        <w:ind w:firstLine="624"/>
        <w:rPr>
          <w:rFonts w:hAnsi="仿宋" w:cs="仿宋"/>
          <w:spacing w:val="6"/>
          <w:szCs w:val="30"/>
          <w:lang w:val="zh-CN" w:bidi="zh-TW"/>
        </w:rPr>
      </w:pPr>
      <w:r>
        <w:rPr>
          <w:rFonts w:hint="eastAsia" w:hAnsi="仿宋" w:cs="仿宋"/>
          <w:spacing w:val="6"/>
          <w:szCs w:val="30"/>
          <w:lang w:val="zh-CN" w:bidi="zh-TW"/>
        </w:rPr>
        <w:t>（</w:t>
      </w:r>
      <w:r>
        <w:rPr>
          <w:rFonts w:hint="eastAsia" w:hAnsi="仿宋" w:cs="仿宋"/>
          <w:spacing w:val="6"/>
          <w:szCs w:val="30"/>
          <w:lang w:bidi="zh-TW"/>
        </w:rPr>
        <w:t>3</w:t>
      </w:r>
      <w:r>
        <w:rPr>
          <w:rFonts w:hint="eastAsia" w:hAnsi="仿宋" w:cs="仿宋"/>
          <w:spacing w:val="6"/>
          <w:szCs w:val="30"/>
          <w:lang w:val="zh-CN" w:bidi="zh-TW"/>
        </w:rPr>
        <w:t>）扎实开展宣传教育培训，以“安全宣传月、安全生产万里行”“安康杯”安全生产宣传教育“五进”活动，突出习近平总书记关于安全生产的重要论述和指示精神及相关法律法规宣传教育；</w:t>
      </w:r>
    </w:p>
    <w:p>
      <w:pPr>
        <w:pStyle w:val="41"/>
        <w:overflowPunct w:val="0"/>
        <w:adjustRightInd w:val="0"/>
        <w:snapToGrid w:val="0"/>
        <w:spacing w:line="560" w:lineRule="exact"/>
        <w:ind w:firstLine="624"/>
        <w:rPr>
          <w:rFonts w:hAnsi="仿宋" w:cs="仿宋"/>
          <w:spacing w:val="6"/>
          <w:szCs w:val="30"/>
          <w:lang w:val="zh-CN" w:bidi="zh-TW"/>
        </w:rPr>
      </w:pPr>
      <w:r>
        <w:rPr>
          <w:rFonts w:hint="eastAsia" w:hAnsi="仿宋" w:cs="仿宋"/>
          <w:spacing w:val="6"/>
          <w:szCs w:val="30"/>
          <w:lang w:val="zh-CN" w:bidi="zh-TW"/>
        </w:rPr>
        <w:t>（</w:t>
      </w:r>
      <w:r>
        <w:rPr>
          <w:rFonts w:hint="eastAsia" w:hAnsi="仿宋" w:cs="仿宋"/>
          <w:spacing w:val="6"/>
          <w:szCs w:val="30"/>
          <w:lang w:bidi="zh-TW"/>
        </w:rPr>
        <w:t>4</w:t>
      </w:r>
      <w:r>
        <w:rPr>
          <w:rFonts w:hint="eastAsia" w:hAnsi="仿宋" w:cs="仿宋"/>
          <w:spacing w:val="6"/>
          <w:szCs w:val="30"/>
          <w:lang w:val="zh-CN" w:bidi="zh-TW"/>
        </w:rPr>
        <w:t>）加强安全生产工作能力的提升，采取走出去、请进来、跟班学习、交叉检查、相互交流等方式不断提升安全生产工作人员的工作能力和为企业排查隐患的水平；</w:t>
      </w:r>
    </w:p>
    <w:p>
      <w:pPr>
        <w:pStyle w:val="41"/>
        <w:overflowPunct w:val="0"/>
        <w:adjustRightInd w:val="0"/>
        <w:snapToGrid w:val="0"/>
        <w:spacing w:line="560" w:lineRule="exact"/>
        <w:ind w:firstLine="624"/>
        <w:rPr>
          <w:rFonts w:hAnsi="仿宋" w:cs="仿宋"/>
          <w:spacing w:val="6"/>
          <w:szCs w:val="30"/>
          <w:lang w:val="zh-CN" w:bidi="zh-TW"/>
        </w:rPr>
      </w:pPr>
      <w:r>
        <w:rPr>
          <w:rFonts w:hint="eastAsia" w:hAnsi="仿宋" w:cs="仿宋"/>
          <w:spacing w:val="6"/>
          <w:szCs w:val="30"/>
          <w:lang w:bidi="zh-TW"/>
        </w:rPr>
        <w:t>（5）</w:t>
      </w:r>
      <w:r>
        <w:rPr>
          <w:rFonts w:hint="eastAsia" w:hAnsi="仿宋" w:cs="仿宋"/>
          <w:spacing w:val="6"/>
          <w:szCs w:val="30"/>
          <w:lang w:val="zh-CN" w:bidi="zh-TW"/>
        </w:rPr>
        <w:t>加强应急处置能力建设，经常研究辖区内安全工作特点，及时修订、完善应急处置方案，经常组织辖区生产安全事故应急演练；</w:t>
      </w:r>
    </w:p>
    <w:p>
      <w:pPr>
        <w:pStyle w:val="41"/>
        <w:overflowPunct w:val="0"/>
        <w:adjustRightInd w:val="0"/>
        <w:snapToGrid w:val="0"/>
        <w:spacing w:line="560" w:lineRule="exact"/>
        <w:ind w:firstLine="624"/>
        <w:rPr>
          <w:rFonts w:hAnsi="仿宋" w:cs="仿宋"/>
          <w:spacing w:val="6"/>
          <w:szCs w:val="30"/>
          <w:lang w:bidi="zh-TW"/>
        </w:rPr>
      </w:pPr>
      <w:r>
        <w:rPr>
          <w:rFonts w:hint="eastAsia" w:hAnsi="仿宋" w:cs="仿宋"/>
          <w:spacing w:val="6"/>
          <w:szCs w:val="30"/>
          <w:lang w:bidi="zh-TW"/>
        </w:rPr>
        <w:t>3.消防安全工作</w:t>
      </w:r>
    </w:p>
    <w:p>
      <w:pPr>
        <w:pStyle w:val="41"/>
        <w:overflowPunct w:val="0"/>
        <w:adjustRightInd w:val="0"/>
        <w:snapToGrid w:val="0"/>
        <w:spacing w:line="560" w:lineRule="exact"/>
        <w:ind w:firstLine="624"/>
        <w:rPr>
          <w:rFonts w:hAnsi="仿宋" w:cs="仿宋"/>
          <w:spacing w:val="6"/>
          <w:szCs w:val="30"/>
          <w:lang w:val="zh-CN" w:bidi="zh-TW"/>
        </w:rPr>
      </w:pPr>
      <w:r>
        <w:rPr>
          <w:rFonts w:hint="eastAsia" w:hAnsi="仿宋" w:cs="仿宋"/>
          <w:spacing w:val="6"/>
          <w:szCs w:val="30"/>
          <w:lang w:val="zh-CN" w:bidi="zh-TW"/>
        </w:rPr>
        <w:t>（</w:t>
      </w:r>
      <w:r>
        <w:rPr>
          <w:rFonts w:hint="eastAsia" w:hAnsi="仿宋" w:cs="仿宋"/>
          <w:spacing w:val="6"/>
          <w:szCs w:val="30"/>
          <w:lang w:bidi="zh-TW"/>
        </w:rPr>
        <w:t>1</w:t>
      </w:r>
      <w:r>
        <w:rPr>
          <w:rFonts w:hint="eastAsia" w:hAnsi="仿宋" w:cs="仿宋"/>
          <w:spacing w:val="6"/>
          <w:szCs w:val="30"/>
          <w:lang w:val="zh-CN" w:bidi="zh-TW"/>
        </w:rPr>
        <w:t>）认真贯彻“预防为主、防消结合”的消防工作方针，按照政府统一领导、部门依法监管、单位全面负责、公民积极参与的原则，逐级签订消防安全责任书，全面落实消防安全责任制；</w:t>
      </w:r>
    </w:p>
    <w:p>
      <w:pPr>
        <w:pStyle w:val="41"/>
        <w:overflowPunct w:val="0"/>
        <w:adjustRightInd w:val="0"/>
        <w:snapToGrid w:val="0"/>
        <w:spacing w:line="560" w:lineRule="exact"/>
        <w:ind w:firstLine="624"/>
        <w:rPr>
          <w:rFonts w:hAnsi="仿宋" w:cs="仿宋"/>
          <w:spacing w:val="6"/>
          <w:szCs w:val="30"/>
          <w:lang w:val="zh-CN" w:bidi="zh-TW"/>
        </w:rPr>
      </w:pPr>
      <w:r>
        <w:rPr>
          <w:rFonts w:hint="eastAsia" w:hAnsi="仿宋" w:cs="仿宋"/>
          <w:spacing w:val="6"/>
          <w:szCs w:val="30"/>
          <w:lang w:val="zh-CN" w:bidi="zh-TW"/>
        </w:rPr>
        <w:t>（</w:t>
      </w:r>
      <w:r>
        <w:rPr>
          <w:rFonts w:hint="eastAsia" w:hAnsi="仿宋" w:cs="仿宋"/>
          <w:spacing w:val="6"/>
          <w:szCs w:val="30"/>
          <w:lang w:bidi="zh-TW"/>
        </w:rPr>
        <w:t>2</w:t>
      </w:r>
      <w:r>
        <w:rPr>
          <w:rFonts w:hint="eastAsia" w:hAnsi="仿宋" w:cs="仿宋"/>
          <w:spacing w:val="6"/>
          <w:szCs w:val="30"/>
          <w:lang w:val="zh-CN" w:bidi="zh-TW"/>
        </w:rPr>
        <w:t>）全面实施街道和社区消防安全“网格化”管理，将消防安全纳入社会治安综合管理平台；</w:t>
      </w:r>
    </w:p>
    <w:p>
      <w:pPr>
        <w:pStyle w:val="41"/>
        <w:overflowPunct w:val="0"/>
        <w:adjustRightInd w:val="0"/>
        <w:snapToGrid w:val="0"/>
        <w:spacing w:line="560" w:lineRule="exact"/>
        <w:ind w:firstLine="624"/>
        <w:rPr>
          <w:rFonts w:hAnsi="仿宋" w:cs="仿宋"/>
          <w:spacing w:val="6"/>
          <w:szCs w:val="30"/>
          <w:lang w:val="zh-CN" w:bidi="zh-TW"/>
        </w:rPr>
      </w:pPr>
      <w:r>
        <w:rPr>
          <w:rFonts w:hint="eastAsia" w:hAnsi="仿宋" w:cs="仿宋"/>
          <w:spacing w:val="6"/>
          <w:szCs w:val="30"/>
          <w:lang w:val="zh-CN" w:bidi="zh-TW"/>
        </w:rPr>
        <w:t>（</w:t>
      </w:r>
      <w:r>
        <w:rPr>
          <w:rFonts w:hint="eastAsia" w:hAnsi="仿宋" w:cs="仿宋"/>
          <w:spacing w:val="6"/>
          <w:szCs w:val="30"/>
          <w:lang w:bidi="zh-TW"/>
        </w:rPr>
        <w:t>3</w:t>
      </w:r>
      <w:r>
        <w:rPr>
          <w:rFonts w:hint="eastAsia" w:hAnsi="仿宋" w:cs="仿宋"/>
          <w:spacing w:val="6"/>
          <w:szCs w:val="30"/>
          <w:lang w:val="zh-CN" w:bidi="zh-TW"/>
        </w:rPr>
        <w:t>）做好经常性的消防法制和消防常识的宣传教育，要在社区的公共活动场所设置消防宣传栏，利用文化活动站、学习室等场所，对居民开展经常性的消防安全宣传教育；协调辖区有关单位将消防知识纳入教学、培训和宣传教育内容，不断增强公民的消防安全意识</w:t>
      </w:r>
      <w:r>
        <w:rPr>
          <w:rFonts w:hint="eastAsia" w:hAnsi="仿宋" w:cs="仿宋"/>
          <w:spacing w:val="6"/>
          <w:szCs w:val="30"/>
          <w:lang w:bidi="zh-TW"/>
        </w:rPr>
        <w:t>等</w:t>
      </w:r>
      <w:r>
        <w:rPr>
          <w:rFonts w:hint="eastAsia" w:hAnsi="仿宋" w:cs="仿宋"/>
          <w:spacing w:val="6"/>
          <w:szCs w:val="30"/>
          <w:lang w:val="zh-CN" w:bidi="zh-TW"/>
        </w:rPr>
        <w:t>。</w:t>
      </w:r>
    </w:p>
    <w:p>
      <w:pPr>
        <w:pStyle w:val="41"/>
        <w:overflowPunct w:val="0"/>
        <w:adjustRightInd w:val="0"/>
        <w:snapToGrid w:val="0"/>
        <w:spacing w:line="560" w:lineRule="exact"/>
        <w:ind w:firstLine="624"/>
        <w:rPr>
          <w:rFonts w:hAnsi="仿宋" w:cs="仿宋"/>
          <w:spacing w:val="6"/>
          <w:szCs w:val="30"/>
          <w:lang w:bidi="zh-TW"/>
        </w:rPr>
      </w:pPr>
      <w:r>
        <w:rPr>
          <w:rFonts w:hint="eastAsia" w:hAnsi="仿宋" w:cs="仿宋"/>
          <w:spacing w:val="6"/>
          <w:szCs w:val="30"/>
          <w:lang w:bidi="zh-TW"/>
        </w:rPr>
        <w:t>4.森林草原消防专业队伍建设</w:t>
      </w:r>
    </w:p>
    <w:p>
      <w:pPr>
        <w:spacing w:line="560" w:lineRule="exact"/>
        <w:ind w:firstLine="630"/>
        <w:rPr>
          <w:rFonts w:hAnsi="仿宋" w:cs="仿宋"/>
          <w:spacing w:val="6"/>
          <w:szCs w:val="30"/>
          <w:lang w:val="zh-CN" w:bidi="zh-TW"/>
        </w:rPr>
      </w:pPr>
      <w:r>
        <w:rPr>
          <w:rFonts w:hint="eastAsia" w:hAnsi="仿宋" w:cs="仿宋"/>
          <w:spacing w:val="6"/>
          <w:szCs w:val="30"/>
          <w:lang w:val="zh-CN" w:bidi="zh-TW"/>
        </w:rPr>
        <w:t>（</w:t>
      </w:r>
      <w:r>
        <w:rPr>
          <w:rFonts w:hint="eastAsia" w:hAnsi="仿宋" w:cs="仿宋"/>
          <w:spacing w:val="6"/>
          <w:szCs w:val="30"/>
          <w:lang w:bidi="zh-TW"/>
        </w:rPr>
        <w:t>1</w:t>
      </w:r>
      <w:r>
        <w:rPr>
          <w:rFonts w:hint="eastAsia" w:hAnsi="仿宋" w:cs="仿宋"/>
          <w:spacing w:val="6"/>
          <w:szCs w:val="30"/>
          <w:lang w:val="zh-CN" w:bidi="zh-TW"/>
        </w:rPr>
        <w:t>）组建一支50人编制的森林草原消防专业队伍，同时加强和规范森林草原消防专业队伍的管理，全面提升队伍建设水平、队伍综合素质、队伍处置森林火情能力以及队伍综合应急反应素质，有效保护森林资源安全和人民生命财产安全。</w:t>
      </w:r>
    </w:p>
    <w:p>
      <w:pPr>
        <w:spacing w:line="560" w:lineRule="exact"/>
        <w:ind w:firstLine="630"/>
        <w:rPr>
          <w:rFonts w:hAnsi="仿宋" w:cs="仿宋"/>
          <w:spacing w:val="6"/>
          <w:szCs w:val="30"/>
          <w:lang w:val="zh-CN" w:bidi="zh-TW"/>
        </w:rPr>
      </w:pPr>
      <w:r>
        <w:rPr>
          <w:rFonts w:hint="eastAsia" w:hAnsi="仿宋" w:cs="仿宋"/>
          <w:spacing w:val="6"/>
          <w:szCs w:val="30"/>
          <w:lang w:val="zh-CN" w:bidi="zh-TW"/>
        </w:rPr>
        <w:t>（</w:t>
      </w:r>
      <w:r>
        <w:rPr>
          <w:rFonts w:hint="eastAsia" w:hAnsi="仿宋" w:cs="仿宋"/>
          <w:spacing w:val="6"/>
          <w:szCs w:val="30"/>
          <w:lang w:bidi="zh-TW"/>
        </w:rPr>
        <w:t>2</w:t>
      </w:r>
      <w:r>
        <w:rPr>
          <w:rFonts w:hint="eastAsia" w:hAnsi="仿宋" w:cs="仿宋"/>
          <w:spacing w:val="6"/>
          <w:szCs w:val="30"/>
          <w:lang w:val="zh-CN" w:bidi="zh-TW"/>
        </w:rPr>
        <w:t>）按照“快速反应、牛刀战术、打早打小打了”的方针，负责辖区森林草原火情处置。在森林草原防火期内，负责辖区内森林草原防火巡查防范工作。对辖区内各社区、小组，公共户单位及行业主管对象的森林草原防灭火技能进行培训。对森林防灭火物资装备实行统一管理。</w:t>
      </w:r>
    </w:p>
    <w:p>
      <w:pPr>
        <w:spacing w:line="560" w:lineRule="exact"/>
        <w:ind w:firstLine="630"/>
        <w:rPr>
          <w:rFonts w:hAnsi="仿宋" w:cs="仿宋"/>
          <w:spacing w:val="6"/>
          <w:szCs w:val="30"/>
          <w:lang w:val="zh-CN" w:bidi="zh-TW"/>
        </w:rPr>
      </w:pPr>
      <w:r>
        <w:rPr>
          <w:rFonts w:hint="eastAsia" w:hAnsi="仿宋" w:cs="仿宋"/>
          <w:spacing w:val="6"/>
          <w:szCs w:val="30"/>
          <w:lang w:val="zh-CN" w:bidi="zh-TW"/>
        </w:rPr>
        <w:t>（</w:t>
      </w:r>
      <w:r>
        <w:rPr>
          <w:rFonts w:hint="eastAsia" w:hAnsi="仿宋" w:cs="仿宋"/>
          <w:spacing w:val="6"/>
          <w:szCs w:val="30"/>
          <w:lang w:bidi="zh-TW"/>
        </w:rPr>
        <w:t>3</w:t>
      </w:r>
      <w:r>
        <w:rPr>
          <w:rFonts w:hint="eastAsia" w:hAnsi="仿宋" w:cs="仿宋"/>
          <w:spacing w:val="6"/>
          <w:szCs w:val="30"/>
          <w:lang w:val="zh-CN" w:bidi="zh-TW"/>
        </w:rPr>
        <w:t>）防火期结束后，认真落实各指挥部综合救援的要求，积极做好综合应急的相关准备工作。</w:t>
      </w:r>
    </w:p>
    <w:p>
      <w:pPr>
        <w:pStyle w:val="4"/>
        <w:spacing w:before="0" w:after="0" w:line="590" w:lineRule="exact"/>
        <w:ind w:firstLine="624" w:firstLineChars="200"/>
        <w:rPr>
          <w:rFonts w:ascii="楷体" w:hAnsi="楷体" w:eastAsia="楷体"/>
          <w:bCs w:val="0"/>
          <w:spacing w:val="6"/>
          <w:kern w:val="30"/>
          <w:sz w:val="30"/>
          <w:szCs w:val="30"/>
        </w:rPr>
      </w:pPr>
      <w:bookmarkStart w:id="17" w:name="_Toc18826"/>
      <w:bookmarkStart w:id="18" w:name="_Toc536428359"/>
      <w:bookmarkStart w:id="19" w:name="_Toc15367"/>
      <w:bookmarkStart w:id="20" w:name="_Toc31619"/>
      <w:r>
        <w:rPr>
          <w:rFonts w:hint="eastAsia" w:ascii="楷体" w:hAnsi="楷体" w:eastAsia="楷体"/>
          <w:bCs w:val="0"/>
          <w:spacing w:val="6"/>
          <w:kern w:val="30"/>
          <w:sz w:val="30"/>
          <w:szCs w:val="30"/>
        </w:rPr>
        <w:t>（四）项目绩效目标</w:t>
      </w:r>
      <w:bookmarkEnd w:id="17"/>
      <w:bookmarkEnd w:id="18"/>
      <w:bookmarkEnd w:id="19"/>
      <w:bookmarkEnd w:id="20"/>
    </w:p>
    <w:p>
      <w:pPr>
        <w:tabs>
          <w:tab w:val="left" w:pos="5280"/>
        </w:tabs>
        <w:spacing w:line="590" w:lineRule="exact"/>
        <w:ind w:firstLine="624" w:firstLineChars="200"/>
        <w:rPr>
          <w:rFonts w:hAnsi="仿宋" w:cs="仿宋"/>
          <w:spacing w:val="6"/>
          <w:szCs w:val="30"/>
          <w:lang w:val="zh-TW" w:bidi="zh-TW"/>
        </w:rPr>
      </w:pPr>
      <w:r>
        <w:rPr>
          <w:rFonts w:hint="eastAsia" w:hAnsi="仿宋" w:cs="仿宋"/>
          <w:spacing w:val="6"/>
          <w:szCs w:val="30"/>
          <w:lang w:val="zh-TW" w:bidi="zh-TW"/>
        </w:rPr>
        <w:t>202</w:t>
      </w:r>
      <w:r>
        <w:rPr>
          <w:rFonts w:hint="eastAsia" w:hAnsi="仿宋" w:cs="仿宋"/>
          <w:spacing w:val="6"/>
          <w:szCs w:val="30"/>
          <w:lang w:bidi="zh-TW"/>
        </w:rPr>
        <w:t>3</w:t>
      </w:r>
      <w:r>
        <w:rPr>
          <w:rFonts w:hint="eastAsia" w:hAnsi="仿宋" w:cs="仿宋"/>
          <w:spacing w:val="6"/>
          <w:szCs w:val="30"/>
          <w:lang w:val="zh-TW" w:bidi="zh-TW"/>
        </w:rPr>
        <w:t>年预算申报的年度目标</w:t>
      </w:r>
    </w:p>
    <w:p>
      <w:pPr>
        <w:tabs>
          <w:tab w:val="left" w:pos="5280"/>
        </w:tabs>
        <w:spacing w:line="590" w:lineRule="exact"/>
        <w:ind w:firstLine="624" w:firstLineChars="200"/>
        <w:rPr>
          <w:rFonts w:hAnsi="仿宋" w:cs="仿宋"/>
          <w:spacing w:val="6"/>
          <w:szCs w:val="30"/>
          <w:lang w:val="zh-TW" w:bidi="zh-TW"/>
        </w:rPr>
      </w:pPr>
      <w:r>
        <w:rPr>
          <w:rFonts w:hint="eastAsia" w:hAnsi="仿宋" w:cs="仿宋"/>
          <w:spacing w:val="6"/>
          <w:szCs w:val="30"/>
          <w:lang w:val="zh-TW" w:bidi="zh-TW"/>
        </w:rPr>
        <w:t>根据项目预算申报书，预算申报时的绩效目标为：</w:t>
      </w:r>
    </w:p>
    <w:p>
      <w:pPr>
        <w:tabs>
          <w:tab w:val="left" w:pos="5280"/>
        </w:tabs>
        <w:spacing w:line="590" w:lineRule="exact"/>
        <w:ind w:firstLine="624" w:firstLineChars="200"/>
        <w:rPr>
          <w:rFonts w:hAnsi="仿宋" w:cs="仿宋"/>
          <w:spacing w:val="6"/>
          <w:szCs w:val="30"/>
          <w:lang w:val="zh-TW" w:bidi="zh-TW"/>
        </w:rPr>
      </w:pPr>
      <w:r>
        <w:rPr>
          <w:rFonts w:hint="eastAsia" w:hAnsi="仿宋" w:cs="仿宋"/>
          <w:spacing w:val="6"/>
          <w:szCs w:val="30"/>
          <w:lang w:bidi="zh-TW"/>
        </w:rPr>
        <w:t>1.</w:t>
      </w:r>
      <w:r>
        <w:rPr>
          <w:rFonts w:hint="eastAsia" w:hAnsi="仿宋" w:cs="仿宋"/>
          <w:spacing w:val="6"/>
          <w:szCs w:val="30"/>
          <w:lang w:val="zh-TW" w:bidi="zh-TW"/>
        </w:rPr>
        <w:t>森林防火：按照区森林防火指挥部的安排部署，认真做好今冬明春森林防火工作，切实加强对森林防火工作的领导，开展“人员、机具、训练、资金、场地”五落实工作；开展广泛宣传，增强全民防火意识。</w:t>
      </w:r>
    </w:p>
    <w:p>
      <w:pPr>
        <w:tabs>
          <w:tab w:val="left" w:pos="5280"/>
        </w:tabs>
        <w:spacing w:line="590" w:lineRule="exact"/>
        <w:ind w:firstLine="624" w:firstLineChars="200"/>
        <w:rPr>
          <w:rFonts w:hAnsi="仿宋" w:cs="仿宋"/>
          <w:spacing w:val="6"/>
          <w:szCs w:val="30"/>
          <w:lang w:val="zh-TW" w:bidi="zh-TW"/>
        </w:rPr>
      </w:pPr>
      <w:r>
        <w:rPr>
          <w:rFonts w:hint="eastAsia" w:hAnsi="仿宋" w:cs="仿宋"/>
          <w:spacing w:val="6"/>
          <w:szCs w:val="30"/>
          <w:lang w:bidi="zh-TW"/>
        </w:rPr>
        <w:t>2.</w:t>
      </w:r>
      <w:r>
        <w:rPr>
          <w:rFonts w:hint="eastAsia" w:hAnsi="仿宋" w:cs="仿宋"/>
          <w:spacing w:val="6"/>
          <w:szCs w:val="30"/>
          <w:lang w:val="zh-TW" w:bidi="zh-TW"/>
        </w:rPr>
        <w:t>安全生产工作：安全生产应急监管体制机制基本成熟，安全生产责任制进一步健全和落实，形成全面覆盖、权责清晰的安全生产应急监管体系及保障体系。制度基本完善，监管执法效能明显增强，安全生产法治水平进一步提高。安全预防控制体系建立健全，各类安全风险得到基本管控，事故隐患得到有效治理。安全基础保障能力全面提升，支撑体系进一步健全。</w:t>
      </w:r>
    </w:p>
    <w:p>
      <w:pPr>
        <w:tabs>
          <w:tab w:val="left" w:pos="5280"/>
        </w:tabs>
        <w:spacing w:line="590" w:lineRule="exact"/>
        <w:ind w:firstLine="624" w:firstLineChars="200"/>
        <w:rPr>
          <w:rFonts w:hAnsi="仿宋" w:cs="仿宋"/>
          <w:spacing w:val="6"/>
          <w:szCs w:val="30"/>
          <w:lang w:val="zh-TW" w:bidi="zh-TW"/>
        </w:rPr>
      </w:pPr>
      <w:r>
        <w:rPr>
          <w:rFonts w:hint="eastAsia" w:hAnsi="仿宋" w:cs="仿宋"/>
          <w:spacing w:val="6"/>
          <w:szCs w:val="30"/>
          <w:lang w:bidi="zh-TW"/>
        </w:rPr>
        <w:t>3.</w:t>
      </w:r>
      <w:r>
        <w:rPr>
          <w:rFonts w:hint="eastAsia" w:hAnsi="仿宋" w:cs="仿宋"/>
          <w:spacing w:val="6"/>
          <w:szCs w:val="30"/>
          <w:lang w:val="zh-TW" w:bidi="zh-TW"/>
        </w:rPr>
        <w:t>消防安全工作</w:t>
      </w:r>
    </w:p>
    <w:p>
      <w:pPr>
        <w:tabs>
          <w:tab w:val="left" w:pos="5280"/>
        </w:tabs>
        <w:spacing w:line="590" w:lineRule="exact"/>
        <w:ind w:firstLine="624" w:firstLineChars="200"/>
        <w:rPr>
          <w:rFonts w:hAnsi="仿宋" w:cs="仿宋"/>
          <w:spacing w:val="6"/>
          <w:szCs w:val="30"/>
          <w:lang w:val="zh-TW" w:bidi="zh-TW"/>
        </w:rPr>
      </w:pPr>
      <w:r>
        <w:rPr>
          <w:rFonts w:hint="eastAsia" w:hAnsi="仿宋" w:cs="仿宋"/>
          <w:spacing w:val="6"/>
          <w:szCs w:val="30"/>
          <w:lang w:val="zh-TW" w:bidi="zh-TW"/>
        </w:rPr>
        <w:t>全面落实消防安全责任制，以习近平新时代中国特色社会主义思想为统领，全力预防和遏制重特大火灾事故，确保火灾形势持续稳定为目标。</w:t>
      </w:r>
    </w:p>
    <w:p>
      <w:pPr>
        <w:pStyle w:val="4"/>
        <w:spacing w:before="0" w:after="0" w:line="590" w:lineRule="exact"/>
        <w:ind w:firstLine="624" w:firstLineChars="200"/>
        <w:rPr>
          <w:rFonts w:ascii="楷体" w:hAnsi="楷体" w:eastAsia="楷体"/>
          <w:bCs w:val="0"/>
          <w:spacing w:val="6"/>
          <w:kern w:val="30"/>
          <w:sz w:val="30"/>
          <w:szCs w:val="30"/>
        </w:rPr>
      </w:pPr>
      <w:bookmarkStart w:id="21" w:name="_Toc31632"/>
      <w:bookmarkStart w:id="22" w:name="_Toc26682"/>
      <w:bookmarkStart w:id="23" w:name="_Toc15457"/>
      <w:r>
        <w:rPr>
          <w:rFonts w:hint="eastAsia" w:ascii="楷体" w:hAnsi="楷体" w:eastAsia="楷体"/>
          <w:bCs w:val="0"/>
          <w:spacing w:val="6"/>
          <w:kern w:val="30"/>
          <w:sz w:val="30"/>
          <w:szCs w:val="30"/>
        </w:rPr>
        <w:fldChar w:fldCharType="begin"/>
      </w:r>
      <w:r>
        <w:rPr>
          <w:rFonts w:hint="eastAsia" w:ascii="楷体" w:hAnsi="楷体" w:eastAsia="楷体"/>
          <w:bCs w:val="0"/>
          <w:spacing w:val="6"/>
          <w:kern w:val="30"/>
          <w:sz w:val="30"/>
          <w:szCs w:val="30"/>
        </w:rPr>
        <w:instrText xml:space="preserve"> HYPERLINK \l "_Toc434746189" </w:instrText>
      </w:r>
      <w:r>
        <w:rPr>
          <w:rFonts w:hint="eastAsia" w:ascii="楷体" w:hAnsi="楷体" w:eastAsia="楷体"/>
          <w:bCs w:val="0"/>
          <w:spacing w:val="6"/>
          <w:kern w:val="30"/>
          <w:sz w:val="30"/>
          <w:szCs w:val="30"/>
        </w:rPr>
        <w:fldChar w:fldCharType="separate"/>
      </w:r>
      <w:bookmarkStart w:id="24" w:name="_Toc536428360"/>
      <w:r>
        <w:rPr>
          <w:rFonts w:hint="eastAsia" w:ascii="楷体" w:hAnsi="楷体" w:eastAsia="楷体"/>
          <w:bCs w:val="0"/>
          <w:spacing w:val="6"/>
          <w:kern w:val="30"/>
          <w:sz w:val="30"/>
          <w:szCs w:val="30"/>
        </w:rPr>
        <w:t>（五）</w:t>
      </w:r>
      <w:r>
        <w:rPr>
          <w:rFonts w:hint="eastAsia" w:ascii="楷体" w:hAnsi="楷体" w:eastAsia="楷体"/>
          <w:bCs w:val="0"/>
          <w:spacing w:val="6"/>
          <w:kern w:val="30"/>
          <w:sz w:val="30"/>
          <w:szCs w:val="30"/>
        </w:rPr>
        <w:fldChar w:fldCharType="end"/>
      </w:r>
      <w:r>
        <w:rPr>
          <w:rFonts w:hint="eastAsia" w:ascii="楷体" w:hAnsi="楷体" w:eastAsia="楷体"/>
          <w:bCs w:val="0"/>
          <w:spacing w:val="6"/>
          <w:kern w:val="30"/>
          <w:sz w:val="30"/>
          <w:szCs w:val="30"/>
        </w:rPr>
        <w:t>组织管理情况</w:t>
      </w:r>
      <w:bookmarkEnd w:id="21"/>
      <w:bookmarkEnd w:id="22"/>
      <w:bookmarkEnd w:id="23"/>
      <w:bookmarkEnd w:id="24"/>
    </w:p>
    <w:p>
      <w:pPr>
        <w:spacing w:line="590" w:lineRule="exact"/>
        <w:ind w:firstLine="624" w:firstLineChars="200"/>
        <w:rPr>
          <w:rFonts w:hAnsi="仿宋" w:cs="仿宋"/>
          <w:spacing w:val="6"/>
          <w:kern w:val="2"/>
          <w:szCs w:val="30"/>
        </w:rPr>
      </w:pPr>
      <w:bookmarkStart w:id="25" w:name="_Toc536428361"/>
      <w:r>
        <w:rPr>
          <w:rFonts w:hint="eastAsia" w:hAnsi="仿宋" w:cs="仿宋"/>
          <w:spacing w:val="6"/>
          <w:kern w:val="2"/>
          <w:szCs w:val="30"/>
          <w:lang w:val="zh-CN"/>
        </w:rPr>
        <w:t>项目实施部门：</w:t>
      </w:r>
      <w:r>
        <w:rPr>
          <w:rFonts w:hint="eastAsia" w:hAnsi="仿宋" w:cs="仿宋"/>
          <w:spacing w:val="6"/>
          <w:kern w:val="2"/>
          <w:szCs w:val="30"/>
        </w:rPr>
        <w:t>西翥街道办事处应急处置中心</w:t>
      </w:r>
    </w:p>
    <w:p>
      <w:pPr>
        <w:spacing w:line="590" w:lineRule="exact"/>
        <w:ind w:firstLine="624" w:firstLineChars="200"/>
        <w:rPr>
          <w:rFonts w:hAnsi="仿宋" w:cs="仿宋"/>
          <w:spacing w:val="6"/>
          <w:kern w:val="2"/>
          <w:szCs w:val="30"/>
          <w:lang w:val="zh-CN"/>
        </w:rPr>
      </w:pPr>
      <w:r>
        <w:rPr>
          <w:rFonts w:hint="eastAsia" w:hAnsi="仿宋" w:cs="仿宋"/>
          <w:spacing w:val="6"/>
          <w:kern w:val="2"/>
          <w:szCs w:val="30"/>
        </w:rPr>
        <w:t>1.</w:t>
      </w:r>
      <w:r>
        <w:rPr>
          <w:rFonts w:hint="eastAsia" w:hAnsi="仿宋" w:cs="仿宋"/>
          <w:spacing w:val="6"/>
          <w:kern w:val="2"/>
          <w:szCs w:val="30"/>
          <w:lang w:val="zh-CN"/>
        </w:rPr>
        <w:t>职责</w:t>
      </w:r>
      <w:r>
        <w:rPr>
          <w:rFonts w:hint="eastAsia" w:hAnsi="仿宋" w:cs="仿宋"/>
          <w:spacing w:val="6"/>
          <w:kern w:val="2"/>
          <w:szCs w:val="30"/>
        </w:rPr>
        <w:t>分工</w:t>
      </w:r>
      <w:r>
        <w:rPr>
          <w:rFonts w:hint="eastAsia" w:hAnsi="仿宋" w:cs="仿宋"/>
          <w:spacing w:val="6"/>
          <w:kern w:val="2"/>
          <w:szCs w:val="30"/>
          <w:lang w:val="zh-CN"/>
        </w:rPr>
        <w:t>：应急处置中心主要职责是开展应急管理工作，综合协调和处置辖区防汛抗洪、森林防火、地质灾害、地震灾害等的应急管理和救援相关工作；统筹辖区安全生产，落实安全生产、消防安全责任制，按照权限承担安全生产、消防安全的宣传教育、巡查检查、事故处理等工作；应急处置中心按照工作职责，紧紧围绕“安全生产三年攻坚行动”，坚持“安全第一，预防为主、综合治理”的工作方针；以减少安全事故为目标；强“应”提“处”,“应”“处”结合，加强机构队伍应急</w:t>
      </w:r>
      <w:r>
        <w:rPr>
          <w:rFonts w:hint="eastAsia" w:hAnsi="仿宋" w:cs="仿宋"/>
          <w:spacing w:val="6"/>
          <w:kern w:val="2"/>
          <w:szCs w:val="30"/>
        </w:rPr>
        <w:t>突处</w:t>
      </w:r>
      <w:r>
        <w:rPr>
          <w:rFonts w:hint="eastAsia" w:hAnsi="仿宋" w:cs="仿宋"/>
          <w:spacing w:val="6"/>
          <w:kern w:val="2"/>
          <w:szCs w:val="30"/>
          <w:lang w:val="zh-CN"/>
        </w:rPr>
        <w:t>能力建设，突出日常监管，完善责任体系，夯实工作基础，强化专项整治，为西翥经济和社会发展提供良好环境。</w:t>
      </w:r>
    </w:p>
    <w:p>
      <w:pPr>
        <w:spacing w:line="590" w:lineRule="exact"/>
        <w:ind w:firstLine="624" w:firstLineChars="200"/>
        <w:rPr>
          <w:rFonts w:hAnsi="仿宋" w:cs="仿宋"/>
          <w:spacing w:val="6"/>
          <w:szCs w:val="30"/>
        </w:rPr>
      </w:pPr>
      <w:r>
        <w:rPr>
          <w:rFonts w:hint="eastAsia" w:hAnsi="仿宋" w:cs="仿宋"/>
          <w:spacing w:val="6"/>
          <w:szCs w:val="30"/>
        </w:rPr>
        <w:t>2.财务制度建设及组织管理</w:t>
      </w:r>
    </w:p>
    <w:p>
      <w:pPr>
        <w:spacing w:line="590" w:lineRule="exact"/>
        <w:ind w:firstLine="624" w:firstLineChars="200"/>
        <w:rPr>
          <w:rFonts w:hAnsi="仿宋" w:cs="仿宋"/>
          <w:spacing w:val="6"/>
          <w:kern w:val="2"/>
          <w:szCs w:val="30"/>
          <w:lang w:val="zh-CN"/>
        </w:rPr>
      </w:pPr>
      <w:r>
        <w:rPr>
          <w:rFonts w:hint="eastAsia" w:hAnsi="仿宋" w:cs="仿宋"/>
          <w:spacing w:val="6"/>
          <w:szCs w:val="30"/>
        </w:rPr>
        <w:t>西翥街道办事处应急处置中心</w:t>
      </w:r>
      <w:r>
        <w:rPr>
          <w:rFonts w:hint="eastAsia" w:hAnsi="仿宋" w:cs="仿宋"/>
          <w:spacing w:val="6"/>
          <w:kern w:val="2"/>
          <w:szCs w:val="30"/>
        </w:rPr>
        <w:t>在</w:t>
      </w:r>
      <w:r>
        <w:rPr>
          <w:rFonts w:hint="eastAsia" w:hAnsi="仿宋" w:cs="仿宋"/>
          <w:spacing w:val="6"/>
          <w:kern w:val="2"/>
          <w:szCs w:val="30"/>
          <w:lang w:val="zh-CN"/>
        </w:rPr>
        <w:t>项目实施过程中，</w:t>
      </w:r>
      <w:r>
        <w:rPr>
          <w:rFonts w:hint="eastAsia" w:hAnsi="仿宋" w:cs="仿宋"/>
          <w:spacing w:val="6"/>
          <w:szCs w:val="30"/>
          <w:lang w:val="zh-CN"/>
        </w:rPr>
        <w:t>按照</w:t>
      </w:r>
      <w:r>
        <w:rPr>
          <w:rFonts w:hint="eastAsia" w:hAnsi="仿宋" w:cs="仿宋"/>
          <w:spacing w:val="6"/>
          <w:szCs w:val="30"/>
        </w:rPr>
        <w:t>《财务管理制度》《西翥街道“三重一大”决策制度》《采购管理办法》等制度规定，制定了《西翥街道办事处财务管理制度》《财务报账流程费用报销细则》《西翥街道办事处财政专项资金管理暂行办法》《西翥街道国有资产管理制度》等管理办法，明确了财政预算管理、财政资金使用管理、收支管理、绩效管理、报销审批流程等方面的管理内容，按厉行节约、注重实效的原则，强化对财政资金的使用管理、监督管理，以保障项目资金的安全、有效、合规使用。</w:t>
      </w:r>
    </w:p>
    <w:p>
      <w:pPr>
        <w:spacing w:line="590" w:lineRule="exact"/>
        <w:ind w:firstLine="624" w:firstLineChars="200"/>
        <w:outlineLvl w:val="0"/>
        <w:rPr>
          <w:rStyle w:val="26"/>
          <w:rFonts w:ascii="黑体" w:hAnsi="黑体" w:eastAsia="黑体" w:cs="黑体"/>
          <w:b w:val="0"/>
          <w:bCs w:val="0"/>
          <w:sz w:val="30"/>
          <w:szCs w:val="30"/>
        </w:rPr>
      </w:pPr>
      <w:bookmarkStart w:id="26" w:name="_Toc28949"/>
      <w:bookmarkStart w:id="27" w:name="_Toc1124"/>
      <w:bookmarkStart w:id="28" w:name="_Toc26687"/>
      <w:r>
        <w:rPr>
          <w:rStyle w:val="26"/>
          <w:rFonts w:hint="eastAsia" w:ascii="黑体" w:hAnsi="黑体" w:eastAsia="黑体" w:cs="黑体"/>
          <w:b w:val="0"/>
          <w:bCs w:val="0"/>
          <w:spacing w:val="6"/>
          <w:sz w:val="30"/>
          <w:szCs w:val="30"/>
        </w:rPr>
        <w:t>二、</w:t>
      </w:r>
      <w:bookmarkEnd w:id="26"/>
      <w:bookmarkEnd w:id="27"/>
      <w:bookmarkStart w:id="29" w:name="_Toc6642"/>
      <w:bookmarkStart w:id="30" w:name="_Toc2815"/>
      <w:r>
        <w:rPr>
          <w:rStyle w:val="26"/>
          <w:rFonts w:hint="eastAsia" w:ascii="黑体" w:hAnsi="黑体" w:eastAsia="黑体" w:cs="黑体"/>
          <w:b w:val="0"/>
          <w:bCs w:val="0"/>
          <w:sz w:val="30"/>
          <w:szCs w:val="30"/>
        </w:rPr>
        <w:t>绩效评价工作开展情况</w:t>
      </w:r>
      <w:bookmarkEnd w:id="25"/>
      <w:bookmarkEnd w:id="28"/>
      <w:bookmarkEnd w:id="29"/>
      <w:bookmarkEnd w:id="30"/>
    </w:p>
    <w:p>
      <w:pPr>
        <w:spacing w:line="590" w:lineRule="exact"/>
        <w:ind w:firstLine="624" w:firstLineChars="200"/>
        <w:outlineLvl w:val="1"/>
        <w:rPr>
          <w:rFonts w:ascii="楷体" w:hAnsi="楷体" w:eastAsia="楷体"/>
          <w:bCs/>
          <w:spacing w:val="6"/>
          <w:szCs w:val="30"/>
        </w:rPr>
      </w:pPr>
      <w:bookmarkStart w:id="31" w:name="_Toc17071"/>
      <w:bookmarkStart w:id="32" w:name="_Toc536428362"/>
      <w:bookmarkStart w:id="33" w:name="_Toc17223"/>
      <w:bookmarkStart w:id="34" w:name="_Toc30499"/>
      <w:r>
        <w:rPr>
          <w:rFonts w:hint="eastAsia" w:ascii="楷体" w:hAnsi="楷体" w:eastAsia="楷体"/>
          <w:bCs/>
          <w:spacing w:val="6"/>
          <w:szCs w:val="30"/>
        </w:rPr>
        <w:t>（一）</w:t>
      </w:r>
      <w:bookmarkEnd w:id="31"/>
      <w:bookmarkEnd w:id="32"/>
      <w:bookmarkEnd w:id="33"/>
      <w:r>
        <w:rPr>
          <w:rFonts w:hint="eastAsia" w:ascii="楷体" w:hAnsi="楷体" w:eastAsia="楷体"/>
          <w:bCs/>
          <w:spacing w:val="6"/>
          <w:szCs w:val="30"/>
        </w:rPr>
        <w:t>绩效评价目的、对象和范围</w:t>
      </w:r>
      <w:bookmarkEnd w:id="34"/>
    </w:p>
    <w:p>
      <w:pPr>
        <w:spacing w:line="590" w:lineRule="exact"/>
        <w:ind w:firstLine="624" w:firstLineChars="200"/>
        <w:rPr>
          <w:rFonts w:hAnsi="仿宋" w:cs="仿宋"/>
          <w:spacing w:val="6"/>
          <w:szCs w:val="30"/>
        </w:rPr>
      </w:pPr>
      <w:bookmarkStart w:id="35" w:name="_Toc536428363"/>
      <w:r>
        <w:rPr>
          <w:rFonts w:hint="eastAsia" w:hAnsi="仿宋" w:cs="仿宋"/>
          <w:spacing w:val="6"/>
          <w:szCs w:val="30"/>
        </w:rPr>
        <w:t>1.评价目的</w:t>
      </w:r>
    </w:p>
    <w:p>
      <w:pPr>
        <w:spacing w:line="590" w:lineRule="exact"/>
        <w:ind w:firstLine="624" w:firstLineChars="200"/>
        <w:rPr>
          <w:rFonts w:hAnsi="仿宋" w:cs="仿宋"/>
          <w:spacing w:val="6"/>
          <w:szCs w:val="30"/>
        </w:rPr>
      </w:pPr>
      <w:r>
        <w:rPr>
          <w:rFonts w:hint="eastAsia" w:hAnsi="仿宋" w:cs="仿宋"/>
          <w:spacing w:val="6"/>
          <w:szCs w:val="30"/>
        </w:rPr>
        <w:t>通过绩效评价，增强项目管理部门的责任意识、增强项目执行和管理能力、全面规范财政资金绩效管理，总结以往经验，查找不足，为项目在以后年度的开展提供可行性参考依据。在此基础上，重点分析项目预算编制的合理性、成本支出的真实性和控制有效性，评价财政资金的产出成果、使用效率和效果，为以后年度编制项目预算、选择项目实施主体等提供参考依据。</w:t>
      </w:r>
    </w:p>
    <w:p>
      <w:pPr>
        <w:spacing w:line="590" w:lineRule="exact"/>
        <w:ind w:firstLine="624" w:firstLineChars="200"/>
        <w:rPr>
          <w:rFonts w:hAnsi="仿宋" w:cs="仿宋"/>
          <w:spacing w:val="6"/>
          <w:szCs w:val="30"/>
        </w:rPr>
      </w:pPr>
      <w:r>
        <w:rPr>
          <w:rFonts w:hint="eastAsia" w:hAnsi="仿宋" w:cs="仿宋"/>
          <w:spacing w:val="6"/>
          <w:szCs w:val="30"/>
        </w:rPr>
        <w:t>2.评价对象</w:t>
      </w:r>
    </w:p>
    <w:p>
      <w:pPr>
        <w:spacing w:line="590" w:lineRule="exact"/>
        <w:ind w:firstLine="624" w:firstLineChars="200"/>
        <w:rPr>
          <w:rFonts w:hAnsi="仿宋" w:cs="仿宋"/>
          <w:spacing w:val="6"/>
          <w:szCs w:val="30"/>
        </w:rPr>
      </w:pPr>
      <w:r>
        <w:rPr>
          <w:rFonts w:hint="eastAsia" w:hAnsi="仿宋" w:cs="仿宋"/>
          <w:spacing w:val="6"/>
          <w:szCs w:val="30"/>
        </w:rPr>
        <w:t>（1）项目名称：应急处置中心工作经费</w:t>
      </w:r>
    </w:p>
    <w:p>
      <w:pPr>
        <w:spacing w:line="590" w:lineRule="exact"/>
        <w:ind w:firstLine="624" w:firstLineChars="200"/>
        <w:rPr>
          <w:rFonts w:hAnsi="仿宋" w:cs="仿宋"/>
          <w:spacing w:val="6"/>
          <w:szCs w:val="30"/>
        </w:rPr>
      </w:pPr>
      <w:r>
        <w:rPr>
          <w:rFonts w:hint="eastAsia" w:hAnsi="仿宋" w:cs="仿宋"/>
          <w:spacing w:val="6"/>
          <w:szCs w:val="30"/>
        </w:rPr>
        <w:t>（2）项目主管部门：五华区西翥街道办事处</w:t>
      </w:r>
    </w:p>
    <w:p>
      <w:pPr>
        <w:spacing w:line="590" w:lineRule="exact"/>
        <w:ind w:firstLine="624" w:firstLineChars="200"/>
        <w:rPr>
          <w:rFonts w:hAnsi="仿宋" w:cs="仿宋"/>
          <w:spacing w:val="6"/>
          <w:szCs w:val="30"/>
        </w:rPr>
      </w:pPr>
      <w:r>
        <w:rPr>
          <w:rFonts w:hint="eastAsia" w:hAnsi="仿宋" w:cs="仿宋"/>
          <w:spacing w:val="6"/>
          <w:szCs w:val="30"/>
        </w:rPr>
        <w:t>3.评价范围：2023年1月-12月。</w:t>
      </w:r>
    </w:p>
    <w:p>
      <w:pPr>
        <w:spacing w:line="590" w:lineRule="exact"/>
        <w:ind w:firstLine="624" w:firstLineChars="200"/>
        <w:outlineLvl w:val="1"/>
        <w:rPr>
          <w:rFonts w:ascii="楷体" w:hAnsi="楷体" w:eastAsia="楷体"/>
          <w:b/>
          <w:spacing w:val="6"/>
          <w:szCs w:val="30"/>
        </w:rPr>
      </w:pPr>
      <w:bookmarkStart w:id="36" w:name="_Toc5835"/>
      <w:bookmarkStart w:id="37" w:name="_Toc18774"/>
      <w:bookmarkStart w:id="38" w:name="_Toc14669"/>
      <w:r>
        <w:rPr>
          <w:rFonts w:hint="eastAsia" w:ascii="楷体" w:hAnsi="楷体" w:eastAsia="楷体"/>
          <w:bCs/>
          <w:spacing w:val="6"/>
          <w:szCs w:val="30"/>
        </w:rPr>
        <w:t>（二）绩效评价</w:t>
      </w:r>
      <w:bookmarkEnd w:id="35"/>
      <w:bookmarkEnd w:id="36"/>
      <w:bookmarkEnd w:id="37"/>
      <w:r>
        <w:rPr>
          <w:rFonts w:hint="eastAsia" w:ascii="楷体" w:hAnsi="楷体" w:eastAsia="楷体"/>
          <w:bCs/>
          <w:spacing w:val="6"/>
          <w:szCs w:val="30"/>
        </w:rPr>
        <w:t>依据</w:t>
      </w:r>
      <w:bookmarkEnd w:id="38"/>
    </w:p>
    <w:p>
      <w:pPr>
        <w:spacing w:line="590" w:lineRule="exact"/>
        <w:ind w:firstLine="624" w:firstLineChars="200"/>
        <w:rPr>
          <w:rFonts w:hAnsi="仿宋" w:cs="仿宋"/>
          <w:spacing w:val="6"/>
          <w:szCs w:val="30"/>
        </w:rPr>
      </w:pPr>
      <w:bookmarkStart w:id="39" w:name="_Hlk45982689"/>
      <w:bookmarkStart w:id="40" w:name="_Toc536428364"/>
      <w:r>
        <w:rPr>
          <w:rFonts w:hint="eastAsia" w:hAnsi="仿宋" w:cs="仿宋"/>
          <w:spacing w:val="6"/>
          <w:szCs w:val="30"/>
        </w:rPr>
        <w:t>1.《中共中央国务院关于全面实施预算绩效管理的意见》（中发〔2018〕34号）；</w:t>
      </w:r>
    </w:p>
    <w:p>
      <w:pPr>
        <w:spacing w:line="590" w:lineRule="exact"/>
        <w:ind w:firstLine="624" w:firstLineChars="200"/>
        <w:rPr>
          <w:rFonts w:hAnsi="仿宋" w:cs="仿宋"/>
          <w:spacing w:val="6"/>
          <w:szCs w:val="30"/>
        </w:rPr>
      </w:pPr>
      <w:r>
        <w:rPr>
          <w:rFonts w:hint="eastAsia" w:hAnsi="仿宋" w:cs="仿宋"/>
          <w:spacing w:val="6"/>
          <w:szCs w:val="30"/>
        </w:rPr>
        <w:t>2.《中共云南省委云南省人民政府关于全面实施预算绩效管理的实施意见》（云发〔2019〕11号）；</w:t>
      </w:r>
    </w:p>
    <w:p>
      <w:pPr>
        <w:spacing w:line="590" w:lineRule="exact"/>
        <w:ind w:firstLine="624" w:firstLineChars="200"/>
        <w:rPr>
          <w:rFonts w:hAnsi="仿宋" w:cs="仿宋"/>
          <w:spacing w:val="6"/>
          <w:szCs w:val="30"/>
        </w:rPr>
      </w:pPr>
      <w:r>
        <w:rPr>
          <w:rFonts w:hint="eastAsia" w:hAnsi="仿宋" w:cs="仿宋"/>
          <w:spacing w:val="6"/>
          <w:szCs w:val="30"/>
        </w:rPr>
        <w:t>3.《云南省财政厅关于印发〈云南省项目支出绩效评价管理办法〉的通知》（云财绩〔2020〕11号）；</w:t>
      </w:r>
    </w:p>
    <w:p>
      <w:pPr>
        <w:spacing w:line="590" w:lineRule="exact"/>
        <w:ind w:firstLine="624" w:firstLineChars="200"/>
        <w:rPr>
          <w:rFonts w:hAnsi="仿宋" w:cs="仿宋"/>
          <w:spacing w:val="6"/>
          <w:szCs w:val="30"/>
        </w:rPr>
      </w:pPr>
      <w:r>
        <w:rPr>
          <w:rFonts w:hint="eastAsia" w:hAnsi="仿宋" w:cs="仿宋"/>
          <w:spacing w:val="6"/>
          <w:szCs w:val="30"/>
        </w:rPr>
        <w:t>4.《中共昆明市委昆明市人民政府关于全面实施预算绩效管理的实施意见》（昆发〔2019〕12号）；</w:t>
      </w:r>
    </w:p>
    <w:p>
      <w:pPr>
        <w:spacing w:line="590" w:lineRule="exact"/>
        <w:ind w:firstLine="624" w:firstLineChars="200"/>
        <w:rPr>
          <w:rFonts w:hAnsi="仿宋" w:cs="仿宋"/>
          <w:spacing w:val="6"/>
          <w:szCs w:val="30"/>
        </w:rPr>
      </w:pPr>
      <w:r>
        <w:rPr>
          <w:rFonts w:hint="eastAsia" w:hAnsi="仿宋" w:cs="仿宋"/>
          <w:spacing w:val="6"/>
          <w:szCs w:val="30"/>
        </w:rPr>
        <w:t>5.《五华区预算绩效自评管理暂行办法》（五财〔2019〕51号）；</w:t>
      </w:r>
    </w:p>
    <w:p>
      <w:pPr>
        <w:spacing w:line="590" w:lineRule="exact"/>
        <w:ind w:firstLine="624" w:firstLineChars="200"/>
        <w:rPr>
          <w:rFonts w:hAnsi="仿宋" w:cs="仿宋"/>
          <w:spacing w:val="6"/>
          <w:szCs w:val="30"/>
        </w:rPr>
      </w:pPr>
      <w:r>
        <w:rPr>
          <w:rFonts w:hint="eastAsia" w:hAnsi="仿宋" w:cs="仿宋"/>
          <w:spacing w:val="6"/>
          <w:szCs w:val="30"/>
        </w:rPr>
        <w:t>6.《关于全面实施预算绩效管理的通知》（五财〔2019〕68号）；</w:t>
      </w:r>
    </w:p>
    <w:p>
      <w:pPr>
        <w:spacing w:line="590" w:lineRule="exact"/>
        <w:ind w:firstLine="624" w:firstLineChars="200"/>
        <w:rPr>
          <w:rFonts w:hAnsi="仿宋" w:cs="仿宋"/>
          <w:spacing w:val="6"/>
          <w:szCs w:val="30"/>
        </w:rPr>
      </w:pPr>
      <w:r>
        <w:rPr>
          <w:rFonts w:hint="eastAsia" w:hAnsi="仿宋" w:cs="仿宋"/>
          <w:spacing w:val="6"/>
          <w:szCs w:val="30"/>
        </w:rPr>
        <w:t>7.《五华区财政局关于开展2023年度区级预算支出部门绩效评价工作的通知》（五财〔2024〕23号）；</w:t>
      </w:r>
    </w:p>
    <w:p>
      <w:pPr>
        <w:spacing w:line="590" w:lineRule="exact"/>
        <w:ind w:firstLine="624" w:firstLineChars="200"/>
        <w:rPr>
          <w:rFonts w:hAnsi="仿宋" w:cs="仿宋"/>
          <w:spacing w:val="6"/>
          <w:szCs w:val="30"/>
        </w:rPr>
      </w:pPr>
      <w:r>
        <w:rPr>
          <w:rFonts w:hint="eastAsia" w:hAnsi="仿宋" w:cs="仿宋"/>
          <w:spacing w:val="6"/>
          <w:szCs w:val="30"/>
        </w:rPr>
        <w:t>8.项目管理、资金管理、财务管理等制度文件，项目批复文件、资金下达文件、项目验收等其他材料。</w:t>
      </w:r>
    </w:p>
    <w:p>
      <w:pPr>
        <w:spacing w:line="590" w:lineRule="exact"/>
        <w:ind w:firstLine="624" w:firstLineChars="200"/>
        <w:outlineLvl w:val="1"/>
        <w:rPr>
          <w:rFonts w:ascii="楷体" w:hAnsi="楷体" w:eastAsia="楷体"/>
          <w:b/>
          <w:spacing w:val="6"/>
          <w:szCs w:val="30"/>
        </w:rPr>
      </w:pPr>
      <w:bookmarkStart w:id="41" w:name="_Toc4925"/>
      <w:r>
        <w:rPr>
          <w:rFonts w:hint="eastAsia" w:ascii="楷体" w:hAnsi="楷体" w:eastAsia="楷体"/>
          <w:bCs/>
          <w:spacing w:val="6"/>
          <w:szCs w:val="30"/>
        </w:rPr>
        <w:t>（三）绩效评价方法</w:t>
      </w:r>
      <w:bookmarkEnd w:id="41"/>
    </w:p>
    <w:p>
      <w:pPr>
        <w:widowControl/>
        <w:spacing w:line="590" w:lineRule="exact"/>
        <w:ind w:firstLine="624" w:firstLineChars="200"/>
        <w:rPr>
          <w:rFonts w:hAnsi="仿宋" w:cs="仿宋"/>
          <w:bCs/>
          <w:spacing w:val="6"/>
          <w:szCs w:val="30"/>
        </w:rPr>
      </w:pPr>
      <w:r>
        <w:rPr>
          <w:rFonts w:hint="eastAsia" w:hAnsi="仿宋" w:cs="仿宋"/>
          <w:bCs/>
          <w:spacing w:val="6"/>
          <w:szCs w:val="30"/>
        </w:rPr>
        <w:t>本次绩效评价采用定量与定性结合、审阅自评相结合，对收集的相关基础资料、各种技术经济数据，在归集、整理、分析的基础上，主要运用审阅资料法、分析比较法、实地考察法、资金抽样等方法，以系统、科学地反映评价部门综合绩效情况。</w:t>
      </w:r>
    </w:p>
    <w:p>
      <w:pPr>
        <w:spacing w:line="590" w:lineRule="exact"/>
        <w:ind w:firstLine="624" w:firstLineChars="200"/>
        <w:rPr>
          <w:rFonts w:hAnsi="仿宋" w:cs="仿宋"/>
          <w:spacing w:val="6"/>
          <w:szCs w:val="30"/>
        </w:rPr>
      </w:pPr>
      <w:r>
        <w:rPr>
          <w:rFonts w:hint="eastAsia" w:hAnsi="仿宋" w:cs="仿宋"/>
          <w:spacing w:val="6"/>
          <w:szCs w:val="30"/>
        </w:rPr>
        <w:t>1．审阅资料法</w:t>
      </w:r>
    </w:p>
    <w:p>
      <w:pPr>
        <w:pStyle w:val="41"/>
        <w:spacing w:line="590" w:lineRule="exact"/>
        <w:ind w:firstLine="624"/>
        <w:rPr>
          <w:rFonts w:hAnsi="仿宋"/>
          <w:spacing w:val="6"/>
          <w:szCs w:val="30"/>
        </w:rPr>
      </w:pPr>
      <w:r>
        <w:rPr>
          <w:rFonts w:hint="eastAsia" w:hAnsi="仿宋"/>
          <w:spacing w:val="6"/>
          <w:szCs w:val="30"/>
        </w:rPr>
        <w:t>通过对单位的自评报告进行审阅，详细查阅各类评分依据材料。查阅单位有关立项申报等资料，项目决策、项目管理、项目绩效等情况，可以要求科室相关人员做出必要的说明，对需要非现场调查的问题做好记录。</w:t>
      </w:r>
    </w:p>
    <w:p>
      <w:pPr>
        <w:pStyle w:val="41"/>
        <w:spacing w:line="590" w:lineRule="exact"/>
        <w:ind w:firstLine="624"/>
        <w:rPr>
          <w:rFonts w:hAnsi="仿宋"/>
          <w:spacing w:val="6"/>
          <w:szCs w:val="30"/>
        </w:rPr>
      </w:pPr>
      <w:r>
        <w:rPr>
          <w:rFonts w:hint="eastAsia" w:hAnsi="仿宋"/>
          <w:spacing w:val="6"/>
          <w:szCs w:val="30"/>
        </w:rPr>
        <w:t>查阅会计凭证、会计账簿等，检查资金到位情况，资金拨付、支出情况，相关财务、预算、绩效等制度执行情况，是否存在违规现象，对预算执行情况、资金拨付执行情况、资金使用规范情况、主要项目内容完成情况进行检查。</w:t>
      </w:r>
    </w:p>
    <w:p>
      <w:pPr>
        <w:spacing w:line="590" w:lineRule="exact"/>
        <w:ind w:firstLine="624" w:firstLineChars="200"/>
        <w:rPr>
          <w:rFonts w:hAnsi="仿宋" w:cs="仿宋"/>
          <w:spacing w:val="6"/>
          <w:szCs w:val="30"/>
        </w:rPr>
      </w:pPr>
      <w:r>
        <w:rPr>
          <w:rFonts w:hint="eastAsia" w:hAnsi="仿宋" w:cs="仿宋"/>
          <w:spacing w:val="6"/>
          <w:szCs w:val="30"/>
        </w:rPr>
        <w:t>2．分析比较法</w:t>
      </w:r>
    </w:p>
    <w:p>
      <w:pPr>
        <w:pStyle w:val="41"/>
        <w:spacing w:line="590" w:lineRule="exact"/>
        <w:ind w:firstLine="624"/>
        <w:rPr>
          <w:rFonts w:hAnsi="仿宋"/>
          <w:spacing w:val="6"/>
          <w:szCs w:val="30"/>
        </w:rPr>
      </w:pPr>
      <w:r>
        <w:rPr>
          <w:rFonts w:hint="eastAsia" w:hAnsi="仿宋"/>
          <w:spacing w:val="6"/>
          <w:szCs w:val="30"/>
        </w:rPr>
        <w:t>依据下达的项目支出绩效目标，对照项目绩效目标实际完成内容，评价实际实施内容与批复预算的完成情况。依据相关政策文件，评价项目绩效目标是否按照单位管理办法、制度等管理文件执行。依据项目绩效目标资金计划文件和凭证，评价预算资金下拨、到位及使用情况。将项目绩效目标与实施结果对比分析，判断项目绩效目标的完成情况。将项目绩效目标的预期效益与实施效益进行综合分析对比。结合已开展的问卷调查工作，评价项目绩效目标完成情况。</w:t>
      </w:r>
    </w:p>
    <w:p>
      <w:pPr>
        <w:spacing w:line="590" w:lineRule="exact"/>
        <w:ind w:firstLine="624" w:firstLineChars="200"/>
        <w:rPr>
          <w:rFonts w:hAnsi="仿宋" w:cs="仿宋"/>
          <w:spacing w:val="6"/>
          <w:szCs w:val="30"/>
        </w:rPr>
      </w:pPr>
      <w:r>
        <w:rPr>
          <w:rFonts w:hint="eastAsia" w:hAnsi="仿宋" w:cs="仿宋"/>
          <w:spacing w:val="6"/>
          <w:szCs w:val="30"/>
        </w:rPr>
        <w:t>3．实地考察法</w:t>
      </w:r>
    </w:p>
    <w:p>
      <w:pPr>
        <w:pStyle w:val="41"/>
        <w:spacing w:line="590" w:lineRule="exact"/>
        <w:ind w:firstLine="624"/>
        <w:rPr>
          <w:rFonts w:hAnsi="仿宋"/>
          <w:spacing w:val="6"/>
          <w:szCs w:val="30"/>
        </w:rPr>
      </w:pPr>
      <w:r>
        <w:rPr>
          <w:rFonts w:hint="eastAsia" w:hAnsi="仿宋"/>
          <w:spacing w:val="6"/>
          <w:szCs w:val="30"/>
        </w:rPr>
        <w:t>根据分工，采用资料收集、数据填报、案卷研究、实地调研等方式，组织开展实地考察。</w:t>
      </w:r>
    </w:p>
    <w:p>
      <w:pPr>
        <w:pStyle w:val="41"/>
        <w:spacing w:line="590" w:lineRule="exact"/>
        <w:ind w:firstLine="624"/>
        <w:rPr>
          <w:rFonts w:hAnsi="仿宋"/>
          <w:bCs/>
          <w:spacing w:val="6"/>
          <w:szCs w:val="30"/>
        </w:rPr>
      </w:pPr>
      <w:r>
        <w:rPr>
          <w:rFonts w:hint="eastAsia" w:hAnsi="仿宋" w:cs="仿宋"/>
          <w:spacing w:val="6"/>
          <w:szCs w:val="30"/>
        </w:rPr>
        <w:t>4、</w:t>
      </w:r>
      <w:r>
        <w:rPr>
          <w:rFonts w:hint="eastAsia" w:hAnsi="仿宋"/>
          <w:bCs/>
          <w:spacing w:val="6"/>
          <w:szCs w:val="30"/>
        </w:rPr>
        <w:t>资金抽样</w:t>
      </w:r>
    </w:p>
    <w:p>
      <w:pPr>
        <w:pStyle w:val="41"/>
        <w:spacing w:line="590" w:lineRule="exact"/>
        <w:ind w:firstLine="624"/>
        <w:rPr>
          <w:rFonts w:hAnsi="仿宋"/>
          <w:spacing w:val="6"/>
          <w:szCs w:val="30"/>
        </w:rPr>
      </w:pPr>
      <w:r>
        <w:rPr>
          <w:rFonts w:hint="eastAsia" w:hAnsi="仿宋"/>
          <w:spacing w:val="6"/>
          <w:szCs w:val="30"/>
        </w:rPr>
        <w:t>项目资金收支情况通过实地调研抽查方式收集，抽查比例应不低于项目收支资金的30%。</w:t>
      </w:r>
    </w:p>
    <w:p>
      <w:pPr>
        <w:spacing w:line="590" w:lineRule="exact"/>
        <w:ind w:firstLine="624" w:firstLineChars="200"/>
        <w:outlineLvl w:val="1"/>
        <w:rPr>
          <w:rFonts w:ascii="楷体" w:hAnsi="楷体" w:eastAsia="楷体"/>
          <w:bCs/>
          <w:spacing w:val="6"/>
          <w:szCs w:val="30"/>
        </w:rPr>
      </w:pPr>
      <w:bookmarkStart w:id="42" w:name="_Toc8431"/>
      <w:bookmarkStart w:id="43" w:name="_Toc7509"/>
      <w:bookmarkStart w:id="44" w:name="_Toc1062"/>
      <w:r>
        <w:rPr>
          <w:rFonts w:hint="eastAsia" w:ascii="楷体" w:hAnsi="楷体" w:eastAsia="楷体"/>
          <w:bCs/>
          <w:spacing w:val="6"/>
          <w:szCs w:val="30"/>
        </w:rPr>
        <w:t>（四）绩效评价指标体系</w:t>
      </w:r>
      <w:bookmarkEnd w:id="42"/>
      <w:bookmarkEnd w:id="43"/>
      <w:bookmarkEnd w:id="44"/>
    </w:p>
    <w:p>
      <w:pPr>
        <w:spacing w:line="590" w:lineRule="exact"/>
        <w:ind w:firstLine="624" w:firstLineChars="200"/>
        <w:rPr>
          <w:rFonts w:hAnsi="仿宋" w:cs="仿宋"/>
          <w:spacing w:val="6"/>
          <w:szCs w:val="30"/>
        </w:rPr>
      </w:pPr>
      <w:r>
        <w:rPr>
          <w:rFonts w:hint="eastAsia" w:hAnsi="仿宋" w:cs="仿宋"/>
          <w:spacing w:val="6"/>
          <w:szCs w:val="30"/>
        </w:rPr>
        <w:t>1．指标体系</w:t>
      </w:r>
    </w:p>
    <w:p>
      <w:pPr>
        <w:spacing w:line="590" w:lineRule="exact"/>
        <w:ind w:firstLine="624" w:firstLineChars="200"/>
        <w:rPr>
          <w:rFonts w:hAnsi="仿宋"/>
          <w:spacing w:val="6"/>
          <w:szCs w:val="30"/>
        </w:rPr>
      </w:pPr>
      <w:r>
        <w:rPr>
          <w:rFonts w:hint="eastAsia" w:hAnsi="仿宋"/>
          <w:spacing w:val="6"/>
          <w:szCs w:val="30"/>
        </w:rPr>
        <w:t>根据项目立项必要性、投入经济性、绩效目标合理性、实施方案可行性、筹资合规性等原则，本项目支出绩效评价指标体系共有三级指标，一级指标4项（决策、过程、产出、效益），二级指标11项（项目立项、绩效目标、资金投入、资金管理、组织实施、产出数量、产出质量、产出成本、产出时效、社会效益、满意度），三级指标28项。（具体绩效评价指标体系详见附件1）</w:t>
      </w:r>
    </w:p>
    <w:p>
      <w:pPr>
        <w:spacing w:line="590" w:lineRule="exact"/>
        <w:ind w:firstLine="624" w:firstLineChars="200"/>
        <w:rPr>
          <w:rFonts w:hAnsi="仿宋" w:cs="仿宋"/>
          <w:spacing w:val="6"/>
          <w:szCs w:val="30"/>
        </w:rPr>
      </w:pPr>
      <w:r>
        <w:rPr>
          <w:rFonts w:hint="eastAsia" w:hAnsi="仿宋" w:cs="仿宋"/>
          <w:spacing w:val="6"/>
          <w:szCs w:val="30"/>
        </w:rPr>
        <w:t>2．指标权重</w:t>
      </w:r>
    </w:p>
    <w:p>
      <w:pPr>
        <w:spacing w:line="590" w:lineRule="exact"/>
        <w:ind w:firstLine="624" w:firstLineChars="200"/>
        <w:rPr>
          <w:rFonts w:hAnsi="仿宋"/>
          <w:spacing w:val="6"/>
          <w:szCs w:val="30"/>
        </w:rPr>
      </w:pPr>
      <w:r>
        <w:rPr>
          <w:rFonts w:hint="eastAsia" w:hAnsi="仿宋"/>
          <w:spacing w:val="6"/>
          <w:szCs w:val="30"/>
        </w:rPr>
        <w:t>结合项目的实施背景与绩效目标，综合判断各级评价指标对实现绩效目标的关键程度。通过与相关专业人员开展讨论，综合判断二、三级评价指标对实现绩效目标的关键程度，确定二、三级评价指标的分值权重。一级评价指标确定为：决策指标权重为20%；过程指标权重为20%；产出指标权重为30%；效益指标权重为30%。（内容详见附件1）</w:t>
      </w:r>
    </w:p>
    <w:p>
      <w:pPr>
        <w:spacing w:line="590" w:lineRule="exact"/>
        <w:ind w:firstLine="600" w:firstLineChars="200"/>
        <w:rPr>
          <w:rFonts w:hAnsi="仿宋" w:cs="仿宋"/>
          <w:spacing w:val="6"/>
          <w:szCs w:val="30"/>
        </w:rPr>
      </w:pPr>
      <w:r>
        <w:fldChar w:fldCharType="begin"/>
      </w:r>
      <w:r>
        <w:instrText xml:space="preserve"> HYPERLINK \l "_Toc434746189" </w:instrText>
      </w:r>
      <w:r>
        <w:fldChar w:fldCharType="separate"/>
      </w:r>
      <w:bookmarkStart w:id="45" w:name="_Toc459751089"/>
      <w:bookmarkStart w:id="46" w:name="_Toc460332850"/>
      <w:r>
        <w:rPr>
          <w:rFonts w:hint="eastAsia" w:hAnsi="仿宋" w:cs="仿宋"/>
          <w:spacing w:val="6"/>
          <w:szCs w:val="30"/>
        </w:rPr>
        <w:t>3．评价标准</w:t>
      </w:r>
      <w:bookmarkEnd w:id="45"/>
      <w:bookmarkEnd w:id="46"/>
      <w:r>
        <w:rPr>
          <w:rFonts w:hint="eastAsia" w:hAnsi="仿宋" w:cs="仿宋"/>
          <w:spacing w:val="6"/>
          <w:szCs w:val="30"/>
        </w:rPr>
        <w:fldChar w:fldCharType="end"/>
      </w:r>
    </w:p>
    <w:p>
      <w:pPr>
        <w:spacing w:line="590" w:lineRule="exact"/>
        <w:ind w:firstLine="624" w:firstLineChars="200"/>
        <w:rPr>
          <w:rFonts w:hAnsi="仿宋"/>
          <w:spacing w:val="6"/>
          <w:szCs w:val="30"/>
        </w:rPr>
      </w:pPr>
      <w:r>
        <w:rPr>
          <w:rFonts w:hint="eastAsia" w:hAnsi="仿宋"/>
          <w:spacing w:val="6"/>
          <w:szCs w:val="30"/>
        </w:rPr>
        <w:t>本次绩效评价采用百分制，对绩效评价结果采取评分与评级相结合的方式，一级指标的分值权重按主管部门要求执行，二、三级指标权重按照设置的指标相关评价内容的重要性原则加以确定。各项指标均需明确评价内容和解释、评价要点、评分标准等。评价人员依据上述内容进行评分。根据最终得分情况，本次评价等级按“优、良、中、差”四级划分，具体为：得分≥90分，评级为：优；80分≤得分＜90分，评级为：良；60分≤得分＜80分，评级为：中；得分＜60分，评级为：差。</w:t>
      </w:r>
    </w:p>
    <w:p>
      <w:pPr>
        <w:spacing w:line="590" w:lineRule="exact"/>
        <w:ind w:firstLine="624" w:firstLineChars="200"/>
        <w:outlineLvl w:val="1"/>
        <w:rPr>
          <w:rFonts w:ascii="楷体" w:hAnsi="楷体" w:eastAsia="楷体"/>
          <w:bCs/>
          <w:spacing w:val="6"/>
          <w:szCs w:val="30"/>
        </w:rPr>
      </w:pPr>
      <w:bookmarkStart w:id="47" w:name="_Toc14694"/>
      <w:bookmarkStart w:id="48" w:name="_Toc16655"/>
      <w:bookmarkStart w:id="49" w:name="_Toc3007"/>
      <w:r>
        <w:rPr>
          <w:rFonts w:hint="eastAsia" w:ascii="楷体" w:hAnsi="楷体" w:eastAsia="楷体"/>
          <w:bCs/>
          <w:spacing w:val="6"/>
          <w:szCs w:val="30"/>
        </w:rPr>
        <w:t>（五）绩效评价抽样</w:t>
      </w:r>
      <w:bookmarkEnd w:id="47"/>
      <w:bookmarkEnd w:id="48"/>
      <w:bookmarkEnd w:id="49"/>
    </w:p>
    <w:p>
      <w:pPr>
        <w:tabs>
          <w:tab w:val="left" w:pos="5280"/>
        </w:tabs>
        <w:spacing w:line="590" w:lineRule="exact"/>
        <w:ind w:firstLine="624" w:firstLineChars="200"/>
        <w:rPr>
          <w:rFonts w:hAnsi="仿宋"/>
          <w:spacing w:val="6"/>
          <w:szCs w:val="30"/>
        </w:rPr>
      </w:pPr>
      <w:r>
        <w:rPr>
          <w:rFonts w:hint="eastAsia" w:hAnsi="仿宋"/>
          <w:spacing w:val="6"/>
          <w:szCs w:val="30"/>
        </w:rPr>
        <w:t>根据该项目2023年资金使用情况，资金支出总额为8.42万元，抽查资金为8.42万元，抽查比例为100%。</w:t>
      </w:r>
      <w:bookmarkEnd w:id="39"/>
      <w:bookmarkEnd w:id="40"/>
      <w:bookmarkStart w:id="50" w:name="_Toc536428366"/>
      <w:r>
        <w:rPr>
          <w:rFonts w:hint="eastAsia" w:hAnsi="仿宋"/>
          <w:spacing w:val="6"/>
          <w:szCs w:val="30"/>
        </w:rPr>
        <w:t>通过凭证抽查，应急处置中心工作经费项目相关资金拨付凭证附件均附有费用报销单、付款回单、发票、合同及会议纪要等共性附件和各项支出个性附件，附件签字及盖章齐全。</w:t>
      </w:r>
    </w:p>
    <w:p>
      <w:pPr>
        <w:spacing w:line="590" w:lineRule="exact"/>
        <w:ind w:firstLine="624" w:firstLineChars="200"/>
        <w:outlineLvl w:val="0"/>
        <w:rPr>
          <w:rStyle w:val="26"/>
          <w:rFonts w:ascii="黑体" w:hAnsi="黑体" w:eastAsia="黑体" w:cs="黑体"/>
          <w:b w:val="0"/>
          <w:bCs w:val="0"/>
          <w:spacing w:val="6"/>
          <w:sz w:val="30"/>
          <w:szCs w:val="30"/>
        </w:rPr>
      </w:pPr>
      <w:bookmarkStart w:id="51" w:name="_Toc23839"/>
      <w:bookmarkStart w:id="52" w:name="_Toc11373"/>
      <w:bookmarkStart w:id="53" w:name="_Toc1368"/>
      <w:r>
        <w:rPr>
          <w:rStyle w:val="26"/>
          <w:rFonts w:hint="eastAsia" w:ascii="黑体" w:hAnsi="黑体" w:eastAsia="黑体" w:cs="黑体"/>
          <w:b w:val="0"/>
          <w:bCs w:val="0"/>
          <w:spacing w:val="6"/>
          <w:sz w:val="30"/>
          <w:szCs w:val="30"/>
        </w:rPr>
        <w:t>四、绩效评价结论</w:t>
      </w:r>
      <w:bookmarkEnd w:id="50"/>
      <w:bookmarkEnd w:id="51"/>
      <w:bookmarkEnd w:id="52"/>
      <w:bookmarkEnd w:id="53"/>
    </w:p>
    <w:p>
      <w:pPr>
        <w:spacing w:line="590" w:lineRule="exact"/>
        <w:ind w:firstLine="624" w:firstLineChars="200"/>
        <w:outlineLvl w:val="1"/>
        <w:rPr>
          <w:rFonts w:ascii="楷体" w:hAnsi="楷体" w:eastAsia="楷体"/>
          <w:bCs/>
          <w:spacing w:val="6"/>
          <w:szCs w:val="30"/>
        </w:rPr>
      </w:pPr>
      <w:bookmarkStart w:id="54" w:name="_Toc3968"/>
      <w:bookmarkStart w:id="55" w:name="_Toc536428367"/>
      <w:bookmarkStart w:id="56" w:name="_Toc2839"/>
      <w:bookmarkStart w:id="57" w:name="_Toc27043"/>
      <w:r>
        <w:rPr>
          <w:rFonts w:hint="eastAsia" w:ascii="楷体" w:hAnsi="楷体" w:eastAsia="楷体"/>
          <w:bCs/>
          <w:spacing w:val="6"/>
          <w:szCs w:val="30"/>
        </w:rPr>
        <w:t>（一）绩效评价综合结论</w:t>
      </w:r>
      <w:bookmarkEnd w:id="54"/>
      <w:bookmarkEnd w:id="55"/>
      <w:bookmarkEnd w:id="56"/>
      <w:bookmarkEnd w:id="57"/>
    </w:p>
    <w:p>
      <w:pPr>
        <w:spacing w:line="590" w:lineRule="exact"/>
        <w:ind w:firstLine="624" w:firstLineChars="200"/>
        <w:rPr>
          <w:rFonts w:hAnsi="仿宋"/>
          <w:spacing w:val="6"/>
          <w:szCs w:val="30"/>
        </w:rPr>
      </w:pPr>
      <w:bookmarkStart w:id="58" w:name="_Hlk525314439"/>
      <w:r>
        <w:rPr>
          <w:rFonts w:hint="eastAsia" w:hAnsi="仿宋"/>
          <w:spacing w:val="6"/>
          <w:szCs w:val="30"/>
        </w:rPr>
        <w:t>西翥街道办事处应急处置中心工作经费项目支出绩效评价得分96.65分，评价等级为“优”。一级指标具体得分情况详见下表：</w:t>
      </w:r>
    </w:p>
    <w:p>
      <w:pPr>
        <w:jc w:val="center"/>
        <w:rPr>
          <w:rFonts w:ascii="黑体" w:hAnsi="黑体" w:eastAsia="黑体"/>
          <w:color w:val="000000" w:themeColor="text1"/>
          <w:spacing w:val="6"/>
          <w:sz w:val="24"/>
          <w:szCs w:val="24"/>
          <w14:textFill>
            <w14:solidFill>
              <w14:schemeClr w14:val="tx1"/>
            </w14:solidFill>
          </w14:textFill>
        </w:rPr>
      </w:pPr>
      <w:r>
        <w:rPr>
          <w:rFonts w:hint="eastAsia" w:ascii="黑体" w:hAnsi="黑体" w:eastAsia="黑体"/>
          <w:color w:val="000000" w:themeColor="text1"/>
          <w:spacing w:val="6"/>
          <w:sz w:val="24"/>
          <w:szCs w:val="24"/>
          <w14:textFill>
            <w14:solidFill>
              <w14:schemeClr w14:val="tx1"/>
            </w14:solidFill>
          </w14:textFill>
        </w:rPr>
        <w:t>表2：一级指标具体得分情况表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2367"/>
        <w:gridCol w:w="2364"/>
        <w:gridCol w:w="2221"/>
        <w:gridCol w:w="2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62" w:hRule="atLeast"/>
          <w:tblHeader/>
          <w:jc w:val="center"/>
        </w:trPr>
        <w:tc>
          <w:tcPr>
            <w:tcW w:w="1321" w:type="pct"/>
            <w:tcBorders>
              <w:top w:val="single" w:color="auto" w:sz="4" w:space="0"/>
            </w:tcBorders>
            <w:vAlign w:val="center"/>
          </w:tcPr>
          <w:p>
            <w:pPr>
              <w:snapToGrid w:val="0"/>
              <w:jc w:val="center"/>
              <w:rPr>
                <w:rFonts w:hAnsi="仿宋"/>
                <w:b/>
                <w:bCs/>
                <w:spacing w:val="6"/>
                <w:sz w:val="21"/>
              </w:rPr>
            </w:pPr>
            <w:r>
              <w:rPr>
                <w:rFonts w:hint="eastAsia" w:hAnsi="仿宋"/>
                <w:b/>
                <w:bCs/>
                <w:spacing w:val="6"/>
                <w:sz w:val="21"/>
              </w:rPr>
              <w:t>一级指标</w:t>
            </w:r>
          </w:p>
        </w:tc>
        <w:tc>
          <w:tcPr>
            <w:tcW w:w="1319" w:type="pct"/>
            <w:tcBorders>
              <w:top w:val="single" w:color="auto" w:sz="4" w:space="0"/>
            </w:tcBorders>
            <w:vAlign w:val="center"/>
          </w:tcPr>
          <w:p>
            <w:pPr>
              <w:snapToGrid w:val="0"/>
              <w:jc w:val="center"/>
              <w:rPr>
                <w:rFonts w:hAnsi="仿宋"/>
                <w:b/>
                <w:bCs/>
                <w:spacing w:val="6"/>
                <w:sz w:val="21"/>
              </w:rPr>
            </w:pPr>
            <w:r>
              <w:rPr>
                <w:rFonts w:hint="eastAsia" w:hAnsi="仿宋"/>
                <w:b/>
                <w:bCs/>
                <w:spacing w:val="6"/>
                <w:sz w:val="21"/>
              </w:rPr>
              <w:t>指标分值</w:t>
            </w:r>
          </w:p>
        </w:tc>
        <w:tc>
          <w:tcPr>
            <w:tcW w:w="1239" w:type="pct"/>
            <w:tcBorders>
              <w:top w:val="single" w:color="auto" w:sz="4" w:space="0"/>
            </w:tcBorders>
            <w:vAlign w:val="center"/>
          </w:tcPr>
          <w:p>
            <w:pPr>
              <w:snapToGrid w:val="0"/>
              <w:jc w:val="center"/>
              <w:rPr>
                <w:rFonts w:hAnsi="仿宋"/>
                <w:b/>
                <w:bCs/>
                <w:spacing w:val="6"/>
                <w:sz w:val="21"/>
              </w:rPr>
            </w:pPr>
            <w:r>
              <w:rPr>
                <w:rFonts w:hint="eastAsia" w:hAnsi="仿宋"/>
                <w:b/>
                <w:bCs/>
                <w:spacing w:val="6"/>
                <w:sz w:val="21"/>
              </w:rPr>
              <w:t>评价得分</w:t>
            </w:r>
          </w:p>
        </w:tc>
        <w:tc>
          <w:tcPr>
            <w:tcW w:w="1119" w:type="pct"/>
            <w:tcBorders>
              <w:top w:val="single" w:color="auto" w:sz="4" w:space="0"/>
            </w:tcBorders>
            <w:vAlign w:val="center"/>
          </w:tcPr>
          <w:p>
            <w:pPr>
              <w:snapToGrid w:val="0"/>
              <w:jc w:val="center"/>
              <w:rPr>
                <w:rFonts w:hAnsi="仿宋"/>
                <w:b/>
                <w:bCs/>
                <w:spacing w:val="6"/>
                <w:sz w:val="21"/>
              </w:rPr>
            </w:pPr>
            <w:r>
              <w:rPr>
                <w:rFonts w:hint="eastAsia" w:hAnsi="仿宋"/>
                <w:b/>
                <w:bCs/>
                <w:spacing w:val="6"/>
                <w:sz w:val="21"/>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51" w:hRule="atLeast"/>
          <w:tblHeader/>
          <w:jc w:val="center"/>
        </w:trPr>
        <w:tc>
          <w:tcPr>
            <w:tcW w:w="1321" w:type="pct"/>
            <w:vAlign w:val="center"/>
          </w:tcPr>
          <w:p>
            <w:pPr>
              <w:snapToGrid w:val="0"/>
              <w:jc w:val="center"/>
              <w:rPr>
                <w:rFonts w:hAnsi="仿宋"/>
                <w:spacing w:val="6"/>
                <w:sz w:val="21"/>
              </w:rPr>
            </w:pPr>
            <w:r>
              <w:rPr>
                <w:rFonts w:hint="eastAsia" w:hAnsi="仿宋"/>
                <w:spacing w:val="6"/>
                <w:sz w:val="21"/>
              </w:rPr>
              <w:t>决策</w:t>
            </w:r>
          </w:p>
        </w:tc>
        <w:tc>
          <w:tcPr>
            <w:tcW w:w="1319" w:type="pct"/>
            <w:vAlign w:val="center"/>
          </w:tcPr>
          <w:p>
            <w:pPr>
              <w:snapToGrid w:val="0"/>
              <w:jc w:val="center"/>
              <w:rPr>
                <w:rFonts w:hAnsi="仿宋"/>
                <w:spacing w:val="6"/>
                <w:sz w:val="21"/>
              </w:rPr>
            </w:pPr>
            <w:r>
              <w:rPr>
                <w:rFonts w:hint="eastAsia" w:hAnsi="仿宋"/>
                <w:spacing w:val="6"/>
                <w:sz w:val="21"/>
              </w:rPr>
              <w:t>20.</w:t>
            </w:r>
            <w:r>
              <w:rPr>
                <w:rFonts w:hAnsi="仿宋"/>
                <w:spacing w:val="6"/>
                <w:sz w:val="21"/>
              </w:rPr>
              <w:t>00</w:t>
            </w:r>
          </w:p>
        </w:tc>
        <w:tc>
          <w:tcPr>
            <w:tcW w:w="1239" w:type="pct"/>
            <w:vAlign w:val="center"/>
          </w:tcPr>
          <w:p>
            <w:pPr>
              <w:snapToGrid w:val="0"/>
              <w:jc w:val="center"/>
              <w:rPr>
                <w:rFonts w:hAnsi="仿宋"/>
                <w:spacing w:val="6"/>
                <w:sz w:val="21"/>
              </w:rPr>
            </w:pPr>
            <w:r>
              <w:rPr>
                <w:rFonts w:hint="eastAsia" w:hAnsi="仿宋"/>
                <w:spacing w:val="6"/>
                <w:sz w:val="21"/>
              </w:rPr>
              <w:t>20.00</w:t>
            </w:r>
          </w:p>
        </w:tc>
        <w:tc>
          <w:tcPr>
            <w:tcW w:w="1119" w:type="pct"/>
            <w:vAlign w:val="center"/>
          </w:tcPr>
          <w:p>
            <w:pPr>
              <w:snapToGrid w:val="0"/>
              <w:jc w:val="center"/>
              <w:rPr>
                <w:rFonts w:hAnsi="仿宋"/>
                <w:spacing w:val="6"/>
                <w:sz w:val="21"/>
              </w:rPr>
            </w:pPr>
            <w:r>
              <w:rPr>
                <w:rFonts w:hint="eastAsia" w:hAnsi="仿宋"/>
                <w:spacing w:val="6"/>
                <w:sz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1" w:hRule="atLeast"/>
          <w:tblHeader/>
          <w:jc w:val="center"/>
        </w:trPr>
        <w:tc>
          <w:tcPr>
            <w:tcW w:w="1321" w:type="pct"/>
            <w:vAlign w:val="center"/>
          </w:tcPr>
          <w:p>
            <w:pPr>
              <w:snapToGrid w:val="0"/>
              <w:jc w:val="center"/>
              <w:rPr>
                <w:rFonts w:hAnsi="仿宋"/>
                <w:spacing w:val="6"/>
                <w:sz w:val="21"/>
              </w:rPr>
            </w:pPr>
            <w:r>
              <w:rPr>
                <w:rFonts w:hint="eastAsia" w:hAnsi="仿宋"/>
                <w:spacing w:val="6"/>
                <w:sz w:val="21"/>
              </w:rPr>
              <w:t>过程</w:t>
            </w:r>
          </w:p>
        </w:tc>
        <w:tc>
          <w:tcPr>
            <w:tcW w:w="1319" w:type="pct"/>
            <w:vAlign w:val="center"/>
          </w:tcPr>
          <w:p>
            <w:pPr>
              <w:snapToGrid w:val="0"/>
              <w:jc w:val="center"/>
              <w:rPr>
                <w:rFonts w:hAnsi="仿宋"/>
                <w:spacing w:val="6"/>
                <w:sz w:val="21"/>
              </w:rPr>
            </w:pPr>
            <w:r>
              <w:rPr>
                <w:rFonts w:hint="eastAsia" w:hAnsi="仿宋"/>
                <w:spacing w:val="6"/>
                <w:sz w:val="21"/>
              </w:rPr>
              <w:t>20</w:t>
            </w:r>
            <w:r>
              <w:rPr>
                <w:rFonts w:hAnsi="仿宋"/>
                <w:spacing w:val="6"/>
                <w:sz w:val="21"/>
              </w:rPr>
              <w:t>.00</w:t>
            </w:r>
          </w:p>
        </w:tc>
        <w:tc>
          <w:tcPr>
            <w:tcW w:w="1239" w:type="pct"/>
            <w:vAlign w:val="center"/>
          </w:tcPr>
          <w:p>
            <w:pPr>
              <w:snapToGrid w:val="0"/>
              <w:jc w:val="center"/>
              <w:rPr>
                <w:rFonts w:hAnsi="仿宋"/>
                <w:spacing w:val="6"/>
                <w:sz w:val="21"/>
              </w:rPr>
            </w:pPr>
            <w:r>
              <w:rPr>
                <w:rFonts w:hint="eastAsia" w:hAnsi="仿宋"/>
                <w:spacing w:val="6"/>
                <w:sz w:val="21"/>
              </w:rPr>
              <w:t>16.65</w:t>
            </w:r>
          </w:p>
        </w:tc>
        <w:tc>
          <w:tcPr>
            <w:tcW w:w="1119" w:type="pct"/>
            <w:vAlign w:val="center"/>
          </w:tcPr>
          <w:p>
            <w:pPr>
              <w:snapToGrid w:val="0"/>
              <w:jc w:val="center"/>
              <w:rPr>
                <w:rFonts w:hAnsi="仿宋"/>
                <w:spacing w:val="6"/>
                <w:sz w:val="21"/>
              </w:rPr>
            </w:pPr>
            <w:r>
              <w:rPr>
                <w:rFonts w:hint="eastAsia" w:hAnsi="仿宋"/>
                <w:spacing w:val="6"/>
                <w:sz w:val="21"/>
              </w:rPr>
              <w:t>83.25%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7" w:hRule="atLeast"/>
          <w:tblHeader/>
          <w:jc w:val="center"/>
        </w:trPr>
        <w:tc>
          <w:tcPr>
            <w:tcW w:w="1321" w:type="pct"/>
            <w:vAlign w:val="center"/>
          </w:tcPr>
          <w:p>
            <w:pPr>
              <w:snapToGrid w:val="0"/>
              <w:jc w:val="center"/>
              <w:rPr>
                <w:rFonts w:hAnsi="仿宋"/>
                <w:spacing w:val="6"/>
                <w:sz w:val="21"/>
              </w:rPr>
            </w:pPr>
            <w:r>
              <w:rPr>
                <w:rFonts w:hAnsi="仿宋"/>
                <w:spacing w:val="6"/>
                <w:sz w:val="21"/>
              </w:rPr>
              <w:t>产出</w:t>
            </w:r>
          </w:p>
        </w:tc>
        <w:tc>
          <w:tcPr>
            <w:tcW w:w="1319" w:type="pct"/>
            <w:vAlign w:val="center"/>
          </w:tcPr>
          <w:p>
            <w:pPr>
              <w:snapToGrid w:val="0"/>
              <w:jc w:val="center"/>
              <w:rPr>
                <w:rFonts w:hAnsi="仿宋"/>
                <w:spacing w:val="6"/>
                <w:sz w:val="21"/>
              </w:rPr>
            </w:pPr>
            <w:r>
              <w:rPr>
                <w:rFonts w:hint="eastAsia" w:hAnsi="仿宋"/>
                <w:spacing w:val="6"/>
                <w:sz w:val="21"/>
              </w:rPr>
              <w:t>30</w:t>
            </w:r>
            <w:r>
              <w:rPr>
                <w:rFonts w:hAnsi="仿宋"/>
                <w:spacing w:val="6"/>
                <w:sz w:val="21"/>
              </w:rPr>
              <w:t>.00</w:t>
            </w:r>
          </w:p>
        </w:tc>
        <w:tc>
          <w:tcPr>
            <w:tcW w:w="1239" w:type="pct"/>
            <w:vAlign w:val="center"/>
          </w:tcPr>
          <w:p>
            <w:pPr>
              <w:snapToGrid w:val="0"/>
              <w:jc w:val="center"/>
              <w:rPr>
                <w:rFonts w:hAnsi="仿宋"/>
                <w:spacing w:val="6"/>
                <w:sz w:val="21"/>
              </w:rPr>
            </w:pPr>
            <w:r>
              <w:rPr>
                <w:rFonts w:hint="eastAsia" w:hAnsi="仿宋"/>
                <w:spacing w:val="6"/>
                <w:sz w:val="21"/>
              </w:rPr>
              <w:t>30.00</w:t>
            </w:r>
          </w:p>
        </w:tc>
        <w:tc>
          <w:tcPr>
            <w:tcW w:w="1119" w:type="pct"/>
            <w:vAlign w:val="center"/>
          </w:tcPr>
          <w:p>
            <w:pPr>
              <w:snapToGrid w:val="0"/>
              <w:jc w:val="center"/>
              <w:rPr>
                <w:rFonts w:hAnsi="仿宋"/>
                <w:spacing w:val="6"/>
                <w:sz w:val="21"/>
              </w:rPr>
            </w:pPr>
            <w:r>
              <w:rPr>
                <w:rFonts w:hint="eastAsia" w:hAnsi="仿宋"/>
                <w:spacing w:val="6"/>
                <w:sz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7" w:hRule="atLeast"/>
          <w:tblHeader/>
          <w:jc w:val="center"/>
        </w:trPr>
        <w:tc>
          <w:tcPr>
            <w:tcW w:w="1321" w:type="pct"/>
            <w:vAlign w:val="center"/>
          </w:tcPr>
          <w:p>
            <w:pPr>
              <w:snapToGrid w:val="0"/>
              <w:jc w:val="center"/>
              <w:rPr>
                <w:rFonts w:hAnsi="仿宋"/>
                <w:spacing w:val="6"/>
                <w:sz w:val="21"/>
              </w:rPr>
            </w:pPr>
            <w:r>
              <w:rPr>
                <w:rFonts w:hAnsi="仿宋"/>
                <w:spacing w:val="6"/>
                <w:sz w:val="21"/>
              </w:rPr>
              <w:t>效</w:t>
            </w:r>
            <w:r>
              <w:rPr>
                <w:rFonts w:hint="eastAsia" w:hAnsi="仿宋"/>
                <w:spacing w:val="6"/>
                <w:sz w:val="21"/>
              </w:rPr>
              <w:t>益</w:t>
            </w:r>
          </w:p>
        </w:tc>
        <w:tc>
          <w:tcPr>
            <w:tcW w:w="1319" w:type="pct"/>
            <w:vAlign w:val="center"/>
          </w:tcPr>
          <w:p>
            <w:pPr>
              <w:snapToGrid w:val="0"/>
              <w:jc w:val="center"/>
              <w:rPr>
                <w:rFonts w:hAnsi="仿宋"/>
                <w:spacing w:val="6"/>
                <w:sz w:val="21"/>
              </w:rPr>
            </w:pPr>
            <w:r>
              <w:rPr>
                <w:rFonts w:hint="eastAsia" w:hAnsi="仿宋"/>
                <w:spacing w:val="6"/>
                <w:sz w:val="21"/>
              </w:rPr>
              <w:t>30</w:t>
            </w:r>
            <w:r>
              <w:rPr>
                <w:rFonts w:hAnsi="仿宋"/>
                <w:spacing w:val="6"/>
                <w:sz w:val="21"/>
              </w:rPr>
              <w:t>.00</w:t>
            </w:r>
          </w:p>
        </w:tc>
        <w:tc>
          <w:tcPr>
            <w:tcW w:w="1239" w:type="pct"/>
            <w:vAlign w:val="center"/>
          </w:tcPr>
          <w:p>
            <w:pPr>
              <w:snapToGrid w:val="0"/>
              <w:jc w:val="center"/>
              <w:rPr>
                <w:rFonts w:hAnsi="仿宋"/>
                <w:spacing w:val="6"/>
                <w:sz w:val="21"/>
              </w:rPr>
            </w:pPr>
            <w:r>
              <w:rPr>
                <w:rFonts w:hint="eastAsia" w:hAnsi="仿宋"/>
                <w:spacing w:val="6"/>
                <w:sz w:val="21"/>
              </w:rPr>
              <w:t>30.00</w:t>
            </w:r>
          </w:p>
        </w:tc>
        <w:tc>
          <w:tcPr>
            <w:tcW w:w="1119" w:type="pct"/>
            <w:vAlign w:val="center"/>
          </w:tcPr>
          <w:p>
            <w:pPr>
              <w:snapToGrid w:val="0"/>
              <w:jc w:val="center"/>
              <w:rPr>
                <w:rFonts w:hAnsi="仿宋"/>
                <w:spacing w:val="6"/>
                <w:sz w:val="21"/>
              </w:rPr>
            </w:pPr>
            <w:r>
              <w:rPr>
                <w:rFonts w:hint="eastAsia" w:hAnsi="仿宋"/>
                <w:spacing w:val="6"/>
                <w:sz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61" w:hRule="atLeast"/>
          <w:tblHeader/>
          <w:jc w:val="center"/>
        </w:trPr>
        <w:tc>
          <w:tcPr>
            <w:tcW w:w="1321" w:type="pct"/>
            <w:vAlign w:val="center"/>
          </w:tcPr>
          <w:p>
            <w:pPr>
              <w:snapToGrid w:val="0"/>
              <w:jc w:val="center"/>
              <w:rPr>
                <w:rFonts w:hAnsi="仿宋"/>
                <w:b/>
                <w:bCs/>
                <w:spacing w:val="6"/>
                <w:sz w:val="21"/>
              </w:rPr>
            </w:pPr>
            <w:r>
              <w:rPr>
                <w:rFonts w:hAnsi="仿宋"/>
                <w:b/>
                <w:bCs/>
                <w:spacing w:val="6"/>
                <w:sz w:val="21"/>
              </w:rPr>
              <w:t>合计</w:t>
            </w:r>
          </w:p>
        </w:tc>
        <w:tc>
          <w:tcPr>
            <w:tcW w:w="1319" w:type="pct"/>
            <w:vAlign w:val="center"/>
          </w:tcPr>
          <w:p>
            <w:pPr>
              <w:snapToGrid w:val="0"/>
              <w:jc w:val="center"/>
              <w:rPr>
                <w:rFonts w:hAnsi="仿宋"/>
                <w:b/>
                <w:bCs/>
                <w:spacing w:val="6"/>
                <w:sz w:val="21"/>
              </w:rPr>
            </w:pPr>
            <w:r>
              <w:rPr>
                <w:rFonts w:hint="eastAsia" w:hAnsi="仿宋"/>
                <w:b/>
                <w:bCs/>
                <w:spacing w:val="6"/>
                <w:sz w:val="21"/>
              </w:rPr>
              <w:t>1</w:t>
            </w:r>
            <w:r>
              <w:rPr>
                <w:rFonts w:hAnsi="仿宋"/>
                <w:b/>
                <w:bCs/>
                <w:spacing w:val="6"/>
                <w:sz w:val="21"/>
              </w:rPr>
              <w:t>00.00</w:t>
            </w:r>
          </w:p>
        </w:tc>
        <w:tc>
          <w:tcPr>
            <w:tcW w:w="1239" w:type="pct"/>
            <w:vAlign w:val="center"/>
          </w:tcPr>
          <w:p>
            <w:pPr>
              <w:snapToGrid w:val="0"/>
              <w:jc w:val="center"/>
              <w:rPr>
                <w:rFonts w:hAnsi="仿宋"/>
                <w:b/>
                <w:bCs/>
                <w:spacing w:val="6"/>
                <w:sz w:val="21"/>
              </w:rPr>
            </w:pPr>
            <w:r>
              <w:rPr>
                <w:rFonts w:hint="eastAsia" w:hAnsi="仿宋"/>
                <w:b/>
                <w:bCs/>
                <w:spacing w:val="6"/>
                <w:sz w:val="21"/>
              </w:rPr>
              <w:t>96,65</w:t>
            </w:r>
          </w:p>
        </w:tc>
        <w:tc>
          <w:tcPr>
            <w:tcW w:w="1119" w:type="pct"/>
            <w:vAlign w:val="center"/>
          </w:tcPr>
          <w:p>
            <w:pPr>
              <w:snapToGrid w:val="0"/>
              <w:jc w:val="center"/>
              <w:rPr>
                <w:rFonts w:hAnsi="仿宋"/>
                <w:b/>
                <w:bCs/>
                <w:spacing w:val="6"/>
                <w:sz w:val="21"/>
              </w:rPr>
            </w:pPr>
            <w:r>
              <w:rPr>
                <w:rFonts w:hint="eastAsia" w:hAnsi="仿宋"/>
                <w:b/>
                <w:bCs/>
                <w:spacing w:val="6"/>
                <w:sz w:val="21"/>
              </w:rPr>
              <w:t>96.65%</w:t>
            </w:r>
          </w:p>
        </w:tc>
      </w:tr>
      <w:bookmarkEnd w:id="58"/>
    </w:tbl>
    <w:p>
      <w:pPr>
        <w:spacing w:line="590" w:lineRule="exact"/>
        <w:ind w:firstLine="624" w:firstLineChars="200"/>
        <w:rPr>
          <w:rFonts w:hAnsi="仿宋"/>
          <w:spacing w:val="6"/>
          <w:szCs w:val="30"/>
        </w:rPr>
      </w:pPr>
      <w:bookmarkStart w:id="59" w:name="_Toc536428368"/>
      <w:r>
        <w:rPr>
          <w:rFonts w:hint="eastAsia" w:hAnsi="仿宋"/>
          <w:spacing w:val="6"/>
          <w:szCs w:val="30"/>
        </w:rPr>
        <w:t>综合评价结论：西翥街道办事处应急处置中心工作经费项目已实施完成，具有一定实施效果。</w:t>
      </w:r>
    </w:p>
    <w:p>
      <w:pPr>
        <w:spacing w:line="590" w:lineRule="exact"/>
        <w:ind w:firstLine="624" w:firstLineChars="200"/>
        <w:rPr>
          <w:rFonts w:hAnsi="仿宋" w:cs="仿宋"/>
          <w:spacing w:val="6"/>
          <w:szCs w:val="30"/>
        </w:rPr>
      </w:pPr>
      <w:r>
        <w:rPr>
          <w:rFonts w:hAnsi="仿宋" w:cs="仿宋"/>
          <w:spacing w:val="6"/>
          <w:szCs w:val="30"/>
        </w:rPr>
        <w:t>1.</w:t>
      </w:r>
      <w:r>
        <w:rPr>
          <w:rFonts w:hint="eastAsia" w:hAnsi="仿宋" w:cs="仿宋"/>
          <w:spacing w:val="6"/>
          <w:szCs w:val="30"/>
        </w:rPr>
        <w:t>决策部分结论</w:t>
      </w:r>
    </w:p>
    <w:p>
      <w:pPr>
        <w:spacing w:line="590" w:lineRule="exact"/>
        <w:ind w:firstLine="624" w:firstLineChars="200"/>
        <w:rPr>
          <w:rFonts w:hAnsi="仿宋"/>
          <w:spacing w:val="6"/>
          <w:szCs w:val="30"/>
        </w:rPr>
      </w:pPr>
      <w:r>
        <w:rPr>
          <w:rFonts w:hint="eastAsia" w:hAnsi="仿宋"/>
          <w:spacing w:val="6"/>
          <w:szCs w:val="30"/>
        </w:rPr>
        <w:t>项目立项依据充分，符合国家法律法规、行业发展规划和政策要求，属于公共财政支持范围。预算申报事前通过了单位的集体决策，执行了财政一体化平台项目申报流程相关要求，立项程序规范。项目预算编制了实施方案，</w:t>
      </w:r>
      <w:r>
        <w:rPr>
          <w:rFonts w:hint="eastAsia" w:hAnsi="仿宋"/>
          <w:spacing w:val="6"/>
          <w:szCs w:val="30"/>
          <w:lang w:eastAsia="zh-Hans"/>
        </w:rPr>
        <w:t>预算确定的资金数额与项目实际开展内容相符</w:t>
      </w:r>
      <w:r>
        <w:rPr>
          <w:rFonts w:hint="eastAsia" w:hAnsi="仿宋"/>
          <w:spacing w:val="6"/>
          <w:szCs w:val="30"/>
        </w:rPr>
        <w:t>。</w:t>
      </w:r>
    </w:p>
    <w:p>
      <w:pPr>
        <w:spacing w:line="590" w:lineRule="exact"/>
        <w:ind w:firstLine="624" w:firstLineChars="200"/>
        <w:rPr>
          <w:rFonts w:hAnsi="仿宋" w:cs="仿宋"/>
          <w:spacing w:val="6"/>
          <w:szCs w:val="30"/>
        </w:rPr>
      </w:pPr>
      <w:r>
        <w:rPr>
          <w:rFonts w:hAnsi="仿宋" w:cs="仿宋"/>
          <w:spacing w:val="6"/>
          <w:szCs w:val="30"/>
        </w:rPr>
        <w:t>2.</w:t>
      </w:r>
      <w:r>
        <w:rPr>
          <w:rFonts w:hint="eastAsia" w:hAnsi="仿宋" w:cs="仿宋"/>
          <w:spacing w:val="6"/>
          <w:szCs w:val="30"/>
        </w:rPr>
        <w:t>过程部分结论</w:t>
      </w:r>
    </w:p>
    <w:p>
      <w:pPr>
        <w:spacing w:line="590" w:lineRule="exact"/>
        <w:ind w:firstLine="624" w:firstLineChars="200"/>
        <w:rPr>
          <w:rFonts w:hAnsi="仿宋" w:cs="仿宋"/>
          <w:spacing w:val="6"/>
          <w:szCs w:val="30"/>
        </w:rPr>
      </w:pPr>
      <w:r>
        <w:rPr>
          <w:rFonts w:hint="eastAsia" w:hAnsi="仿宋" w:cs="仿宋"/>
          <w:spacing w:val="6"/>
          <w:szCs w:val="30"/>
        </w:rPr>
        <w:t>项目会计核算符合会计基础工作规范，采购资金使用管理、报销审批流程合规，预算执行率达100%。单</w:t>
      </w:r>
      <w:r>
        <w:rPr>
          <w:rFonts w:hint="eastAsia" w:hAnsi="仿宋"/>
          <w:spacing w:val="6"/>
          <w:szCs w:val="30"/>
        </w:rPr>
        <w:t>位制定了专项资金管理制度、</w:t>
      </w:r>
      <w:r>
        <w:rPr>
          <w:rFonts w:hint="eastAsia" w:hAnsi="仿宋" w:cs="仿宋"/>
          <w:spacing w:val="6"/>
          <w:szCs w:val="30"/>
        </w:rPr>
        <w:t>财务</w:t>
      </w:r>
      <w:r>
        <w:rPr>
          <w:rFonts w:hint="eastAsia" w:hAnsi="仿宋"/>
          <w:spacing w:val="6"/>
          <w:szCs w:val="30"/>
        </w:rPr>
        <w:t>管理制度、预算管理等制度，制度内容基本完善</w:t>
      </w:r>
      <w:r>
        <w:rPr>
          <w:rFonts w:hint="eastAsia" w:hAnsi="仿宋" w:cs="仿宋"/>
          <w:spacing w:val="6"/>
          <w:szCs w:val="30"/>
        </w:rPr>
        <w:t>能保障项目资金的安全、有效、合规使用。但存在资金到位率较低的情况。</w:t>
      </w:r>
    </w:p>
    <w:p>
      <w:pPr>
        <w:spacing w:line="590" w:lineRule="exact"/>
        <w:ind w:firstLine="624" w:firstLineChars="200"/>
        <w:rPr>
          <w:rFonts w:hAnsi="仿宋" w:cs="仿宋"/>
          <w:spacing w:val="6"/>
          <w:szCs w:val="30"/>
        </w:rPr>
      </w:pPr>
      <w:r>
        <w:rPr>
          <w:rFonts w:hAnsi="仿宋" w:cs="仿宋"/>
          <w:spacing w:val="6"/>
          <w:szCs w:val="30"/>
        </w:rPr>
        <w:t>3.产出部分结论</w:t>
      </w:r>
    </w:p>
    <w:p>
      <w:pPr>
        <w:pStyle w:val="25"/>
        <w:spacing w:line="590" w:lineRule="exact"/>
        <w:ind w:firstLine="624" w:firstLineChars="200"/>
        <w:rPr>
          <w:rFonts w:hint="default" w:ascii="仿宋" w:hAnsi="仿宋" w:eastAsia="仿宋" w:cs="仿宋"/>
          <w:color w:val="auto"/>
          <w:spacing w:val="6"/>
          <w:kern w:val="30"/>
          <w:sz w:val="30"/>
          <w:szCs w:val="30"/>
        </w:rPr>
      </w:pPr>
      <w:r>
        <w:rPr>
          <w:rFonts w:ascii="仿宋" w:hAnsi="仿宋" w:eastAsia="仿宋" w:cs="仿宋"/>
          <w:color w:val="auto"/>
          <w:spacing w:val="6"/>
          <w:kern w:val="30"/>
          <w:sz w:val="30"/>
          <w:szCs w:val="30"/>
        </w:rPr>
        <w:t>项目在2023年度完成了消防应急物资采买、对讲机续费及应急队保险购买，开展“安全生产和安全生产月宣传活动”，组织消防培训，到学校、医院开展消防演练。</w:t>
      </w:r>
    </w:p>
    <w:p>
      <w:pPr>
        <w:spacing w:line="590" w:lineRule="exact"/>
        <w:ind w:firstLine="624" w:firstLineChars="200"/>
        <w:rPr>
          <w:rFonts w:hAnsi="仿宋" w:cs="仿宋"/>
          <w:spacing w:val="6"/>
          <w:szCs w:val="30"/>
        </w:rPr>
      </w:pPr>
      <w:r>
        <w:rPr>
          <w:rFonts w:hAnsi="仿宋" w:cs="仿宋"/>
          <w:spacing w:val="6"/>
          <w:szCs w:val="30"/>
        </w:rPr>
        <w:t>4.效益部分结论</w:t>
      </w:r>
    </w:p>
    <w:p>
      <w:pPr>
        <w:pStyle w:val="25"/>
        <w:spacing w:line="590" w:lineRule="exact"/>
        <w:ind w:firstLine="624" w:firstLineChars="200"/>
        <w:rPr>
          <w:rFonts w:hint="default" w:ascii="仿宋" w:hAnsi="仿宋" w:eastAsia="仿宋" w:cs="仿宋"/>
          <w:color w:val="auto"/>
          <w:spacing w:val="6"/>
          <w:kern w:val="30"/>
          <w:sz w:val="30"/>
          <w:szCs w:val="30"/>
          <w:lang w:eastAsia="zh-Hans"/>
        </w:rPr>
      </w:pPr>
      <w:r>
        <w:rPr>
          <w:rFonts w:ascii="仿宋" w:hAnsi="仿宋" w:eastAsia="仿宋" w:cs="仿宋"/>
          <w:color w:val="auto"/>
          <w:spacing w:val="6"/>
          <w:kern w:val="30"/>
          <w:sz w:val="30"/>
          <w:szCs w:val="30"/>
        </w:rPr>
        <w:t>通过项目实施，有效防范辖区安全生产风险，确保辖区内火灾形势持续稳定，确保辖区内森林资源安全和林区稳定，增强社区内公民消防安全意识，结合年度内未收到辖区群众投诉来看，辖区群众满意度较高。</w:t>
      </w:r>
    </w:p>
    <w:p>
      <w:pPr>
        <w:spacing w:line="590" w:lineRule="exact"/>
        <w:ind w:firstLine="624" w:firstLineChars="200"/>
        <w:outlineLvl w:val="1"/>
        <w:rPr>
          <w:rFonts w:ascii="楷体" w:hAnsi="楷体" w:eastAsia="楷体"/>
          <w:bCs/>
          <w:spacing w:val="6"/>
          <w:szCs w:val="30"/>
        </w:rPr>
      </w:pPr>
      <w:bookmarkStart w:id="60" w:name="_Toc29463"/>
      <w:bookmarkStart w:id="61" w:name="_Toc7553"/>
      <w:bookmarkStart w:id="62" w:name="_Toc699"/>
      <w:r>
        <w:rPr>
          <w:rFonts w:hint="eastAsia" w:ascii="楷体" w:hAnsi="楷体" w:eastAsia="楷体"/>
          <w:bCs/>
          <w:spacing w:val="6"/>
          <w:szCs w:val="30"/>
        </w:rPr>
        <w:t>（二）绩效目标实现情况</w:t>
      </w:r>
      <w:bookmarkEnd w:id="59"/>
      <w:bookmarkEnd w:id="60"/>
      <w:bookmarkEnd w:id="61"/>
      <w:bookmarkEnd w:id="62"/>
    </w:p>
    <w:p>
      <w:pPr>
        <w:spacing w:line="590" w:lineRule="exact"/>
        <w:ind w:firstLine="624" w:firstLineChars="200"/>
        <w:rPr>
          <w:rFonts w:hAnsi="仿宋"/>
          <w:spacing w:val="6"/>
          <w:szCs w:val="30"/>
        </w:rPr>
      </w:pPr>
      <w:bookmarkStart w:id="63" w:name="_Toc48228516"/>
      <w:bookmarkStart w:id="64" w:name="_Toc7426"/>
      <w:bookmarkStart w:id="65" w:name="_Toc48228602"/>
      <w:bookmarkStart w:id="66" w:name="_Hlk525314457"/>
      <w:r>
        <w:rPr>
          <w:rFonts w:hint="eastAsia" w:hAnsi="仿宋"/>
          <w:spacing w:val="6"/>
          <w:szCs w:val="30"/>
        </w:rPr>
        <w:t>根据评价情况，西翥街道办事处应急处置中心工作经费项目支出绩效目标实现情况较好，产出和效益共17项具体绩效指标，17项均实现预期目标。</w:t>
      </w:r>
      <w:bookmarkEnd w:id="63"/>
      <w:bookmarkEnd w:id="64"/>
      <w:bookmarkEnd w:id="65"/>
    </w:p>
    <w:bookmarkEnd w:id="66"/>
    <w:p>
      <w:pPr>
        <w:spacing w:line="590" w:lineRule="exact"/>
        <w:ind w:firstLine="624" w:firstLineChars="200"/>
        <w:outlineLvl w:val="0"/>
        <w:rPr>
          <w:rFonts w:ascii="黑体" w:hAnsi="宋体" w:eastAsia="黑体" w:cs="宋体"/>
          <w:spacing w:val="6"/>
          <w:szCs w:val="30"/>
        </w:rPr>
      </w:pPr>
      <w:bookmarkStart w:id="67" w:name="_Toc6455"/>
      <w:bookmarkStart w:id="68" w:name="_Toc7378"/>
      <w:bookmarkStart w:id="69" w:name="_Toc536428369"/>
      <w:bookmarkStart w:id="70" w:name="_Toc19135"/>
      <w:r>
        <w:rPr>
          <w:rFonts w:hint="eastAsia" w:ascii="黑体" w:hAnsi="宋体" w:eastAsia="黑体" w:cs="宋体"/>
          <w:spacing w:val="6"/>
          <w:szCs w:val="30"/>
        </w:rPr>
        <w:t>五、绩效评价情况分析</w:t>
      </w:r>
      <w:bookmarkEnd w:id="67"/>
      <w:bookmarkEnd w:id="68"/>
      <w:bookmarkEnd w:id="69"/>
      <w:bookmarkEnd w:id="70"/>
    </w:p>
    <w:p>
      <w:pPr>
        <w:spacing w:line="590" w:lineRule="exact"/>
        <w:ind w:firstLine="624" w:firstLineChars="200"/>
        <w:outlineLvl w:val="1"/>
        <w:rPr>
          <w:rFonts w:ascii="楷体" w:hAnsi="楷体" w:eastAsia="楷体"/>
          <w:bCs/>
          <w:spacing w:val="6"/>
          <w:szCs w:val="30"/>
        </w:rPr>
      </w:pPr>
      <w:bookmarkStart w:id="71" w:name="_Toc5153"/>
      <w:bookmarkStart w:id="72" w:name="_Toc1652"/>
      <w:bookmarkStart w:id="73" w:name="_Toc536428370"/>
      <w:bookmarkStart w:id="74" w:name="_Toc21863"/>
      <w:r>
        <w:rPr>
          <w:rFonts w:hint="eastAsia" w:ascii="楷体" w:hAnsi="楷体" w:eastAsia="楷体"/>
          <w:bCs/>
          <w:spacing w:val="6"/>
          <w:szCs w:val="30"/>
        </w:rPr>
        <w:t>（一）决策情况分析</w:t>
      </w:r>
      <w:bookmarkEnd w:id="71"/>
      <w:bookmarkEnd w:id="72"/>
      <w:bookmarkEnd w:id="73"/>
      <w:bookmarkEnd w:id="74"/>
    </w:p>
    <w:p>
      <w:pPr>
        <w:spacing w:line="590" w:lineRule="exact"/>
        <w:ind w:firstLine="624" w:firstLineChars="200"/>
        <w:rPr>
          <w:rFonts w:hAnsi="仿宋"/>
          <w:spacing w:val="6"/>
          <w:szCs w:val="30"/>
        </w:rPr>
      </w:pPr>
      <w:r>
        <w:rPr>
          <w:rFonts w:hint="eastAsia" w:hAnsi="仿宋"/>
          <w:spacing w:val="6"/>
          <w:szCs w:val="30"/>
        </w:rPr>
        <w:t>项目决策包括项目立项、绩效目标和资金投入三方面，该项满分20.00分，综合评价得分为20分，得分率100%。具体分析情况如下：</w:t>
      </w:r>
    </w:p>
    <w:p>
      <w:pPr>
        <w:spacing w:line="590" w:lineRule="exact"/>
        <w:ind w:firstLine="624" w:firstLineChars="200"/>
        <w:rPr>
          <w:rFonts w:hAnsi="仿宋" w:cs="仿宋"/>
          <w:spacing w:val="6"/>
          <w:szCs w:val="30"/>
        </w:rPr>
      </w:pPr>
      <w:r>
        <w:rPr>
          <w:rFonts w:hint="eastAsia" w:hAnsi="仿宋" w:cs="仿宋"/>
          <w:spacing w:val="6"/>
          <w:szCs w:val="30"/>
        </w:rPr>
        <w:t>1．项目立项</w:t>
      </w:r>
    </w:p>
    <w:p>
      <w:pPr>
        <w:spacing w:line="590" w:lineRule="exact"/>
        <w:ind w:firstLine="624" w:firstLineChars="200"/>
        <w:rPr>
          <w:rFonts w:hAnsi="仿宋"/>
          <w:spacing w:val="6"/>
          <w:szCs w:val="30"/>
        </w:rPr>
      </w:pPr>
      <w:r>
        <w:rPr>
          <w:rFonts w:hint="eastAsia" w:hAnsi="仿宋"/>
          <w:spacing w:val="6"/>
          <w:szCs w:val="30"/>
        </w:rPr>
        <w:t>项目按照规定的程序申请设立，项目立项依据文件、材料充分，</w:t>
      </w:r>
      <w:r>
        <w:rPr>
          <w:rFonts w:hint="eastAsia" w:hAnsi="仿宋"/>
          <w:spacing w:val="6"/>
        </w:rPr>
        <w:t>符合国家法律法规和相关政策的通知，与部门职责密切相关</w:t>
      </w:r>
      <w:r>
        <w:rPr>
          <w:rFonts w:hint="eastAsia" w:hAnsi="仿宋"/>
          <w:spacing w:val="6"/>
          <w:szCs w:val="30"/>
        </w:rPr>
        <w:t>。</w:t>
      </w:r>
    </w:p>
    <w:p>
      <w:pPr>
        <w:spacing w:line="590" w:lineRule="exact"/>
        <w:ind w:firstLine="624" w:firstLineChars="200"/>
        <w:rPr>
          <w:rFonts w:hAnsi="仿宋" w:cs="仿宋"/>
          <w:spacing w:val="6"/>
          <w:szCs w:val="30"/>
        </w:rPr>
      </w:pPr>
      <w:r>
        <w:rPr>
          <w:rFonts w:hint="eastAsia" w:hAnsi="仿宋" w:cs="仿宋"/>
          <w:spacing w:val="6"/>
          <w:szCs w:val="30"/>
        </w:rPr>
        <w:t>2．绩效目标</w:t>
      </w:r>
    </w:p>
    <w:p>
      <w:pPr>
        <w:spacing w:line="590" w:lineRule="exact"/>
        <w:ind w:firstLine="624" w:firstLineChars="200"/>
        <w:rPr>
          <w:rFonts w:hAnsi="仿宋"/>
          <w:spacing w:val="6"/>
          <w:szCs w:val="30"/>
        </w:rPr>
      </w:pPr>
      <w:bookmarkStart w:id="75" w:name="_Toc536428371"/>
      <w:r>
        <w:rPr>
          <w:rFonts w:hint="eastAsia" w:hAnsi="仿宋"/>
          <w:spacing w:val="6"/>
          <w:szCs w:val="30"/>
        </w:rPr>
        <w:t>项目的绩效目标设置合理，部分指标设置全面，基本反映了项目具体实施内容、预期产出数量和效益，并通过了财政年初预算绩效目标审核。</w:t>
      </w:r>
    </w:p>
    <w:p>
      <w:pPr>
        <w:spacing w:line="590" w:lineRule="exact"/>
        <w:ind w:firstLine="624" w:firstLineChars="200"/>
        <w:rPr>
          <w:rFonts w:hAnsi="仿宋" w:cs="仿宋"/>
          <w:spacing w:val="6"/>
          <w:szCs w:val="30"/>
        </w:rPr>
      </w:pPr>
      <w:r>
        <w:rPr>
          <w:rFonts w:hint="eastAsia" w:hAnsi="仿宋" w:cs="仿宋"/>
          <w:spacing w:val="6"/>
          <w:szCs w:val="30"/>
        </w:rPr>
        <w:t>3．资金投入</w:t>
      </w:r>
    </w:p>
    <w:p>
      <w:pPr>
        <w:spacing w:line="590" w:lineRule="exact"/>
        <w:ind w:firstLine="624" w:firstLineChars="200"/>
        <w:rPr>
          <w:rFonts w:hAnsi="仿宋"/>
          <w:spacing w:val="6"/>
          <w:szCs w:val="30"/>
        </w:rPr>
      </w:pPr>
      <w:r>
        <w:rPr>
          <w:rFonts w:hint="eastAsia" w:hAnsi="仿宋"/>
          <w:spacing w:val="6"/>
          <w:szCs w:val="30"/>
        </w:rPr>
        <w:t>预算编制经过科学论证，预算内容与项目内容匹配，编制了项目测算表，预算额度测算依据充分，预算确定的项目资金量与工作任务相匹配。</w:t>
      </w:r>
    </w:p>
    <w:p>
      <w:pPr>
        <w:spacing w:line="590" w:lineRule="exact"/>
        <w:ind w:firstLine="624" w:firstLineChars="200"/>
        <w:outlineLvl w:val="1"/>
        <w:rPr>
          <w:rFonts w:ascii="楷体" w:hAnsi="楷体" w:eastAsia="楷体"/>
          <w:bCs/>
          <w:spacing w:val="6"/>
          <w:szCs w:val="30"/>
        </w:rPr>
      </w:pPr>
      <w:bookmarkStart w:id="76" w:name="_Toc17314"/>
      <w:bookmarkStart w:id="77" w:name="_Toc29472"/>
      <w:bookmarkStart w:id="78" w:name="_Toc28027"/>
      <w:r>
        <w:rPr>
          <w:rFonts w:hint="eastAsia" w:ascii="楷体" w:hAnsi="楷体" w:eastAsia="楷体"/>
          <w:bCs/>
          <w:spacing w:val="6"/>
          <w:szCs w:val="30"/>
        </w:rPr>
        <w:t>（二）过程情况分析</w:t>
      </w:r>
      <w:bookmarkEnd w:id="75"/>
      <w:bookmarkEnd w:id="76"/>
      <w:bookmarkEnd w:id="77"/>
      <w:bookmarkEnd w:id="78"/>
    </w:p>
    <w:p>
      <w:pPr>
        <w:spacing w:line="590" w:lineRule="exact"/>
        <w:ind w:firstLine="624" w:firstLineChars="200"/>
        <w:rPr>
          <w:rFonts w:asciiTheme="minorEastAsia" w:hAnsiTheme="minorEastAsia" w:eastAsiaTheme="minorEastAsia" w:cstheme="minorEastAsia"/>
          <w:spacing w:val="6"/>
          <w:sz w:val="28"/>
          <w:szCs w:val="28"/>
        </w:rPr>
      </w:pPr>
      <w:r>
        <w:rPr>
          <w:rFonts w:hint="eastAsia" w:hAnsi="仿宋"/>
          <w:spacing w:val="6"/>
          <w:szCs w:val="30"/>
        </w:rPr>
        <w:t>项目过程包括资金管理和组织实施两方面，该项满分20.00分，综合评价得分为16.65分，得分率83.25%。具体分析情况如下：</w:t>
      </w:r>
    </w:p>
    <w:p>
      <w:pPr>
        <w:spacing w:line="590" w:lineRule="exact"/>
        <w:ind w:firstLine="624" w:firstLineChars="200"/>
        <w:rPr>
          <w:rFonts w:hAnsi="仿宋" w:cs="仿宋"/>
          <w:spacing w:val="6"/>
          <w:szCs w:val="30"/>
        </w:rPr>
      </w:pPr>
      <w:r>
        <w:rPr>
          <w:rFonts w:hint="eastAsia" w:hAnsi="仿宋" w:cs="仿宋"/>
          <w:spacing w:val="6"/>
          <w:szCs w:val="30"/>
        </w:rPr>
        <w:t>1．资金管理</w:t>
      </w:r>
    </w:p>
    <w:p>
      <w:pPr>
        <w:spacing w:line="590" w:lineRule="exact"/>
        <w:ind w:firstLine="624" w:firstLineChars="200"/>
        <w:rPr>
          <w:rFonts w:hAnsi="仿宋"/>
          <w:spacing w:val="6"/>
          <w:szCs w:val="30"/>
        </w:rPr>
      </w:pPr>
      <w:r>
        <w:rPr>
          <w:rFonts w:hint="eastAsia" w:hAnsi="仿宋"/>
          <w:spacing w:val="6"/>
          <w:szCs w:val="30"/>
        </w:rPr>
        <w:t>2023年项目资金预算执行率为100%。项目实施过程中主要按照《西翥街道财务管理制度》《</w:t>
      </w:r>
      <w:r>
        <w:rPr>
          <w:rFonts w:hint="eastAsia" w:hAnsi="仿宋" w:cs="仿宋"/>
          <w:spacing w:val="6"/>
          <w:szCs w:val="30"/>
        </w:rPr>
        <w:t>西翥街道“三重一大”决策制度</w:t>
      </w:r>
      <w:r>
        <w:rPr>
          <w:rFonts w:hint="eastAsia" w:hAnsi="仿宋"/>
          <w:spacing w:val="6"/>
          <w:szCs w:val="30"/>
        </w:rPr>
        <w:t>》等执行内部审批流程，资金的拨付有完整的审批程序和手续，会计工作符合会计基础工作规范，但资金到位率较低。</w:t>
      </w:r>
    </w:p>
    <w:p>
      <w:pPr>
        <w:spacing w:line="590" w:lineRule="exact"/>
        <w:ind w:firstLine="624" w:firstLineChars="200"/>
        <w:rPr>
          <w:rFonts w:hAnsi="仿宋" w:cs="仿宋"/>
          <w:spacing w:val="6"/>
          <w:szCs w:val="30"/>
        </w:rPr>
      </w:pPr>
      <w:r>
        <w:rPr>
          <w:rFonts w:hint="eastAsia" w:hAnsi="仿宋" w:cs="仿宋"/>
          <w:spacing w:val="6"/>
          <w:szCs w:val="30"/>
        </w:rPr>
        <w:t>2．组织实施</w:t>
      </w:r>
    </w:p>
    <w:p>
      <w:pPr>
        <w:spacing w:line="590" w:lineRule="exact"/>
        <w:ind w:firstLine="624" w:firstLineChars="200"/>
        <w:rPr>
          <w:rFonts w:hAnsi="仿宋"/>
          <w:spacing w:val="6"/>
          <w:szCs w:val="30"/>
        </w:rPr>
      </w:pPr>
      <w:r>
        <w:rPr>
          <w:rFonts w:hint="eastAsia" w:hAnsi="仿宋"/>
          <w:spacing w:val="6"/>
          <w:szCs w:val="30"/>
        </w:rPr>
        <w:t>西翥街道办事处制定了</w:t>
      </w:r>
      <w:r>
        <w:rPr>
          <w:rFonts w:hint="eastAsia" w:hAnsi="仿宋" w:cs="仿宋"/>
          <w:spacing w:val="6"/>
          <w:szCs w:val="30"/>
        </w:rPr>
        <w:t>《西翥街道办事处财务管理制度》《西翥街道预算绩效管理工作制度体系》《西翥街道办事处财政专项资金管理暂行办法》等管理办法，</w:t>
      </w:r>
      <w:r>
        <w:rPr>
          <w:rFonts w:hint="eastAsia" w:hAnsi="仿宋"/>
          <w:spacing w:val="6"/>
          <w:szCs w:val="30"/>
        </w:rPr>
        <w:t>对项目开展有一定指导性。项目开展过程中严格按照财务、采购制度执行，采买装备、物资均完成验收，制度执行效果良好。</w:t>
      </w:r>
    </w:p>
    <w:p>
      <w:pPr>
        <w:spacing w:line="590" w:lineRule="exact"/>
        <w:ind w:firstLine="624" w:firstLineChars="200"/>
        <w:outlineLvl w:val="1"/>
        <w:rPr>
          <w:rFonts w:ascii="楷体" w:hAnsi="楷体" w:eastAsia="楷体"/>
          <w:bCs/>
          <w:spacing w:val="6"/>
          <w:szCs w:val="30"/>
        </w:rPr>
      </w:pPr>
      <w:bookmarkStart w:id="79" w:name="_Toc28556"/>
      <w:bookmarkStart w:id="80" w:name="_Toc23551"/>
      <w:bookmarkStart w:id="81" w:name="_Toc31910"/>
      <w:bookmarkStart w:id="82" w:name="_Toc536428372"/>
      <w:r>
        <w:rPr>
          <w:rFonts w:hint="eastAsia" w:ascii="楷体" w:hAnsi="楷体" w:eastAsia="楷体"/>
          <w:bCs/>
          <w:spacing w:val="6"/>
          <w:szCs w:val="30"/>
        </w:rPr>
        <w:t>（三）产出情况分析</w:t>
      </w:r>
      <w:bookmarkEnd w:id="79"/>
      <w:bookmarkEnd w:id="80"/>
      <w:bookmarkEnd w:id="81"/>
      <w:bookmarkEnd w:id="82"/>
    </w:p>
    <w:p>
      <w:pPr>
        <w:spacing w:line="590" w:lineRule="exact"/>
        <w:ind w:firstLine="624" w:firstLineChars="200"/>
        <w:rPr>
          <w:rFonts w:hAnsi="仿宋"/>
          <w:spacing w:val="6"/>
          <w:szCs w:val="30"/>
        </w:rPr>
      </w:pPr>
      <w:r>
        <w:rPr>
          <w:rFonts w:hint="eastAsia" w:hAnsi="仿宋"/>
          <w:spacing w:val="6"/>
          <w:szCs w:val="30"/>
        </w:rPr>
        <w:t>产出指标满分30.00分，包括项目产出数量、产出质量、产出成本、产出时效4个二级指标。此项综合评价得分为30.00分，得分率100%。具体分析情况如下：</w:t>
      </w:r>
    </w:p>
    <w:p>
      <w:pPr>
        <w:spacing w:line="590" w:lineRule="exact"/>
        <w:ind w:firstLine="624" w:firstLineChars="200"/>
        <w:rPr>
          <w:rFonts w:hAnsi="仿宋" w:cs="仿宋"/>
          <w:spacing w:val="6"/>
          <w:szCs w:val="30"/>
        </w:rPr>
      </w:pPr>
      <w:r>
        <w:rPr>
          <w:rFonts w:hint="eastAsia" w:hAnsi="仿宋" w:cs="仿宋"/>
          <w:spacing w:val="6"/>
          <w:szCs w:val="30"/>
        </w:rPr>
        <w:t>1．产出数量</w:t>
      </w:r>
    </w:p>
    <w:p>
      <w:pPr>
        <w:spacing w:line="590" w:lineRule="exact"/>
        <w:ind w:firstLine="624" w:firstLineChars="200"/>
        <w:rPr>
          <w:rFonts w:hAnsi="仿宋"/>
          <w:spacing w:val="6"/>
          <w:szCs w:val="30"/>
        </w:rPr>
      </w:pPr>
      <w:r>
        <w:rPr>
          <w:rFonts w:hint="eastAsia" w:hAnsi="仿宋"/>
          <w:spacing w:val="6"/>
          <w:szCs w:val="30"/>
        </w:rPr>
        <w:t>（1）完成消防及森林防火宣传材料采购2批；</w:t>
      </w:r>
    </w:p>
    <w:p>
      <w:pPr>
        <w:spacing w:line="590" w:lineRule="exact"/>
        <w:ind w:firstLine="624" w:firstLineChars="200"/>
        <w:rPr>
          <w:rFonts w:hAnsi="仿宋"/>
          <w:spacing w:val="6"/>
          <w:szCs w:val="30"/>
        </w:rPr>
      </w:pPr>
      <w:r>
        <w:rPr>
          <w:rFonts w:hint="eastAsia" w:hAnsi="仿宋"/>
          <w:spacing w:val="6"/>
          <w:szCs w:val="30"/>
        </w:rPr>
        <w:t>（2）完成4批次防火物资采买及112台对讲机续费；</w:t>
      </w:r>
    </w:p>
    <w:p>
      <w:pPr>
        <w:pStyle w:val="2"/>
        <w:ind w:firstLine="624"/>
        <w:rPr>
          <w:rFonts w:hAnsi="仿宋"/>
          <w:spacing w:val="6"/>
          <w:szCs w:val="30"/>
        </w:rPr>
      </w:pPr>
      <w:r>
        <w:rPr>
          <w:rFonts w:hint="eastAsia" w:hAnsi="仿宋"/>
          <w:spacing w:val="6"/>
          <w:szCs w:val="30"/>
        </w:rPr>
        <w:t>（3）开展7次“安全生产和安全生产月宣传活动”包括：西翥街道召开2023年“安全生产月”活动动员会、多部门联合开展安全隐患排查整治行动等；</w:t>
      </w:r>
    </w:p>
    <w:p>
      <w:pPr>
        <w:pStyle w:val="2"/>
        <w:ind w:firstLine="624"/>
        <w:rPr>
          <w:rFonts w:hAnsi="仿宋"/>
          <w:spacing w:val="6"/>
          <w:szCs w:val="30"/>
        </w:rPr>
      </w:pPr>
      <w:r>
        <w:rPr>
          <w:rFonts w:hint="eastAsia" w:hAnsi="仿宋"/>
          <w:spacing w:val="6"/>
          <w:szCs w:val="30"/>
        </w:rPr>
        <w:t>（4）到学校、医院组织开展消防应急疏散演练2次；</w:t>
      </w:r>
    </w:p>
    <w:p>
      <w:pPr>
        <w:pStyle w:val="2"/>
        <w:ind w:firstLine="624"/>
        <w:rPr>
          <w:rFonts w:hAnsi="仿宋"/>
          <w:spacing w:val="6"/>
          <w:szCs w:val="30"/>
        </w:rPr>
      </w:pPr>
      <w:r>
        <w:rPr>
          <w:rFonts w:hint="eastAsia" w:hAnsi="仿宋"/>
          <w:spacing w:val="6"/>
          <w:szCs w:val="30"/>
        </w:rPr>
        <w:t>（5）维修、购买应急物资共2次；</w:t>
      </w:r>
    </w:p>
    <w:p>
      <w:pPr>
        <w:pStyle w:val="2"/>
        <w:ind w:firstLine="624"/>
        <w:rPr>
          <w:rFonts w:hAnsi="仿宋"/>
          <w:spacing w:val="6"/>
          <w:szCs w:val="30"/>
        </w:rPr>
      </w:pPr>
      <w:r>
        <w:rPr>
          <w:rFonts w:hint="eastAsia" w:hAnsi="仿宋"/>
          <w:spacing w:val="6"/>
          <w:szCs w:val="30"/>
        </w:rPr>
        <w:t>（6）及时购买50名应急队员团体外保险；</w:t>
      </w:r>
    </w:p>
    <w:p>
      <w:pPr>
        <w:spacing w:line="590" w:lineRule="exact"/>
        <w:ind w:firstLine="624" w:firstLineChars="200"/>
        <w:rPr>
          <w:rFonts w:hAnsi="仿宋" w:cs="仿宋"/>
          <w:spacing w:val="6"/>
          <w:szCs w:val="30"/>
        </w:rPr>
      </w:pPr>
      <w:r>
        <w:rPr>
          <w:rFonts w:hint="eastAsia" w:hAnsi="仿宋" w:cs="仿宋"/>
          <w:spacing w:val="6"/>
          <w:szCs w:val="30"/>
        </w:rPr>
        <w:t>2．产出质量</w:t>
      </w:r>
    </w:p>
    <w:p>
      <w:pPr>
        <w:spacing w:line="590" w:lineRule="exact"/>
        <w:ind w:firstLine="624" w:firstLineChars="200"/>
        <w:rPr>
          <w:rFonts w:asciiTheme="minorEastAsia" w:hAnsiTheme="minorEastAsia" w:eastAsiaTheme="minorEastAsia" w:cstheme="minorEastAsia"/>
          <w:spacing w:val="6"/>
          <w:sz w:val="28"/>
          <w:szCs w:val="28"/>
        </w:rPr>
      </w:pPr>
      <w:bookmarkStart w:id="83" w:name="_Toc536428373"/>
      <w:r>
        <w:rPr>
          <w:rFonts w:hint="eastAsia" w:hAnsi="仿宋"/>
          <w:spacing w:val="6"/>
          <w:szCs w:val="30"/>
        </w:rPr>
        <w:t>应急处置中心购买宣传物资均进行验收并形成验收单，物资采购合格率100%；委托有资质的安全服务机构提供安全服务技术，并签订合同；组织开展6次安全培训，培训结束以提问方式进行考核；森林消防供电供水100%保障。</w:t>
      </w:r>
    </w:p>
    <w:p>
      <w:pPr>
        <w:spacing w:line="590" w:lineRule="exact"/>
        <w:ind w:firstLine="624" w:firstLineChars="200"/>
        <w:rPr>
          <w:rFonts w:hAnsi="仿宋" w:cs="仿宋"/>
          <w:spacing w:val="6"/>
          <w:szCs w:val="30"/>
        </w:rPr>
      </w:pPr>
      <w:r>
        <w:rPr>
          <w:rFonts w:hint="eastAsia" w:hAnsi="仿宋" w:cs="仿宋"/>
          <w:spacing w:val="6"/>
          <w:szCs w:val="30"/>
        </w:rPr>
        <w:t>3．产出成本</w:t>
      </w:r>
    </w:p>
    <w:p>
      <w:pPr>
        <w:spacing w:line="590" w:lineRule="exact"/>
        <w:ind w:firstLine="624" w:firstLineChars="200"/>
        <w:rPr>
          <w:rFonts w:hAnsi="仿宋"/>
          <w:spacing w:val="6"/>
          <w:szCs w:val="30"/>
        </w:rPr>
      </w:pPr>
      <w:r>
        <w:rPr>
          <w:rFonts w:hint="eastAsia" w:hAnsi="仿宋"/>
          <w:spacing w:val="6"/>
          <w:szCs w:val="30"/>
        </w:rPr>
        <w:t>西翥街道办事处应急处置中心工作经费项目预算金额51.50万元，实际支出8.42万元，成本节约率83.65%，该项目较好地完成了成本控制工作。</w:t>
      </w:r>
    </w:p>
    <w:p>
      <w:pPr>
        <w:spacing w:line="590" w:lineRule="exact"/>
        <w:ind w:firstLine="624" w:firstLineChars="200"/>
        <w:rPr>
          <w:rFonts w:hAnsi="仿宋" w:cs="仿宋"/>
          <w:spacing w:val="6"/>
          <w:szCs w:val="30"/>
        </w:rPr>
      </w:pPr>
      <w:r>
        <w:rPr>
          <w:rFonts w:hint="eastAsia" w:hAnsi="仿宋" w:cs="仿宋"/>
          <w:spacing w:val="6"/>
          <w:szCs w:val="30"/>
        </w:rPr>
        <w:t>4．产出时效</w:t>
      </w:r>
    </w:p>
    <w:p>
      <w:pPr>
        <w:spacing w:line="590" w:lineRule="exact"/>
        <w:ind w:firstLine="624" w:firstLineChars="200"/>
        <w:rPr>
          <w:rFonts w:hAnsi="仿宋" w:cs="仿宋"/>
          <w:spacing w:val="6"/>
          <w:szCs w:val="30"/>
        </w:rPr>
      </w:pPr>
      <w:r>
        <w:rPr>
          <w:rFonts w:hint="eastAsia" w:hAnsi="仿宋"/>
          <w:spacing w:val="6"/>
          <w:szCs w:val="30"/>
        </w:rPr>
        <w:t>项目于2023年年度内完成，项目时效管理到位。</w:t>
      </w:r>
    </w:p>
    <w:p>
      <w:pPr>
        <w:spacing w:line="590" w:lineRule="exact"/>
        <w:ind w:firstLine="624" w:firstLineChars="200"/>
        <w:outlineLvl w:val="1"/>
        <w:rPr>
          <w:rFonts w:ascii="楷体" w:hAnsi="楷体" w:eastAsia="楷体"/>
          <w:bCs/>
          <w:spacing w:val="6"/>
          <w:szCs w:val="30"/>
        </w:rPr>
      </w:pPr>
      <w:bookmarkStart w:id="84" w:name="_Toc10426"/>
      <w:bookmarkStart w:id="85" w:name="_Toc21553"/>
      <w:bookmarkStart w:id="86" w:name="_Toc2640"/>
      <w:r>
        <w:rPr>
          <w:rFonts w:hint="eastAsia" w:ascii="楷体" w:hAnsi="楷体" w:eastAsia="楷体"/>
          <w:bCs/>
          <w:spacing w:val="6"/>
          <w:szCs w:val="30"/>
        </w:rPr>
        <w:t>（四）效益情况分析</w:t>
      </w:r>
      <w:bookmarkEnd w:id="83"/>
      <w:bookmarkEnd w:id="84"/>
      <w:bookmarkEnd w:id="85"/>
      <w:bookmarkEnd w:id="86"/>
    </w:p>
    <w:p>
      <w:pPr>
        <w:spacing w:line="590" w:lineRule="exact"/>
        <w:ind w:firstLine="624" w:firstLineChars="200"/>
        <w:rPr>
          <w:rFonts w:hAnsi="仿宋"/>
          <w:spacing w:val="6"/>
          <w:szCs w:val="30"/>
        </w:rPr>
      </w:pPr>
      <w:r>
        <w:rPr>
          <w:rFonts w:hint="eastAsia" w:hAnsi="仿宋"/>
          <w:spacing w:val="6"/>
          <w:szCs w:val="30"/>
        </w:rPr>
        <w:t>效益情况指标满分30.00分，主要为社会效益。此项综合评价得分30.00分，得分率100%。具体分析情况如下：</w:t>
      </w:r>
    </w:p>
    <w:p>
      <w:pPr>
        <w:spacing w:line="590" w:lineRule="exact"/>
        <w:ind w:firstLine="624" w:firstLineChars="200"/>
        <w:rPr>
          <w:rFonts w:hAnsi="仿宋" w:cs="仿宋"/>
          <w:spacing w:val="6"/>
          <w:szCs w:val="30"/>
        </w:rPr>
      </w:pPr>
      <w:r>
        <w:rPr>
          <w:rFonts w:hint="eastAsia" w:hAnsi="仿宋" w:cs="仿宋"/>
          <w:spacing w:val="6"/>
          <w:szCs w:val="30"/>
        </w:rPr>
        <w:t>1．社会效益</w:t>
      </w:r>
    </w:p>
    <w:p>
      <w:pPr>
        <w:spacing w:line="590" w:lineRule="exact"/>
        <w:ind w:firstLine="624" w:firstLineChars="200"/>
        <w:rPr>
          <w:rFonts w:hAnsi="仿宋"/>
          <w:spacing w:val="6"/>
          <w:szCs w:val="30"/>
        </w:rPr>
      </w:pPr>
      <w:r>
        <w:rPr>
          <w:rFonts w:hint="eastAsia" w:hAnsi="仿宋"/>
          <w:spacing w:val="6"/>
          <w:szCs w:val="30"/>
        </w:rPr>
        <w:t>应急处置中心组织开展“安全生产月”和“安全生产万里行”活动，悬挂宣传标布60余条、发放宣传资料200余份，其余宣传用品300余份、组织学习新《安全生产法》，不断提高安全生产依法行政水平，持续推动街道安全生产工作向好发展；组织开展安全生产专题培训，累计参训300余人次，通过培训，提高安全生产管理及应急处置能力。</w:t>
      </w:r>
    </w:p>
    <w:p>
      <w:pPr>
        <w:spacing w:line="590" w:lineRule="exact"/>
        <w:ind w:firstLine="624" w:firstLineChars="200"/>
        <w:rPr>
          <w:rFonts w:hAnsi="仿宋"/>
          <w:spacing w:val="6"/>
          <w:szCs w:val="30"/>
        </w:rPr>
      </w:pPr>
      <w:r>
        <w:rPr>
          <w:rFonts w:hint="eastAsia" w:hAnsi="仿宋"/>
          <w:spacing w:val="6"/>
          <w:szCs w:val="30"/>
        </w:rPr>
        <w:t>对办事处辖区内中学、小学开展“五个一”森林防火宣传教育活动，在防火期内粘贴、发放防火宣传资料，在林区悬挂警示牌、书写简报、签订责任书，做好入山登记、巡山护林工作，极大地提高了西翥辖区各族人民群众的森林防火意识。</w:t>
      </w:r>
    </w:p>
    <w:p>
      <w:pPr>
        <w:spacing w:line="590" w:lineRule="exact"/>
        <w:ind w:firstLine="624" w:firstLineChars="200"/>
        <w:rPr>
          <w:rFonts w:hAnsi="仿宋"/>
          <w:spacing w:val="6"/>
          <w:szCs w:val="30"/>
        </w:rPr>
      </w:pPr>
      <w:r>
        <w:rPr>
          <w:rFonts w:hint="eastAsia" w:hAnsi="仿宋"/>
          <w:spacing w:val="6"/>
          <w:szCs w:val="30"/>
        </w:rPr>
        <w:t>2023年西翥专职消防队结合街道实际，向辖区群众广泛宣传消防安全知识。街道11个社区117个小组显眼的地方悬挂标语，利用黑板报宣传防火安全知识。通过宣传，大大增强了辖区群众的防火安全意识，使防火安全知识深入千家万户，做到家喻户晓。</w:t>
      </w:r>
    </w:p>
    <w:p>
      <w:pPr>
        <w:spacing w:line="590" w:lineRule="exact"/>
        <w:ind w:firstLine="624" w:firstLineChars="200"/>
        <w:rPr>
          <w:rFonts w:hAnsi="仿宋"/>
          <w:spacing w:val="6"/>
          <w:szCs w:val="30"/>
        </w:rPr>
      </w:pPr>
      <w:r>
        <w:rPr>
          <w:rFonts w:hint="eastAsia" w:hAnsi="仿宋"/>
          <w:spacing w:val="6"/>
          <w:szCs w:val="30"/>
        </w:rPr>
        <w:t>西翥专职消防队到林奇花卉基地、昆明美林彩印包装有限公司、昆鹏耐火材料厂、文物保护单位极乐宫开展消防安全知识培训、演练，提高社区工作人员、企业人员及居民自身的应急安全意识和实战自救处置能力。</w:t>
      </w:r>
    </w:p>
    <w:p>
      <w:pPr>
        <w:spacing w:line="590" w:lineRule="exact"/>
        <w:ind w:firstLine="624" w:firstLineChars="200"/>
        <w:rPr>
          <w:rFonts w:hAnsi="仿宋" w:cs="仿宋"/>
          <w:spacing w:val="6"/>
          <w:szCs w:val="30"/>
        </w:rPr>
      </w:pPr>
      <w:r>
        <w:rPr>
          <w:rFonts w:hint="eastAsia" w:hAnsi="仿宋" w:cs="仿宋"/>
          <w:spacing w:val="6"/>
          <w:szCs w:val="30"/>
        </w:rPr>
        <w:t>2．满意度</w:t>
      </w:r>
    </w:p>
    <w:p>
      <w:pPr>
        <w:spacing w:line="590" w:lineRule="exact"/>
        <w:ind w:firstLine="624" w:firstLineChars="200"/>
        <w:rPr>
          <w:rFonts w:hAnsi="仿宋"/>
          <w:spacing w:val="6"/>
          <w:szCs w:val="30"/>
        </w:rPr>
      </w:pPr>
      <w:r>
        <w:rPr>
          <w:rFonts w:hint="eastAsia" w:hAnsi="仿宋"/>
          <w:spacing w:val="6"/>
          <w:szCs w:val="30"/>
        </w:rPr>
        <w:t>该项目在实施过程中未接到辖区群众投诉，年度内群众满意度100%。</w:t>
      </w:r>
    </w:p>
    <w:p>
      <w:pPr>
        <w:spacing w:line="590" w:lineRule="exact"/>
        <w:ind w:firstLine="624" w:firstLineChars="200"/>
        <w:outlineLvl w:val="0"/>
        <w:rPr>
          <w:rFonts w:ascii="黑体" w:hAnsi="宋体" w:eastAsia="黑体" w:cs="宋体"/>
          <w:spacing w:val="6"/>
          <w:szCs w:val="30"/>
        </w:rPr>
      </w:pPr>
      <w:bookmarkStart w:id="87" w:name="_Toc22525"/>
      <w:bookmarkStart w:id="88" w:name="_Toc8648"/>
      <w:bookmarkStart w:id="89" w:name="_Toc18544"/>
      <w:r>
        <w:rPr>
          <w:rFonts w:hint="eastAsia" w:ascii="黑体" w:hAnsi="宋体" w:eastAsia="黑体" w:cs="宋体"/>
          <w:spacing w:val="6"/>
          <w:szCs w:val="30"/>
        </w:rPr>
        <w:t>六、主要经验及做法</w:t>
      </w:r>
      <w:bookmarkEnd w:id="87"/>
      <w:bookmarkEnd w:id="88"/>
      <w:bookmarkEnd w:id="89"/>
    </w:p>
    <w:p>
      <w:pPr>
        <w:spacing w:line="590" w:lineRule="exact"/>
        <w:ind w:firstLine="624" w:firstLineChars="200"/>
        <w:rPr>
          <w:rFonts w:hAnsi="仿宋"/>
          <w:spacing w:val="6"/>
          <w:szCs w:val="30"/>
        </w:rPr>
      </w:pPr>
      <w:bookmarkStart w:id="90" w:name="_Toc13657"/>
      <w:bookmarkStart w:id="91" w:name="_Toc21093"/>
      <w:bookmarkStart w:id="92" w:name="_Toc536428374"/>
      <w:r>
        <w:rPr>
          <w:rFonts w:hint="eastAsia" w:hAnsi="仿宋"/>
          <w:spacing w:val="6"/>
          <w:szCs w:val="30"/>
        </w:rPr>
        <w:t>无</w:t>
      </w:r>
    </w:p>
    <w:p>
      <w:pPr>
        <w:spacing w:line="590" w:lineRule="exact"/>
        <w:ind w:firstLine="624" w:firstLineChars="200"/>
        <w:outlineLvl w:val="0"/>
        <w:rPr>
          <w:rFonts w:ascii="黑体" w:hAnsi="黑体" w:eastAsia="黑体" w:cs="宋体"/>
          <w:spacing w:val="6"/>
          <w:highlight w:val="yellow"/>
        </w:rPr>
      </w:pPr>
      <w:bookmarkStart w:id="93" w:name="_Toc30417"/>
      <w:r>
        <w:rPr>
          <w:rFonts w:hint="eastAsia" w:ascii="黑体" w:hAnsi="黑体" w:eastAsia="黑体" w:cs="宋体"/>
          <w:spacing w:val="6"/>
        </w:rPr>
        <w:t>七、存在问题</w:t>
      </w:r>
      <w:bookmarkEnd w:id="90"/>
      <w:bookmarkEnd w:id="91"/>
      <w:bookmarkEnd w:id="92"/>
      <w:bookmarkEnd w:id="93"/>
    </w:p>
    <w:p>
      <w:pPr>
        <w:spacing w:line="590" w:lineRule="exact"/>
        <w:ind w:firstLine="624" w:firstLineChars="200"/>
        <w:rPr>
          <w:rFonts w:hAnsi="仿宋" w:cs="仿宋"/>
          <w:spacing w:val="6"/>
          <w:szCs w:val="30"/>
        </w:rPr>
      </w:pPr>
      <w:bookmarkStart w:id="94" w:name="_Hlk525314575"/>
      <w:r>
        <w:rPr>
          <w:rFonts w:hint="eastAsia" w:hAnsi="仿宋"/>
          <w:spacing w:val="6"/>
          <w:szCs w:val="30"/>
        </w:rPr>
        <w:t>西翥街道办事处应急处置中心工作经费项目预算资金51.50万元，实际到位资金8.42万元，项目资金到位率较低。</w:t>
      </w:r>
    </w:p>
    <w:p>
      <w:pPr>
        <w:spacing w:line="590" w:lineRule="exact"/>
        <w:ind w:firstLine="624" w:firstLineChars="200"/>
        <w:outlineLvl w:val="0"/>
        <w:rPr>
          <w:rFonts w:ascii="黑体" w:hAnsi="黑体" w:eastAsia="黑体" w:cs="宋体"/>
          <w:spacing w:val="6"/>
          <w:szCs w:val="30"/>
        </w:rPr>
      </w:pPr>
      <w:bookmarkStart w:id="95" w:name="_Toc23881"/>
      <w:r>
        <w:rPr>
          <w:rFonts w:hint="eastAsia" w:ascii="黑体" w:hAnsi="黑体" w:eastAsia="黑体" w:cs="宋体"/>
          <w:spacing w:val="6"/>
          <w:szCs w:val="30"/>
        </w:rPr>
        <w:t>五、建议</w:t>
      </w:r>
      <w:bookmarkEnd w:id="95"/>
    </w:p>
    <w:p>
      <w:pPr>
        <w:ind w:firstLine="600" w:firstLineChars="200"/>
        <w:rPr>
          <w:rFonts w:hAnsi="仿宋" w:cstheme="minorEastAsia"/>
          <w:spacing w:val="6"/>
          <w:szCs w:val="30"/>
        </w:rPr>
      </w:pPr>
      <w:r>
        <w:rPr>
          <w:rFonts w:hint="eastAsia" w:hAnsi="仿宋" w:cs="仿宋"/>
          <w:szCs w:val="32"/>
        </w:rPr>
        <w:t>对于</w:t>
      </w:r>
      <w:r>
        <w:rPr>
          <w:rFonts w:hint="eastAsia" w:hAnsi="仿宋"/>
          <w:spacing w:val="6"/>
          <w:szCs w:val="30"/>
        </w:rPr>
        <w:t>项目资金到位率较低</w:t>
      </w:r>
      <w:r>
        <w:rPr>
          <w:rFonts w:hint="eastAsia" w:hAnsi="仿宋" w:cs="仿宋"/>
          <w:szCs w:val="32"/>
        </w:rPr>
        <w:t>的情况，我单位相关业务科室会进一步加强项目的前期规划，与各项目关联方进行充分的沟通与协调，</w:t>
      </w:r>
      <w:r>
        <w:rPr>
          <w:rFonts w:hint="eastAsia" w:hAnsi="仿宋" w:cs="仿宋"/>
          <w:b/>
          <w:bCs/>
          <w:szCs w:val="32"/>
        </w:rPr>
        <w:t>一是</w:t>
      </w:r>
      <w:r>
        <w:rPr>
          <w:rFonts w:hint="eastAsia" w:hAnsi="仿宋" w:cs="仿宋"/>
          <w:szCs w:val="32"/>
        </w:rPr>
        <w:t>对年度内存在客观因素造成项目部分工作无法开展的，及时提出预算调整申请，做好财政资金的合理安排；</w:t>
      </w:r>
      <w:r>
        <w:rPr>
          <w:rFonts w:hint="eastAsia" w:hAnsi="仿宋" w:cs="仿宋"/>
          <w:b/>
          <w:bCs/>
          <w:szCs w:val="32"/>
        </w:rPr>
        <w:t>二是</w:t>
      </w:r>
      <w:r>
        <w:rPr>
          <w:rFonts w:hint="eastAsia" w:hAnsi="仿宋" w:cs="仿宋"/>
          <w:szCs w:val="32"/>
        </w:rPr>
        <w:t>我单位应制定详细的资金规划和预算，按上级政府及单位重点工作要求科学合理分配各项开支；</w:t>
      </w:r>
      <w:r>
        <w:rPr>
          <w:rFonts w:hint="eastAsia" w:hAnsi="仿宋" w:cs="仿宋"/>
          <w:b/>
          <w:bCs/>
          <w:szCs w:val="32"/>
        </w:rPr>
        <w:t>三是</w:t>
      </w:r>
      <w:r>
        <w:rPr>
          <w:rFonts w:hint="eastAsia" w:hAnsi="仿宋" w:cs="仿宋"/>
          <w:szCs w:val="32"/>
        </w:rPr>
        <w:t>强化业务科室项目的进度规划工作，细化各项工作的优先级，在有限的资源条件下合理配置资金，有效推进项目任务的开展。</w:t>
      </w:r>
    </w:p>
    <w:p>
      <w:pPr>
        <w:spacing w:line="590" w:lineRule="exact"/>
        <w:ind w:firstLine="624" w:firstLineChars="200"/>
        <w:rPr>
          <w:rFonts w:hAnsi="仿宋"/>
          <w:bCs/>
          <w:spacing w:val="6"/>
          <w:szCs w:val="30"/>
        </w:rPr>
      </w:pPr>
      <w:r>
        <w:rPr>
          <w:rFonts w:hint="eastAsia" w:hAnsi="仿宋"/>
          <w:bCs/>
          <w:spacing w:val="6"/>
          <w:szCs w:val="30"/>
        </w:rPr>
        <w:t>附件：</w:t>
      </w:r>
      <w:bookmarkEnd w:id="94"/>
      <w:bookmarkStart w:id="96" w:name="_Hlk527019547"/>
    </w:p>
    <w:p>
      <w:pPr>
        <w:spacing w:line="590" w:lineRule="exact"/>
        <w:ind w:firstLine="624" w:firstLineChars="200"/>
        <w:rPr>
          <w:rFonts w:hAnsi="仿宋" w:cs="仿宋"/>
          <w:spacing w:val="6"/>
          <w:szCs w:val="30"/>
          <w:lang w:val="zh-TW" w:bidi="zh-TW"/>
        </w:rPr>
      </w:pPr>
      <w:r>
        <w:rPr>
          <w:rFonts w:hint="eastAsia" w:hAnsi="仿宋"/>
          <w:spacing w:val="6"/>
          <w:szCs w:val="30"/>
        </w:rPr>
        <w:t>1、</w:t>
      </w:r>
      <w:r>
        <w:rPr>
          <w:rFonts w:hint="eastAsia" w:hAnsi="仿宋" w:cs="仿宋"/>
          <w:spacing w:val="6"/>
          <w:szCs w:val="30"/>
          <w:lang w:val="zh-TW" w:bidi="zh-TW"/>
        </w:rPr>
        <w:t>五华区区级预算支出部门评价表</w:t>
      </w:r>
    </w:p>
    <w:p>
      <w:pPr>
        <w:spacing w:line="590" w:lineRule="exact"/>
        <w:ind w:firstLine="624" w:firstLineChars="200"/>
        <w:rPr>
          <w:rFonts w:hAnsi="仿宋"/>
          <w:spacing w:val="6"/>
          <w:szCs w:val="30"/>
        </w:rPr>
      </w:pPr>
      <w:r>
        <w:rPr>
          <w:rFonts w:hint="eastAsia" w:hAnsi="仿宋"/>
          <w:spacing w:val="6"/>
          <w:szCs w:val="30"/>
        </w:rPr>
        <w:t>2、</w:t>
      </w:r>
      <w:bookmarkEnd w:id="96"/>
      <w:r>
        <w:rPr>
          <w:rFonts w:hint="eastAsia" w:hAnsi="仿宋"/>
          <w:spacing w:val="6"/>
          <w:szCs w:val="30"/>
        </w:rPr>
        <w:t>绩效评价问题清单</w:t>
      </w:r>
    </w:p>
    <w:sectPr>
      <w:headerReference r:id="rId9" w:type="default"/>
      <w:footerReference r:id="rId11" w:type="default"/>
      <w:headerReference r:id="rId10" w:type="even"/>
      <w:footerReference r:id="rId12" w:type="even"/>
      <w:pgSz w:w="11906" w:h="16838"/>
      <w:pgMar w:top="2098" w:right="1474" w:bottom="1985" w:left="1588" w:header="851" w:footer="1474" w:gutter="0"/>
      <w:pgNumType w:fmt="numberInDash" w:start="1"/>
      <w:cols w:space="425" w:num="1"/>
      <w:docGrid w:type="lines" w:linePitch="579" w:charSpace="32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A76A5A-5587-4280-8B6A-439EEAEC571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2" w:fontKey="{1DC85B47-135F-495D-B541-024C477944FB}"/>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方正小标宋_GBK">
    <w:altName w:val="微软雅黑"/>
    <w:panose1 w:val="00000000000000000000"/>
    <w:charset w:val="86"/>
    <w:family w:val="script"/>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embedRegular r:id="rId3" w:fontKey="{0F3FA711-DE2A-41D5-A6A9-DCC6CF456676}"/>
  </w:font>
  <w:font w:name="楷体">
    <w:panose1 w:val="02010609060101010101"/>
    <w:charset w:val="86"/>
    <w:family w:val="modern"/>
    <w:pitch w:val="default"/>
    <w:sig w:usb0="800002BF" w:usb1="38CF7CFA" w:usb2="00000016" w:usb3="00000000" w:csb0="00040001" w:csb1="00000000"/>
    <w:embedRegular r:id="rId4" w:fontKey="{DCAC4A2F-CD10-4958-8289-C5FF2C650E2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 w:hAnsi="仿宋" w:eastAsia="仿宋"/>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9243782"/>
    </w:sdtPr>
    <w:sdtEndPr>
      <w:rPr>
        <w:rFonts w:ascii="仿宋" w:hAnsi="仿宋" w:eastAsia="仿宋"/>
        <w:sz w:val="28"/>
        <w:szCs w:val="28"/>
      </w:rPr>
    </w:sdtEndPr>
    <w:sdtContent>
      <w:p>
        <w:pPr>
          <w:pStyle w:val="11"/>
          <w:jc w:val="cente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 w:hAnsi="仿宋" w:eastAsia="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771040158"/>
                          </w:sdtPr>
                          <w:sdtEndPr>
                            <w:rPr>
                              <w:rFonts w:ascii="仿宋" w:hAnsi="仿宋" w:eastAsia="仿宋"/>
                              <w:sz w:val="28"/>
                              <w:szCs w:val="28"/>
                            </w:rPr>
                          </w:sdtEndPr>
                          <w:sdtContent>
                            <w:p>
                              <w:pPr>
                                <w:pStyle w:val="11"/>
                                <w:jc w:val="center"/>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PAGE   \* MERGEFORMAT</w:instrText>
                              </w:r>
                              <w:r>
                                <w:rPr>
                                  <w:rFonts w:ascii="仿宋" w:hAnsi="仿宋" w:eastAsia="仿宋"/>
                                  <w:sz w:val="28"/>
                                  <w:szCs w:val="28"/>
                                </w:rPr>
                                <w:fldChar w:fldCharType="separate"/>
                              </w:r>
                              <w:r>
                                <w:rPr>
                                  <w:rFonts w:ascii="仿宋" w:hAnsi="仿宋" w:eastAsia="仿宋"/>
                                  <w:sz w:val="28"/>
                                  <w:szCs w:val="28"/>
                                  <w:lang w:val="zh-CN"/>
                                </w:rPr>
                                <w:t>2</w:t>
                              </w:r>
                              <w:r>
                                <w:rPr>
                                  <w:rFonts w:ascii="仿宋" w:hAnsi="仿宋" w:eastAsia="仿宋"/>
                                  <w:sz w:val="28"/>
                                  <w:szCs w:val="28"/>
                                </w:rPr>
                                <w:fldChar w:fldCharType="end"/>
                              </w:r>
                            </w:p>
                          </w:sdtContent>
                        </w:sdt>
                        <w:p>
                          <w:pPr>
                            <w:pStyle w:val="25"/>
                            <w:rPr>
                              <w:rFonts w:hint="default"/>
                            </w:rPr>
                          </w:pPr>
                        </w:p>
                      </w:txbxContent>
                    </wps:txbx>
                    <wps:bodyPr vert="horz" wrap="none" lIns="0" tIns="0" rIns="0" bIns="0" anchor="t" anchorCtr="0">
                      <a:spAutoFit/>
                    </wps:bodyPr>
                  </wps:wsp>
                </a:graphicData>
              </a:graphic>
            </wp:anchor>
          </w:drawing>
        </mc:Choice>
        <mc:Fallback>
          <w:pict>
            <v:shape id="文本框 12"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mcxKj9IAAAAHAQAADwAAAAAAAAABACAAAAAi&#10;AAAAZHJzL2Rvd25yZXYueG1sUEsBAhQAFAAAAAgAh07iQJs8Di3XAQAAswMAAA4AAAAAAAAAAQAg&#10;AAAAIQEAAGRycy9lMm9Eb2MueG1sUEsFBgAAAAAGAAYAWQEAAGoFAAAAAA==&#10;">
              <v:fill on="f" focussize="0,0"/>
              <v:stroke on="f"/>
              <v:imagedata o:title=""/>
              <o:lock v:ext="edit" aspectratio="f"/>
              <v:textbox inset="0mm,0mm,0mm,0mm" style="mso-fit-shape-to-text:t;">
                <w:txbxContent>
                  <w:sdt>
                    <w:sdtPr>
                      <w:id w:val="1771040158"/>
                    </w:sdtPr>
                    <w:sdtEndPr>
                      <w:rPr>
                        <w:rFonts w:ascii="仿宋" w:hAnsi="仿宋" w:eastAsia="仿宋"/>
                        <w:sz w:val="28"/>
                        <w:szCs w:val="28"/>
                      </w:rPr>
                    </w:sdtEndPr>
                    <w:sdtContent>
                      <w:p>
                        <w:pPr>
                          <w:pStyle w:val="11"/>
                          <w:jc w:val="center"/>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PAGE   \* MERGEFORMAT</w:instrText>
                        </w:r>
                        <w:r>
                          <w:rPr>
                            <w:rFonts w:ascii="仿宋" w:hAnsi="仿宋" w:eastAsia="仿宋"/>
                            <w:sz w:val="28"/>
                            <w:szCs w:val="28"/>
                          </w:rPr>
                          <w:fldChar w:fldCharType="separate"/>
                        </w:r>
                        <w:r>
                          <w:rPr>
                            <w:rFonts w:ascii="仿宋" w:hAnsi="仿宋" w:eastAsia="仿宋"/>
                            <w:sz w:val="28"/>
                            <w:szCs w:val="28"/>
                            <w:lang w:val="zh-CN"/>
                          </w:rPr>
                          <w:t>2</w:t>
                        </w:r>
                        <w:r>
                          <w:rPr>
                            <w:rFonts w:ascii="仿宋" w:hAnsi="仿宋" w:eastAsia="仿宋"/>
                            <w:sz w:val="28"/>
                            <w:szCs w:val="28"/>
                          </w:rPr>
                          <w:fldChar w:fldCharType="end"/>
                        </w:r>
                      </w:p>
                    </w:sdtContent>
                  </w:sdt>
                  <w:p>
                    <w:pPr>
                      <w:pStyle w:val="25"/>
                      <w:rPr>
                        <w:rFonts w:hint="default"/>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posOffset>10795</wp:posOffset>
              </wp:positionH>
              <wp:positionV relativeFrom="paragraph">
                <wp:posOffset>-97155</wp:posOffset>
              </wp:positionV>
              <wp:extent cx="1828800" cy="1828800"/>
              <wp:effectExtent l="0" t="0" r="0" b="0"/>
              <wp:wrapNone/>
              <wp:docPr id="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p>
                      </w:txbxContent>
                    </wps:txbx>
                    <wps:bodyPr vert="horz" wrap="none" lIns="0" tIns="0" rIns="0" bIns="0" anchor="t" anchorCtr="0">
                      <a:spAutoFit/>
                    </wps:bodyPr>
                  </wps:wsp>
                </a:graphicData>
              </a:graphic>
            </wp:anchor>
          </w:drawing>
        </mc:Choice>
        <mc:Fallback>
          <w:pict>
            <v:shape id="文本框 13" o:spid="_x0000_s1026" o:spt="202" type="#_x0000_t202" style="position:absolute;left:0pt;margin-left:0.85pt;margin-top:-7.65pt;height:144pt;width:144pt;mso-position-horizontal-relative:margin;mso-wrap-style:none;z-index:251660288;mso-width-relative:page;mso-height-relative:page;" filled="f" stroked="f" coordsize="21600,21600" o:gfxdata="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YhykbVAAAACQEAAA8A&#10;AAAAAAAAAQAgAAAAIgAAAGRycy9kb3ducmV2LnhtbFBLAQIUABQAAAAIAIdO4kDG5p3B4QEAALwD&#10;AAAOAAAAAAAAAAEAIAAAACQBAABkcnMvZTJvRG9jLnhtbFBLBQYAAAAABgAGAFkBAAB3BQAAAAA=&#10;">
              <v:fill on="f" focussize="0,0"/>
              <v:stroke on="f"/>
              <v:imagedata o:title=""/>
              <o:lock v:ext="edit" aspectratio="f"/>
              <v:textbox inset="0mm,0mm,0mm,0mm" style="mso-fit-shape-to-text:t;">
                <w:txbxContent>
                  <w:p>
                    <w:pPr>
                      <w:pStyle w:val="11"/>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p>
    <w:pPr>
      <w:pStyle w:val="12"/>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removePersonalInformation/>
  <w:embedTrueTypeFonts/>
  <w:saveSubsetFonts/>
  <w:bordersDoNotSurroundHeader w:val="1"/>
  <w:bordersDoNotSurroundFooter w:val="1"/>
  <w:documentProtection w:enforcement="0"/>
  <w:defaultTabStop w:val="420"/>
  <w:drawingGridHorizontalSpacing w:val="158"/>
  <w:drawingGridVerticalSpacing w:val="579"/>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MyMmRmZDkwMmRmZDMxOTcyYjMxOGVlMmUwYTczYjAifQ=="/>
  </w:docVars>
  <w:rsids>
    <w:rsidRoot w:val="00763D8D"/>
    <w:rsid w:val="0000022B"/>
    <w:rsid w:val="000027B8"/>
    <w:rsid w:val="00003457"/>
    <w:rsid w:val="00005399"/>
    <w:rsid w:val="000053D4"/>
    <w:rsid w:val="00005C8D"/>
    <w:rsid w:val="00006936"/>
    <w:rsid w:val="00006D0D"/>
    <w:rsid w:val="000101DC"/>
    <w:rsid w:val="000109E6"/>
    <w:rsid w:val="00011162"/>
    <w:rsid w:val="00011178"/>
    <w:rsid w:val="00011931"/>
    <w:rsid w:val="00012945"/>
    <w:rsid w:val="000131CE"/>
    <w:rsid w:val="00014ABD"/>
    <w:rsid w:val="000163D2"/>
    <w:rsid w:val="00020A21"/>
    <w:rsid w:val="00021B6D"/>
    <w:rsid w:val="00022FFA"/>
    <w:rsid w:val="00023FF0"/>
    <w:rsid w:val="000271E0"/>
    <w:rsid w:val="000302F4"/>
    <w:rsid w:val="00030543"/>
    <w:rsid w:val="00030BA6"/>
    <w:rsid w:val="00032A27"/>
    <w:rsid w:val="00032BAE"/>
    <w:rsid w:val="00032BDE"/>
    <w:rsid w:val="000377E6"/>
    <w:rsid w:val="00037F46"/>
    <w:rsid w:val="0004014B"/>
    <w:rsid w:val="0004026A"/>
    <w:rsid w:val="00043BCE"/>
    <w:rsid w:val="00044C58"/>
    <w:rsid w:val="00044D7D"/>
    <w:rsid w:val="00044EEC"/>
    <w:rsid w:val="00046291"/>
    <w:rsid w:val="00046463"/>
    <w:rsid w:val="000476AB"/>
    <w:rsid w:val="00047E77"/>
    <w:rsid w:val="00050813"/>
    <w:rsid w:val="00051F52"/>
    <w:rsid w:val="00052EC7"/>
    <w:rsid w:val="000539E9"/>
    <w:rsid w:val="000539F0"/>
    <w:rsid w:val="0005544E"/>
    <w:rsid w:val="00055628"/>
    <w:rsid w:val="0005654F"/>
    <w:rsid w:val="000571A9"/>
    <w:rsid w:val="00057D73"/>
    <w:rsid w:val="000618C4"/>
    <w:rsid w:val="00065536"/>
    <w:rsid w:val="00070934"/>
    <w:rsid w:val="000709D5"/>
    <w:rsid w:val="00071381"/>
    <w:rsid w:val="00073112"/>
    <w:rsid w:val="00073C73"/>
    <w:rsid w:val="00073EB6"/>
    <w:rsid w:val="00074C9C"/>
    <w:rsid w:val="00074D8F"/>
    <w:rsid w:val="00075831"/>
    <w:rsid w:val="00075E6F"/>
    <w:rsid w:val="000761D2"/>
    <w:rsid w:val="00077515"/>
    <w:rsid w:val="0008006D"/>
    <w:rsid w:val="000804E8"/>
    <w:rsid w:val="00081121"/>
    <w:rsid w:val="0008270C"/>
    <w:rsid w:val="0008279A"/>
    <w:rsid w:val="00082DC6"/>
    <w:rsid w:val="00082DCF"/>
    <w:rsid w:val="00084994"/>
    <w:rsid w:val="00087B0B"/>
    <w:rsid w:val="00090A92"/>
    <w:rsid w:val="000910C9"/>
    <w:rsid w:val="000913F5"/>
    <w:rsid w:val="000926D7"/>
    <w:rsid w:val="00093656"/>
    <w:rsid w:val="00093EE8"/>
    <w:rsid w:val="00094547"/>
    <w:rsid w:val="00094E2A"/>
    <w:rsid w:val="00095539"/>
    <w:rsid w:val="0009581E"/>
    <w:rsid w:val="00096248"/>
    <w:rsid w:val="000965E5"/>
    <w:rsid w:val="000A0162"/>
    <w:rsid w:val="000A3762"/>
    <w:rsid w:val="000A3ED9"/>
    <w:rsid w:val="000A4076"/>
    <w:rsid w:val="000A4562"/>
    <w:rsid w:val="000A60AC"/>
    <w:rsid w:val="000A7587"/>
    <w:rsid w:val="000B4950"/>
    <w:rsid w:val="000C04DE"/>
    <w:rsid w:val="000C0984"/>
    <w:rsid w:val="000C0C40"/>
    <w:rsid w:val="000C1909"/>
    <w:rsid w:val="000C3CE0"/>
    <w:rsid w:val="000C4DCD"/>
    <w:rsid w:val="000C5033"/>
    <w:rsid w:val="000C7B26"/>
    <w:rsid w:val="000D1455"/>
    <w:rsid w:val="000D1489"/>
    <w:rsid w:val="000D1837"/>
    <w:rsid w:val="000D1F3A"/>
    <w:rsid w:val="000D71DD"/>
    <w:rsid w:val="000D7241"/>
    <w:rsid w:val="000E018A"/>
    <w:rsid w:val="000E15F5"/>
    <w:rsid w:val="000E21D8"/>
    <w:rsid w:val="000E27BF"/>
    <w:rsid w:val="000E6F75"/>
    <w:rsid w:val="000F1534"/>
    <w:rsid w:val="000F3E60"/>
    <w:rsid w:val="000F46ED"/>
    <w:rsid w:val="000F6595"/>
    <w:rsid w:val="000F6C4B"/>
    <w:rsid w:val="000F725D"/>
    <w:rsid w:val="0010379A"/>
    <w:rsid w:val="00104A41"/>
    <w:rsid w:val="00106A8B"/>
    <w:rsid w:val="00106BD7"/>
    <w:rsid w:val="001075E2"/>
    <w:rsid w:val="001114F0"/>
    <w:rsid w:val="001135DF"/>
    <w:rsid w:val="00114580"/>
    <w:rsid w:val="001146BA"/>
    <w:rsid w:val="00114C97"/>
    <w:rsid w:val="0011575C"/>
    <w:rsid w:val="00116445"/>
    <w:rsid w:val="0011649B"/>
    <w:rsid w:val="001172F4"/>
    <w:rsid w:val="00122361"/>
    <w:rsid w:val="00124FFE"/>
    <w:rsid w:val="00125D9C"/>
    <w:rsid w:val="00126BAF"/>
    <w:rsid w:val="00127CE6"/>
    <w:rsid w:val="001308E4"/>
    <w:rsid w:val="001325B8"/>
    <w:rsid w:val="00135285"/>
    <w:rsid w:val="00140778"/>
    <w:rsid w:val="00141F5B"/>
    <w:rsid w:val="00142242"/>
    <w:rsid w:val="001439E1"/>
    <w:rsid w:val="00147392"/>
    <w:rsid w:val="00147616"/>
    <w:rsid w:val="00147856"/>
    <w:rsid w:val="00147F84"/>
    <w:rsid w:val="00150F3E"/>
    <w:rsid w:val="001513E5"/>
    <w:rsid w:val="00152B2B"/>
    <w:rsid w:val="001537D8"/>
    <w:rsid w:val="00153BC6"/>
    <w:rsid w:val="001543C5"/>
    <w:rsid w:val="00154B21"/>
    <w:rsid w:val="00155A7C"/>
    <w:rsid w:val="00156456"/>
    <w:rsid w:val="00157C43"/>
    <w:rsid w:val="00157E96"/>
    <w:rsid w:val="00161166"/>
    <w:rsid w:val="00162476"/>
    <w:rsid w:val="0016276E"/>
    <w:rsid w:val="0016290B"/>
    <w:rsid w:val="00162B90"/>
    <w:rsid w:val="001644FB"/>
    <w:rsid w:val="00165378"/>
    <w:rsid w:val="00167E57"/>
    <w:rsid w:val="00170EF5"/>
    <w:rsid w:val="001722F7"/>
    <w:rsid w:val="0017244C"/>
    <w:rsid w:val="00173799"/>
    <w:rsid w:val="00175976"/>
    <w:rsid w:val="0017788F"/>
    <w:rsid w:val="00181B15"/>
    <w:rsid w:val="00182613"/>
    <w:rsid w:val="00182C29"/>
    <w:rsid w:val="00182E29"/>
    <w:rsid w:val="001836BB"/>
    <w:rsid w:val="00183D89"/>
    <w:rsid w:val="001844AE"/>
    <w:rsid w:val="00184577"/>
    <w:rsid w:val="0018788E"/>
    <w:rsid w:val="00187B50"/>
    <w:rsid w:val="001905A5"/>
    <w:rsid w:val="00190ABE"/>
    <w:rsid w:val="001921B3"/>
    <w:rsid w:val="00194A16"/>
    <w:rsid w:val="001958E8"/>
    <w:rsid w:val="001A2410"/>
    <w:rsid w:val="001A2D6F"/>
    <w:rsid w:val="001A644B"/>
    <w:rsid w:val="001A77EE"/>
    <w:rsid w:val="001A7B0F"/>
    <w:rsid w:val="001A7E76"/>
    <w:rsid w:val="001B17FE"/>
    <w:rsid w:val="001B1F7F"/>
    <w:rsid w:val="001B41EF"/>
    <w:rsid w:val="001B4784"/>
    <w:rsid w:val="001B5D45"/>
    <w:rsid w:val="001B641B"/>
    <w:rsid w:val="001C0152"/>
    <w:rsid w:val="001C0257"/>
    <w:rsid w:val="001C42B1"/>
    <w:rsid w:val="001C6DED"/>
    <w:rsid w:val="001D064B"/>
    <w:rsid w:val="001D124C"/>
    <w:rsid w:val="001D2FF8"/>
    <w:rsid w:val="001D4181"/>
    <w:rsid w:val="001D4E03"/>
    <w:rsid w:val="001D58D7"/>
    <w:rsid w:val="001E07CC"/>
    <w:rsid w:val="001E1E71"/>
    <w:rsid w:val="001E2589"/>
    <w:rsid w:val="001E410D"/>
    <w:rsid w:val="001E4175"/>
    <w:rsid w:val="001E4B89"/>
    <w:rsid w:val="001E5814"/>
    <w:rsid w:val="001E5AA2"/>
    <w:rsid w:val="001E5C05"/>
    <w:rsid w:val="001E6E29"/>
    <w:rsid w:val="001E713D"/>
    <w:rsid w:val="001F1285"/>
    <w:rsid w:val="001F1844"/>
    <w:rsid w:val="001F1CDD"/>
    <w:rsid w:val="001F1E4B"/>
    <w:rsid w:val="001F3638"/>
    <w:rsid w:val="001F3674"/>
    <w:rsid w:val="001F3E62"/>
    <w:rsid w:val="001F46E7"/>
    <w:rsid w:val="001F4F52"/>
    <w:rsid w:val="001F566D"/>
    <w:rsid w:val="001F6D05"/>
    <w:rsid w:val="001F7633"/>
    <w:rsid w:val="00200263"/>
    <w:rsid w:val="00201C2D"/>
    <w:rsid w:val="00202527"/>
    <w:rsid w:val="00204C5E"/>
    <w:rsid w:val="0021046B"/>
    <w:rsid w:val="002115B2"/>
    <w:rsid w:val="00212FA7"/>
    <w:rsid w:val="002133CB"/>
    <w:rsid w:val="00216273"/>
    <w:rsid w:val="00217869"/>
    <w:rsid w:val="0021797F"/>
    <w:rsid w:val="00217AA8"/>
    <w:rsid w:val="00222473"/>
    <w:rsid w:val="002229E2"/>
    <w:rsid w:val="00223081"/>
    <w:rsid w:val="0022365E"/>
    <w:rsid w:val="00225195"/>
    <w:rsid w:val="002259A4"/>
    <w:rsid w:val="002260C9"/>
    <w:rsid w:val="0022640C"/>
    <w:rsid w:val="00226E95"/>
    <w:rsid w:val="00227678"/>
    <w:rsid w:val="00227EAF"/>
    <w:rsid w:val="00227F65"/>
    <w:rsid w:val="002303C4"/>
    <w:rsid w:val="00230719"/>
    <w:rsid w:val="00230C67"/>
    <w:rsid w:val="002329F4"/>
    <w:rsid w:val="002338F1"/>
    <w:rsid w:val="00234BBC"/>
    <w:rsid w:val="00235C5D"/>
    <w:rsid w:val="00236080"/>
    <w:rsid w:val="00240414"/>
    <w:rsid w:val="00241688"/>
    <w:rsid w:val="002422DC"/>
    <w:rsid w:val="00243802"/>
    <w:rsid w:val="00243F53"/>
    <w:rsid w:val="00246276"/>
    <w:rsid w:val="00246908"/>
    <w:rsid w:val="00250AF1"/>
    <w:rsid w:val="00251346"/>
    <w:rsid w:val="00252898"/>
    <w:rsid w:val="002532A4"/>
    <w:rsid w:val="00254804"/>
    <w:rsid w:val="00254B91"/>
    <w:rsid w:val="002554E5"/>
    <w:rsid w:val="002567E0"/>
    <w:rsid w:val="00256D4E"/>
    <w:rsid w:val="0026020D"/>
    <w:rsid w:val="002606F4"/>
    <w:rsid w:val="00261A39"/>
    <w:rsid w:val="00263101"/>
    <w:rsid w:val="00264365"/>
    <w:rsid w:val="00264FCD"/>
    <w:rsid w:val="002651C8"/>
    <w:rsid w:val="00265B11"/>
    <w:rsid w:val="00273E72"/>
    <w:rsid w:val="00274648"/>
    <w:rsid w:val="002762C6"/>
    <w:rsid w:val="002777CB"/>
    <w:rsid w:val="00277ACC"/>
    <w:rsid w:val="00280CE7"/>
    <w:rsid w:val="00280DEC"/>
    <w:rsid w:val="00282CC8"/>
    <w:rsid w:val="00283F38"/>
    <w:rsid w:val="00284FD0"/>
    <w:rsid w:val="00285265"/>
    <w:rsid w:val="00290595"/>
    <w:rsid w:val="002917E5"/>
    <w:rsid w:val="0029356B"/>
    <w:rsid w:val="00295BB3"/>
    <w:rsid w:val="002A020A"/>
    <w:rsid w:val="002A1DF7"/>
    <w:rsid w:val="002A5AD2"/>
    <w:rsid w:val="002A6E5D"/>
    <w:rsid w:val="002A6EAA"/>
    <w:rsid w:val="002B11FB"/>
    <w:rsid w:val="002B12B2"/>
    <w:rsid w:val="002B3F00"/>
    <w:rsid w:val="002B7A58"/>
    <w:rsid w:val="002B7B5E"/>
    <w:rsid w:val="002C0876"/>
    <w:rsid w:val="002C46F4"/>
    <w:rsid w:val="002C4851"/>
    <w:rsid w:val="002C555C"/>
    <w:rsid w:val="002C601B"/>
    <w:rsid w:val="002D04B9"/>
    <w:rsid w:val="002D04DD"/>
    <w:rsid w:val="002D1D67"/>
    <w:rsid w:val="002D3C45"/>
    <w:rsid w:val="002D4359"/>
    <w:rsid w:val="002D498A"/>
    <w:rsid w:val="002D5038"/>
    <w:rsid w:val="002D55A2"/>
    <w:rsid w:val="002D5F00"/>
    <w:rsid w:val="002D7C52"/>
    <w:rsid w:val="002E06C9"/>
    <w:rsid w:val="002E1041"/>
    <w:rsid w:val="002E280F"/>
    <w:rsid w:val="002E3B57"/>
    <w:rsid w:val="002E5BDD"/>
    <w:rsid w:val="002E60CA"/>
    <w:rsid w:val="002E7EEF"/>
    <w:rsid w:val="002F1450"/>
    <w:rsid w:val="002F4221"/>
    <w:rsid w:val="002F516E"/>
    <w:rsid w:val="002F59F0"/>
    <w:rsid w:val="002F6548"/>
    <w:rsid w:val="002F7BA8"/>
    <w:rsid w:val="002F7BE7"/>
    <w:rsid w:val="00301B65"/>
    <w:rsid w:val="00301F5D"/>
    <w:rsid w:val="003020B9"/>
    <w:rsid w:val="003031F0"/>
    <w:rsid w:val="00307963"/>
    <w:rsid w:val="00307B63"/>
    <w:rsid w:val="00307EB2"/>
    <w:rsid w:val="0031027A"/>
    <w:rsid w:val="003116BB"/>
    <w:rsid w:val="00313C52"/>
    <w:rsid w:val="00314385"/>
    <w:rsid w:val="00315F55"/>
    <w:rsid w:val="00321FF5"/>
    <w:rsid w:val="00324C99"/>
    <w:rsid w:val="003270CD"/>
    <w:rsid w:val="003305B8"/>
    <w:rsid w:val="0033130B"/>
    <w:rsid w:val="003331BE"/>
    <w:rsid w:val="00333263"/>
    <w:rsid w:val="00333989"/>
    <w:rsid w:val="0033489A"/>
    <w:rsid w:val="003372F6"/>
    <w:rsid w:val="0033762E"/>
    <w:rsid w:val="00340514"/>
    <w:rsid w:val="0034163A"/>
    <w:rsid w:val="00341D24"/>
    <w:rsid w:val="0034304B"/>
    <w:rsid w:val="00344EC8"/>
    <w:rsid w:val="00347135"/>
    <w:rsid w:val="00347579"/>
    <w:rsid w:val="00347950"/>
    <w:rsid w:val="00347FFC"/>
    <w:rsid w:val="00352BE9"/>
    <w:rsid w:val="00353796"/>
    <w:rsid w:val="00353EE5"/>
    <w:rsid w:val="003540DD"/>
    <w:rsid w:val="00355D7A"/>
    <w:rsid w:val="003568A8"/>
    <w:rsid w:val="00357576"/>
    <w:rsid w:val="00357666"/>
    <w:rsid w:val="0035799F"/>
    <w:rsid w:val="0036377A"/>
    <w:rsid w:val="00364396"/>
    <w:rsid w:val="0036565B"/>
    <w:rsid w:val="00365AC6"/>
    <w:rsid w:val="00365B28"/>
    <w:rsid w:val="00365DB8"/>
    <w:rsid w:val="003660F7"/>
    <w:rsid w:val="0037005C"/>
    <w:rsid w:val="00370C14"/>
    <w:rsid w:val="00371BB6"/>
    <w:rsid w:val="00371BF7"/>
    <w:rsid w:val="00371CAA"/>
    <w:rsid w:val="00375AF4"/>
    <w:rsid w:val="003761AE"/>
    <w:rsid w:val="00376534"/>
    <w:rsid w:val="00376A60"/>
    <w:rsid w:val="00380118"/>
    <w:rsid w:val="003807BD"/>
    <w:rsid w:val="00381538"/>
    <w:rsid w:val="00381A26"/>
    <w:rsid w:val="00381F0D"/>
    <w:rsid w:val="003830DE"/>
    <w:rsid w:val="0038336A"/>
    <w:rsid w:val="00383377"/>
    <w:rsid w:val="00383A8B"/>
    <w:rsid w:val="00383B2E"/>
    <w:rsid w:val="00384495"/>
    <w:rsid w:val="0038789E"/>
    <w:rsid w:val="003915CF"/>
    <w:rsid w:val="00392745"/>
    <w:rsid w:val="00393295"/>
    <w:rsid w:val="00394EE9"/>
    <w:rsid w:val="00396006"/>
    <w:rsid w:val="00396DA8"/>
    <w:rsid w:val="003A039B"/>
    <w:rsid w:val="003A0F88"/>
    <w:rsid w:val="003A202B"/>
    <w:rsid w:val="003A3987"/>
    <w:rsid w:val="003A54E9"/>
    <w:rsid w:val="003A5711"/>
    <w:rsid w:val="003A6AB4"/>
    <w:rsid w:val="003B22C4"/>
    <w:rsid w:val="003B2603"/>
    <w:rsid w:val="003B355C"/>
    <w:rsid w:val="003B50AD"/>
    <w:rsid w:val="003B5FE1"/>
    <w:rsid w:val="003B70F9"/>
    <w:rsid w:val="003B74B5"/>
    <w:rsid w:val="003C2E0A"/>
    <w:rsid w:val="003C65FB"/>
    <w:rsid w:val="003D0E7C"/>
    <w:rsid w:val="003D112A"/>
    <w:rsid w:val="003D12B5"/>
    <w:rsid w:val="003D2104"/>
    <w:rsid w:val="003D3453"/>
    <w:rsid w:val="003D35C0"/>
    <w:rsid w:val="003D3DD2"/>
    <w:rsid w:val="003D49CE"/>
    <w:rsid w:val="003D4D1B"/>
    <w:rsid w:val="003D4DE1"/>
    <w:rsid w:val="003D6830"/>
    <w:rsid w:val="003D7846"/>
    <w:rsid w:val="003E0E49"/>
    <w:rsid w:val="003E28AB"/>
    <w:rsid w:val="003E2976"/>
    <w:rsid w:val="003E37CD"/>
    <w:rsid w:val="003F1515"/>
    <w:rsid w:val="003F16E7"/>
    <w:rsid w:val="003F283E"/>
    <w:rsid w:val="003F402E"/>
    <w:rsid w:val="003F6354"/>
    <w:rsid w:val="004002C1"/>
    <w:rsid w:val="00400D06"/>
    <w:rsid w:val="00401411"/>
    <w:rsid w:val="0040239B"/>
    <w:rsid w:val="00402CE7"/>
    <w:rsid w:val="0040330F"/>
    <w:rsid w:val="00404BCF"/>
    <w:rsid w:val="00405226"/>
    <w:rsid w:val="00405C75"/>
    <w:rsid w:val="00405E21"/>
    <w:rsid w:val="00406578"/>
    <w:rsid w:val="00406D6A"/>
    <w:rsid w:val="00410716"/>
    <w:rsid w:val="00414F4E"/>
    <w:rsid w:val="004157FC"/>
    <w:rsid w:val="00416914"/>
    <w:rsid w:val="00417C00"/>
    <w:rsid w:val="00420BEC"/>
    <w:rsid w:val="00420EA0"/>
    <w:rsid w:val="004224E8"/>
    <w:rsid w:val="0042251D"/>
    <w:rsid w:val="00422584"/>
    <w:rsid w:val="00425FB2"/>
    <w:rsid w:val="00426FE5"/>
    <w:rsid w:val="00427243"/>
    <w:rsid w:val="004272A6"/>
    <w:rsid w:val="0043072A"/>
    <w:rsid w:val="0043119F"/>
    <w:rsid w:val="00431407"/>
    <w:rsid w:val="00433CAA"/>
    <w:rsid w:val="00436B3B"/>
    <w:rsid w:val="00437980"/>
    <w:rsid w:val="004401ED"/>
    <w:rsid w:val="00440843"/>
    <w:rsid w:val="0044349C"/>
    <w:rsid w:val="00443713"/>
    <w:rsid w:val="004438DB"/>
    <w:rsid w:val="00451CEE"/>
    <w:rsid w:val="0045212B"/>
    <w:rsid w:val="00452585"/>
    <w:rsid w:val="00452895"/>
    <w:rsid w:val="00452990"/>
    <w:rsid w:val="00453319"/>
    <w:rsid w:val="00453D56"/>
    <w:rsid w:val="004542C8"/>
    <w:rsid w:val="004549D1"/>
    <w:rsid w:val="00454E6D"/>
    <w:rsid w:val="0045689F"/>
    <w:rsid w:val="00457099"/>
    <w:rsid w:val="004573B8"/>
    <w:rsid w:val="004600B8"/>
    <w:rsid w:val="00460A3A"/>
    <w:rsid w:val="00460E4C"/>
    <w:rsid w:val="00461551"/>
    <w:rsid w:val="00462343"/>
    <w:rsid w:val="00462672"/>
    <w:rsid w:val="00463559"/>
    <w:rsid w:val="00464A91"/>
    <w:rsid w:val="00465B8C"/>
    <w:rsid w:val="0046605F"/>
    <w:rsid w:val="004671F2"/>
    <w:rsid w:val="00470423"/>
    <w:rsid w:val="00472258"/>
    <w:rsid w:val="00474787"/>
    <w:rsid w:val="0047641E"/>
    <w:rsid w:val="00476554"/>
    <w:rsid w:val="00477716"/>
    <w:rsid w:val="0048081D"/>
    <w:rsid w:val="0048089A"/>
    <w:rsid w:val="004811D4"/>
    <w:rsid w:val="00481229"/>
    <w:rsid w:val="00481351"/>
    <w:rsid w:val="004823BA"/>
    <w:rsid w:val="004839EA"/>
    <w:rsid w:val="00484612"/>
    <w:rsid w:val="00484A36"/>
    <w:rsid w:val="00484EDA"/>
    <w:rsid w:val="004860CD"/>
    <w:rsid w:val="004866EA"/>
    <w:rsid w:val="00487233"/>
    <w:rsid w:val="004872A3"/>
    <w:rsid w:val="004874D5"/>
    <w:rsid w:val="00493497"/>
    <w:rsid w:val="004949AC"/>
    <w:rsid w:val="004968A0"/>
    <w:rsid w:val="004A0031"/>
    <w:rsid w:val="004A0A75"/>
    <w:rsid w:val="004A30CC"/>
    <w:rsid w:val="004A3DDB"/>
    <w:rsid w:val="004A4700"/>
    <w:rsid w:val="004A49DD"/>
    <w:rsid w:val="004A711A"/>
    <w:rsid w:val="004B0C5F"/>
    <w:rsid w:val="004B0EB4"/>
    <w:rsid w:val="004B34FB"/>
    <w:rsid w:val="004B3AE1"/>
    <w:rsid w:val="004B448D"/>
    <w:rsid w:val="004B6206"/>
    <w:rsid w:val="004C3DAC"/>
    <w:rsid w:val="004C48EE"/>
    <w:rsid w:val="004C51F5"/>
    <w:rsid w:val="004C5CD2"/>
    <w:rsid w:val="004C5D7B"/>
    <w:rsid w:val="004C6565"/>
    <w:rsid w:val="004C6B41"/>
    <w:rsid w:val="004C6BF0"/>
    <w:rsid w:val="004D0987"/>
    <w:rsid w:val="004D0D4D"/>
    <w:rsid w:val="004D206D"/>
    <w:rsid w:val="004D2649"/>
    <w:rsid w:val="004D31B0"/>
    <w:rsid w:val="004D34AD"/>
    <w:rsid w:val="004D5F2D"/>
    <w:rsid w:val="004D678B"/>
    <w:rsid w:val="004E013B"/>
    <w:rsid w:val="004E0906"/>
    <w:rsid w:val="004E095E"/>
    <w:rsid w:val="004E583F"/>
    <w:rsid w:val="004E5873"/>
    <w:rsid w:val="004E5E85"/>
    <w:rsid w:val="004E6FCE"/>
    <w:rsid w:val="004F0288"/>
    <w:rsid w:val="004F0B47"/>
    <w:rsid w:val="004F43AA"/>
    <w:rsid w:val="004F463C"/>
    <w:rsid w:val="004F4716"/>
    <w:rsid w:val="004F47FC"/>
    <w:rsid w:val="004F5DE3"/>
    <w:rsid w:val="004F6CCC"/>
    <w:rsid w:val="004F6DE7"/>
    <w:rsid w:val="004F71F0"/>
    <w:rsid w:val="004F7294"/>
    <w:rsid w:val="0050002D"/>
    <w:rsid w:val="005004FA"/>
    <w:rsid w:val="00500CFD"/>
    <w:rsid w:val="00502D71"/>
    <w:rsid w:val="00502E67"/>
    <w:rsid w:val="005048CD"/>
    <w:rsid w:val="00505E9C"/>
    <w:rsid w:val="005102A2"/>
    <w:rsid w:val="00510BAB"/>
    <w:rsid w:val="005120BB"/>
    <w:rsid w:val="00512139"/>
    <w:rsid w:val="00512582"/>
    <w:rsid w:val="0051366A"/>
    <w:rsid w:val="00514671"/>
    <w:rsid w:val="00515734"/>
    <w:rsid w:val="0051636A"/>
    <w:rsid w:val="005167B1"/>
    <w:rsid w:val="00517B8A"/>
    <w:rsid w:val="00522A6C"/>
    <w:rsid w:val="00523F31"/>
    <w:rsid w:val="00524631"/>
    <w:rsid w:val="005256DF"/>
    <w:rsid w:val="00526431"/>
    <w:rsid w:val="00530C61"/>
    <w:rsid w:val="00532B48"/>
    <w:rsid w:val="0053468D"/>
    <w:rsid w:val="00536F5B"/>
    <w:rsid w:val="00537C4F"/>
    <w:rsid w:val="00537FC1"/>
    <w:rsid w:val="00542670"/>
    <w:rsid w:val="00542A3D"/>
    <w:rsid w:val="005444A9"/>
    <w:rsid w:val="00544C47"/>
    <w:rsid w:val="00545001"/>
    <w:rsid w:val="00545084"/>
    <w:rsid w:val="00547244"/>
    <w:rsid w:val="00550937"/>
    <w:rsid w:val="00551BF5"/>
    <w:rsid w:val="0055330D"/>
    <w:rsid w:val="005578D6"/>
    <w:rsid w:val="00557E24"/>
    <w:rsid w:val="00561795"/>
    <w:rsid w:val="00562AE8"/>
    <w:rsid w:val="00562BA8"/>
    <w:rsid w:val="0056376A"/>
    <w:rsid w:val="005639BD"/>
    <w:rsid w:val="00564552"/>
    <w:rsid w:val="00565BC9"/>
    <w:rsid w:val="00566921"/>
    <w:rsid w:val="00567AB3"/>
    <w:rsid w:val="00567AEB"/>
    <w:rsid w:val="00572592"/>
    <w:rsid w:val="00573D8B"/>
    <w:rsid w:val="005750C4"/>
    <w:rsid w:val="00576CB6"/>
    <w:rsid w:val="00576D82"/>
    <w:rsid w:val="00576FBF"/>
    <w:rsid w:val="00577EDE"/>
    <w:rsid w:val="00577FAD"/>
    <w:rsid w:val="00582B55"/>
    <w:rsid w:val="0058517E"/>
    <w:rsid w:val="00585784"/>
    <w:rsid w:val="00587462"/>
    <w:rsid w:val="00587C8D"/>
    <w:rsid w:val="00587CEB"/>
    <w:rsid w:val="0059070A"/>
    <w:rsid w:val="00591EF2"/>
    <w:rsid w:val="00592198"/>
    <w:rsid w:val="005930AB"/>
    <w:rsid w:val="0059320E"/>
    <w:rsid w:val="005953FB"/>
    <w:rsid w:val="00597B52"/>
    <w:rsid w:val="005A2E6F"/>
    <w:rsid w:val="005A3998"/>
    <w:rsid w:val="005A5009"/>
    <w:rsid w:val="005A50E5"/>
    <w:rsid w:val="005A650C"/>
    <w:rsid w:val="005A736F"/>
    <w:rsid w:val="005B0482"/>
    <w:rsid w:val="005B1D79"/>
    <w:rsid w:val="005B3F51"/>
    <w:rsid w:val="005B472A"/>
    <w:rsid w:val="005B4E5D"/>
    <w:rsid w:val="005B6066"/>
    <w:rsid w:val="005B70F0"/>
    <w:rsid w:val="005B78F3"/>
    <w:rsid w:val="005C40D3"/>
    <w:rsid w:val="005C43AF"/>
    <w:rsid w:val="005C6EF1"/>
    <w:rsid w:val="005D06E4"/>
    <w:rsid w:val="005D3438"/>
    <w:rsid w:val="005D34BC"/>
    <w:rsid w:val="005D35DD"/>
    <w:rsid w:val="005D4B33"/>
    <w:rsid w:val="005D77C1"/>
    <w:rsid w:val="005E05E8"/>
    <w:rsid w:val="005E0F3C"/>
    <w:rsid w:val="005E26BE"/>
    <w:rsid w:val="005E4ABD"/>
    <w:rsid w:val="005E52D1"/>
    <w:rsid w:val="005E6172"/>
    <w:rsid w:val="005E78DF"/>
    <w:rsid w:val="005E7D92"/>
    <w:rsid w:val="005E7D9A"/>
    <w:rsid w:val="005F1102"/>
    <w:rsid w:val="005F1D53"/>
    <w:rsid w:val="005F6AEF"/>
    <w:rsid w:val="005F7871"/>
    <w:rsid w:val="00600042"/>
    <w:rsid w:val="0060183B"/>
    <w:rsid w:val="00602B41"/>
    <w:rsid w:val="00605046"/>
    <w:rsid w:val="0060673E"/>
    <w:rsid w:val="00606AA7"/>
    <w:rsid w:val="00610ADB"/>
    <w:rsid w:val="00613763"/>
    <w:rsid w:val="00615033"/>
    <w:rsid w:val="00615771"/>
    <w:rsid w:val="006164D7"/>
    <w:rsid w:val="00616ED9"/>
    <w:rsid w:val="00620526"/>
    <w:rsid w:val="0062056F"/>
    <w:rsid w:val="00620CB9"/>
    <w:rsid w:val="00621602"/>
    <w:rsid w:val="00622A8F"/>
    <w:rsid w:val="00623AF9"/>
    <w:rsid w:val="00624E02"/>
    <w:rsid w:val="006251E6"/>
    <w:rsid w:val="006258DD"/>
    <w:rsid w:val="00626208"/>
    <w:rsid w:val="00627439"/>
    <w:rsid w:val="006323C6"/>
    <w:rsid w:val="0063287F"/>
    <w:rsid w:val="00634466"/>
    <w:rsid w:val="00636016"/>
    <w:rsid w:val="00640388"/>
    <w:rsid w:val="00641EB3"/>
    <w:rsid w:val="006423DF"/>
    <w:rsid w:val="00642EC0"/>
    <w:rsid w:val="00643CC5"/>
    <w:rsid w:val="0064402F"/>
    <w:rsid w:val="0064670B"/>
    <w:rsid w:val="00646B69"/>
    <w:rsid w:val="006479E3"/>
    <w:rsid w:val="00651FEA"/>
    <w:rsid w:val="0065292B"/>
    <w:rsid w:val="0065402A"/>
    <w:rsid w:val="0065445B"/>
    <w:rsid w:val="0065520B"/>
    <w:rsid w:val="00655674"/>
    <w:rsid w:val="00655BCC"/>
    <w:rsid w:val="00656020"/>
    <w:rsid w:val="00656A9A"/>
    <w:rsid w:val="00656F7D"/>
    <w:rsid w:val="006571CA"/>
    <w:rsid w:val="00657FEB"/>
    <w:rsid w:val="006629D4"/>
    <w:rsid w:val="006633E2"/>
    <w:rsid w:val="00663BBB"/>
    <w:rsid w:val="00664092"/>
    <w:rsid w:val="00665263"/>
    <w:rsid w:val="00671269"/>
    <w:rsid w:val="006731F0"/>
    <w:rsid w:val="00674DB5"/>
    <w:rsid w:val="00676397"/>
    <w:rsid w:val="00680DB4"/>
    <w:rsid w:val="00682BA0"/>
    <w:rsid w:val="00682BEB"/>
    <w:rsid w:val="0068432A"/>
    <w:rsid w:val="0068495B"/>
    <w:rsid w:val="006859A8"/>
    <w:rsid w:val="006865FD"/>
    <w:rsid w:val="00687D46"/>
    <w:rsid w:val="0069138E"/>
    <w:rsid w:val="006922F0"/>
    <w:rsid w:val="00693295"/>
    <w:rsid w:val="00694B78"/>
    <w:rsid w:val="00694EAF"/>
    <w:rsid w:val="006960BB"/>
    <w:rsid w:val="006A15CB"/>
    <w:rsid w:val="006A28E5"/>
    <w:rsid w:val="006A2942"/>
    <w:rsid w:val="006A2A32"/>
    <w:rsid w:val="006A44E2"/>
    <w:rsid w:val="006A5995"/>
    <w:rsid w:val="006A5FFB"/>
    <w:rsid w:val="006A6752"/>
    <w:rsid w:val="006A7553"/>
    <w:rsid w:val="006B5BCF"/>
    <w:rsid w:val="006B610A"/>
    <w:rsid w:val="006B655D"/>
    <w:rsid w:val="006B70DE"/>
    <w:rsid w:val="006B7751"/>
    <w:rsid w:val="006C0244"/>
    <w:rsid w:val="006C0E35"/>
    <w:rsid w:val="006C0E7F"/>
    <w:rsid w:val="006C3086"/>
    <w:rsid w:val="006C3603"/>
    <w:rsid w:val="006C4AF5"/>
    <w:rsid w:val="006D012E"/>
    <w:rsid w:val="006D0774"/>
    <w:rsid w:val="006D1593"/>
    <w:rsid w:val="006D2836"/>
    <w:rsid w:val="006E00A6"/>
    <w:rsid w:val="006E1228"/>
    <w:rsid w:val="006E1D1A"/>
    <w:rsid w:val="006E2777"/>
    <w:rsid w:val="006E342B"/>
    <w:rsid w:val="006E36CF"/>
    <w:rsid w:val="006E3A23"/>
    <w:rsid w:val="006E76CA"/>
    <w:rsid w:val="006E79B8"/>
    <w:rsid w:val="006F09DA"/>
    <w:rsid w:val="006F0AF2"/>
    <w:rsid w:val="006F1117"/>
    <w:rsid w:val="006F433D"/>
    <w:rsid w:val="006F73A0"/>
    <w:rsid w:val="007006DA"/>
    <w:rsid w:val="00700714"/>
    <w:rsid w:val="00701599"/>
    <w:rsid w:val="00702B9A"/>
    <w:rsid w:val="00702F2A"/>
    <w:rsid w:val="00703419"/>
    <w:rsid w:val="00704906"/>
    <w:rsid w:val="00704B20"/>
    <w:rsid w:val="0070532D"/>
    <w:rsid w:val="007061AB"/>
    <w:rsid w:val="00706C0E"/>
    <w:rsid w:val="00707272"/>
    <w:rsid w:val="00710E1D"/>
    <w:rsid w:val="00711818"/>
    <w:rsid w:val="00711BD6"/>
    <w:rsid w:val="00712193"/>
    <w:rsid w:val="00712CFB"/>
    <w:rsid w:val="007135FE"/>
    <w:rsid w:val="00716114"/>
    <w:rsid w:val="0071646D"/>
    <w:rsid w:val="00717374"/>
    <w:rsid w:val="00720A18"/>
    <w:rsid w:val="00723885"/>
    <w:rsid w:val="00723AFF"/>
    <w:rsid w:val="007258CC"/>
    <w:rsid w:val="0072647A"/>
    <w:rsid w:val="00727017"/>
    <w:rsid w:val="00727A81"/>
    <w:rsid w:val="007319A2"/>
    <w:rsid w:val="00733D12"/>
    <w:rsid w:val="00733E02"/>
    <w:rsid w:val="00734895"/>
    <w:rsid w:val="0073677A"/>
    <w:rsid w:val="0073725E"/>
    <w:rsid w:val="00740F56"/>
    <w:rsid w:val="00742C61"/>
    <w:rsid w:val="007431B7"/>
    <w:rsid w:val="007467E5"/>
    <w:rsid w:val="00746D9E"/>
    <w:rsid w:val="00746DEF"/>
    <w:rsid w:val="007474F3"/>
    <w:rsid w:val="00747D41"/>
    <w:rsid w:val="007501C0"/>
    <w:rsid w:val="0075085D"/>
    <w:rsid w:val="00751985"/>
    <w:rsid w:val="00752CA1"/>
    <w:rsid w:val="00753514"/>
    <w:rsid w:val="00753F76"/>
    <w:rsid w:val="00754346"/>
    <w:rsid w:val="00754440"/>
    <w:rsid w:val="00755150"/>
    <w:rsid w:val="00760E84"/>
    <w:rsid w:val="0076101F"/>
    <w:rsid w:val="007622C7"/>
    <w:rsid w:val="00762E1C"/>
    <w:rsid w:val="00763316"/>
    <w:rsid w:val="00763658"/>
    <w:rsid w:val="00763D8D"/>
    <w:rsid w:val="00763F0B"/>
    <w:rsid w:val="007655AE"/>
    <w:rsid w:val="00767D03"/>
    <w:rsid w:val="00770AD1"/>
    <w:rsid w:val="00771DBA"/>
    <w:rsid w:val="00773871"/>
    <w:rsid w:val="00774689"/>
    <w:rsid w:val="00775421"/>
    <w:rsid w:val="007773EF"/>
    <w:rsid w:val="00777C73"/>
    <w:rsid w:val="00780354"/>
    <w:rsid w:val="00780EAF"/>
    <w:rsid w:val="00780F68"/>
    <w:rsid w:val="0078256C"/>
    <w:rsid w:val="00783983"/>
    <w:rsid w:val="007852E8"/>
    <w:rsid w:val="007854F1"/>
    <w:rsid w:val="007854FB"/>
    <w:rsid w:val="00785621"/>
    <w:rsid w:val="00786273"/>
    <w:rsid w:val="00786B54"/>
    <w:rsid w:val="00787EEE"/>
    <w:rsid w:val="00790582"/>
    <w:rsid w:val="00790A2A"/>
    <w:rsid w:val="00795130"/>
    <w:rsid w:val="00795893"/>
    <w:rsid w:val="00796558"/>
    <w:rsid w:val="00796A9C"/>
    <w:rsid w:val="007A07CE"/>
    <w:rsid w:val="007A0D31"/>
    <w:rsid w:val="007A1C7C"/>
    <w:rsid w:val="007A2BCD"/>
    <w:rsid w:val="007A3374"/>
    <w:rsid w:val="007A3A0B"/>
    <w:rsid w:val="007A3DD5"/>
    <w:rsid w:val="007A58C0"/>
    <w:rsid w:val="007A6474"/>
    <w:rsid w:val="007A7277"/>
    <w:rsid w:val="007A76F9"/>
    <w:rsid w:val="007B064B"/>
    <w:rsid w:val="007B2D33"/>
    <w:rsid w:val="007B3BB3"/>
    <w:rsid w:val="007B72C4"/>
    <w:rsid w:val="007B7366"/>
    <w:rsid w:val="007C023F"/>
    <w:rsid w:val="007C0E78"/>
    <w:rsid w:val="007C1423"/>
    <w:rsid w:val="007C1A30"/>
    <w:rsid w:val="007C2CA2"/>
    <w:rsid w:val="007C38FA"/>
    <w:rsid w:val="007C3BD4"/>
    <w:rsid w:val="007C3CB2"/>
    <w:rsid w:val="007C617D"/>
    <w:rsid w:val="007C7E73"/>
    <w:rsid w:val="007D051F"/>
    <w:rsid w:val="007D06BB"/>
    <w:rsid w:val="007D089E"/>
    <w:rsid w:val="007D0BBA"/>
    <w:rsid w:val="007D2550"/>
    <w:rsid w:val="007D2738"/>
    <w:rsid w:val="007D3332"/>
    <w:rsid w:val="007D333C"/>
    <w:rsid w:val="007D3590"/>
    <w:rsid w:val="007D4573"/>
    <w:rsid w:val="007D4835"/>
    <w:rsid w:val="007D6583"/>
    <w:rsid w:val="007D778F"/>
    <w:rsid w:val="007E0C35"/>
    <w:rsid w:val="007E0FFD"/>
    <w:rsid w:val="007E18FC"/>
    <w:rsid w:val="007E4182"/>
    <w:rsid w:val="007E494F"/>
    <w:rsid w:val="007E5BBF"/>
    <w:rsid w:val="007E60FF"/>
    <w:rsid w:val="007E612B"/>
    <w:rsid w:val="007E684F"/>
    <w:rsid w:val="007E68BF"/>
    <w:rsid w:val="007E7E7C"/>
    <w:rsid w:val="007F0B94"/>
    <w:rsid w:val="007F1097"/>
    <w:rsid w:val="007F118E"/>
    <w:rsid w:val="007F26DD"/>
    <w:rsid w:val="007F2884"/>
    <w:rsid w:val="007F2CFD"/>
    <w:rsid w:val="007F3052"/>
    <w:rsid w:val="007F3CED"/>
    <w:rsid w:val="007F42D2"/>
    <w:rsid w:val="007F6DB8"/>
    <w:rsid w:val="007F71A8"/>
    <w:rsid w:val="00800D94"/>
    <w:rsid w:val="00801696"/>
    <w:rsid w:val="00803BFA"/>
    <w:rsid w:val="00803FFB"/>
    <w:rsid w:val="008059A9"/>
    <w:rsid w:val="00805C6A"/>
    <w:rsid w:val="00805FBA"/>
    <w:rsid w:val="00807246"/>
    <w:rsid w:val="008114DC"/>
    <w:rsid w:val="008119E5"/>
    <w:rsid w:val="00812AFF"/>
    <w:rsid w:val="00814803"/>
    <w:rsid w:val="00814C48"/>
    <w:rsid w:val="0081545B"/>
    <w:rsid w:val="008204E2"/>
    <w:rsid w:val="00821BEB"/>
    <w:rsid w:val="00822129"/>
    <w:rsid w:val="0082400F"/>
    <w:rsid w:val="0082434B"/>
    <w:rsid w:val="00824479"/>
    <w:rsid w:val="0082521A"/>
    <w:rsid w:val="00832C5F"/>
    <w:rsid w:val="00833991"/>
    <w:rsid w:val="00834B6A"/>
    <w:rsid w:val="00835773"/>
    <w:rsid w:val="00835C53"/>
    <w:rsid w:val="00836180"/>
    <w:rsid w:val="008369B8"/>
    <w:rsid w:val="00837E6A"/>
    <w:rsid w:val="00841974"/>
    <w:rsid w:val="0084288D"/>
    <w:rsid w:val="008429AF"/>
    <w:rsid w:val="008444BD"/>
    <w:rsid w:val="00846B79"/>
    <w:rsid w:val="00850493"/>
    <w:rsid w:val="00851B24"/>
    <w:rsid w:val="00851F54"/>
    <w:rsid w:val="0085241E"/>
    <w:rsid w:val="00852E05"/>
    <w:rsid w:val="00861ADA"/>
    <w:rsid w:val="0086571B"/>
    <w:rsid w:val="00866AB0"/>
    <w:rsid w:val="00867F1E"/>
    <w:rsid w:val="008706CE"/>
    <w:rsid w:val="00870D8D"/>
    <w:rsid w:val="0087131C"/>
    <w:rsid w:val="008735D5"/>
    <w:rsid w:val="00873D83"/>
    <w:rsid w:val="00877250"/>
    <w:rsid w:val="00877854"/>
    <w:rsid w:val="00881F03"/>
    <w:rsid w:val="00882E11"/>
    <w:rsid w:val="0088407A"/>
    <w:rsid w:val="00884635"/>
    <w:rsid w:val="008859F2"/>
    <w:rsid w:val="00885EF1"/>
    <w:rsid w:val="008861AE"/>
    <w:rsid w:val="008902F2"/>
    <w:rsid w:val="00890F31"/>
    <w:rsid w:val="00892597"/>
    <w:rsid w:val="00894CB7"/>
    <w:rsid w:val="00896267"/>
    <w:rsid w:val="00896DBE"/>
    <w:rsid w:val="00897504"/>
    <w:rsid w:val="008A096F"/>
    <w:rsid w:val="008A1C2D"/>
    <w:rsid w:val="008A277B"/>
    <w:rsid w:val="008A3471"/>
    <w:rsid w:val="008A385B"/>
    <w:rsid w:val="008A5417"/>
    <w:rsid w:val="008A5EF0"/>
    <w:rsid w:val="008A63AB"/>
    <w:rsid w:val="008A7ECA"/>
    <w:rsid w:val="008B035B"/>
    <w:rsid w:val="008B2805"/>
    <w:rsid w:val="008B33A2"/>
    <w:rsid w:val="008B4790"/>
    <w:rsid w:val="008B4A0A"/>
    <w:rsid w:val="008C134F"/>
    <w:rsid w:val="008C1413"/>
    <w:rsid w:val="008C33C4"/>
    <w:rsid w:val="008C3699"/>
    <w:rsid w:val="008C397F"/>
    <w:rsid w:val="008D007F"/>
    <w:rsid w:val="008D1919"/>
    <w:rsid w:val="008D4019"/>
    <w:rsid w:val="008D5ECA"/>
    <w:rsid w:val="008D63EF"/>
    <w:rsid w:val="008D6C00"/>
    <w:rsid w:val="008D7D2E"/>
    <w:rsid w:val="008E077D"/>
    <w:rsid w:val="008E0FBB"/>
    <w:rsid w:val="008E69D7"/>
    <w:rsid w:val="008E70EF"/>
    <w:rsid w:val="008F0355"/>
    <w:rsid w:val="008F0F5E"/>
    <w:rsid w:val="008F2F92"/>
    <w:rsid w:val="008F689B"/>
    <w:rsid w:val="008F7F26"/>
    <w:rsid w:val="00900087"/>
    <w:rsid w:val="009000F2"/>
    <w:rsid w:val="00900A2B"/>
    <w:rsid w:val="00901D0E"/>
    <w:rsid w:val="009034E6"/>
    <w:rsid w:val="00903C2E"/>
    <w:rsid w:val="009046A9"/>
    <w:rsid w:val="0090678C"/>
    <w:rsid w:val="00907BCB"/>
    <w:rsid w:val="00910011"/>
    <w:rsid w:val="00910CE3"/>
    <w:rsid w:val="00911F27"/>
    <w:rsid w:val="00913F46"/>
    <w:rsid w:val="009141EF"/>
    <w:rsid w:val="00915956"/>
    <w:rsid w:val="00917471"/>
    <w:rsid w:val="00920C27"/>
    <w:rsid w:val="00920E07"/>
    <w:rsid w:val="0092374D"/>
    <w:rsid w:val="00923BAA"/>
    <w:rsid w:val="00923D4B"/>
    <w:rsid w:val="00924970"/>
    <w:rsid w:val="009267F6"/>
    <w:rsid w:val="00926AAE"/>
    <w:rsid w:val="00927463"/>
    <w:rsid w:val="0092757B"/>
    <w:rsid w:val="00927665"/>
    <w:rsid w:val="009305F5"/>
    <w:rsid w:val="009317C0"/>
    <w:rsid w:val="009326BF"/>
    <w:rsid w:val="00932915"/>
    <w:rsid w:val="00932A00"/>
    <w:rsid w:val="0093787B"/>
    <w:rsid w:val="00937BC1"/>
    <w:rsid w:val="00942C8E"/>
    <w:rsid w:val="009431BE"/>
    <w:rsid w:val="0094601E"/>
    <w:rsid w:val="00947A0B"/>
    <w:rsid w:val="0095111A"/>
    <w:rsid w:val="009524F6"/>
    <w:rsid w:val="00954F31"/>
    <w:rsid w:val="00960631"/>
    <w:rsid w:val="009607A3"/>
    <w:rsid w:val="00961330"/>
    <w:rsid w:val="009614AF"/>
    <w:rsid w:val="00961BEE"/>
    <w:rsid w:val="00962676"/>
    <w:rsid w:val="00963095"/>
    <w:rsid w:val="00964371"/>
    <w:rsid w:val="00964F1C"/>
    <w:rsid w:val="00965869"/>
    <w:rsid w:val="009672A4"/>
    <w:rsid w:val="009673F8"/>
    <w:rsid w:val="00970F7F"/>
    <w:rsid w:val="009727B0"/>
    <w:rsid w:val="00973859"/>
    <w:rsid w:val="00973DEF"/>
    <w:rsid w:val="00974A70"/>
    <w:rsid w:val="00974AE4"/>
    <w:rsid w:val="00977F99"/>
    <w:rsid w:val="00983C33"/>
    <w:rsid w:val="00983EB5"/>
    <w:rsid w:val="009900E6"/>
    <w:rsid w:val="00990546"/>
    <w:rsid w:val="00990A55"/>
    <w:rsid w:val="00990F17"/>
    <w:rsid w:val="009912B5"/>
    <w:rsid w:val="00991437"/>
    <w:rsid w:val="009914DC"/>
    <w:rsid w:val="0099212D"/>
    <w:rsid w:val="00992F81"/>
    <w:rsid w:val="00993E30"/>
    <w:rsid w:val="0099403F"/>
    <w:rsid w:val="009A3DA3"/>
    <w:rsid w:val="009A3DE0"/>
    <w:rsid w:val="009A6B9B"/>
    <w:rsid w:val="009A6D57"/>
    <w:rsid w:val="009B0B63"/>
    <w:rsid w:val="009B2564"/>
    <w:rsid w:val="009B4C1C"/>
    <w:rsid w:val="009C07AA"/>
    <w:rsid w:val="009C3ECB"/>
    <w:rsid w:val="009C3F91"/>
    <w:rsid w:val="009C59D3"/>
    <w:rsid w:val="009C5FAB"/>
    <w:rsid w:val="009C6BDC"/>
    <w:rsid w:val="009C6D8D"/>
    <w:rsid w:val="009C7126"/>
    <w:rsid w:val="009D2574"/>
    <w:rsid w:val="009D25F6"/>
    <w:rsid w:val="009D3188"/>
    <w:rsid w:val="009D3B4B"/>
    <w:rsid w:val="009D4D5E"/>
    <w:rsid w:val="009D734D"/>
    <w:rsid w:val="009E0DB9"/>
    <w:rsid w:val="009E56D5"/>
    <w:rsid w:val="009E59DB"/>
    <w:rsid w:val="009E662A"/>
    <w:rsid w:val="009E69CE"/>
    <w:rsid w:val="009E6A63"/>
    <w:rsid w:val="009E7A09"/>
    <w:rsid w:val="009F0910"/>
    <w:rsid w:val="009F17BE"/>
    <w:rsid w:val="009F2679"/>
    <w:rsid w:val="009F41F3"/>
    <w:rsid w:val="009F4BE5"/>
    <w:rsid w:val="00A000D9"/>
    <w:rsid w:val="00A00612"/>
    <w:rsid w:val="00A01602"/>
    <w:rsid w:val="00A01EB1"/>
    <w:rsid w:val="00A02D03"/>
    <w:rsid w:val="00A02E94"/>
    <w:rsid w:val="00A03E69"/>
    <w:rsid w:val="00A057DC"/>
    <w:rsid w:val="00A05EBD"/>
    <w:rsid w:val="00A0725B"/>
    <w:rsid w:val="00A10153"/>
    <w:rsid w:val="00A10467"/>
    <w:rsid w:val="00A10E87"/>
    <w:rsid w:val="00A11E72"/>
    <w:rsid w:val="00A11EC9"/>
    <w:rsid w:val="00A121FB"/>
    <w:rsid w:val="00A12F69"/>
    <w:rsid w:val="00A16E36"/>
    <w:rsid w:val="00A173CE"/>
    <w:rsid w:val="00A17A74"/>
    <w:rsid w:val="00A20BF5"/>
    <w:rsid w:val="00A2196B"/>
    <w:rsid w:val="00A220E4"/>
    <w:rsid w:val="00A2286E"/>
    <w:rsid w:val="00A22A04"/>
    <w:rsid w:val="00A23FCD"/>
    <w:rsid w:val="00A24E49"/>
    <w:rsid w:val="00A25D2E"/>
    <w:rsid w:val="00A25F38"/>
    <w:rsid w:val="00A27411"/>
    <w:rsid w:val="00A27C51"/>
    <w:rsid w:val="00A27F06"/>
    <w:rsid w:val="00A308A7"/>
    <w:rsid w:val="00A31048"/>
    <w:rsid w:val="00A3231B"/>
    <w:rsid w:val="00A33005"/>
    <w:rsid w:val="00A33739"/>
    <w:rsid w:val="00A33E6D"/>
    <w:rsid w:val="00A341B4"/>
    <w:rsid w:val="00A34C99"/>
    <w:rsid w:val="00A35874"/>
    <w:rsid w:val="00A36910"/>
    <w:rsid w:val="00A370A6"/>
    <w:rsid w:val="00A375F1"/>
    <w:rsid w:val="00A40BD7"/>
    <w:rsid w:val="00A41B24"/>
    <w:rsid w:val="00A43DC7"/>
    <w:rsid w:val="00A4406D"/>
    <w:rsid w:val="00A443A8"/>
    <w:rsid w:val="00A444BF"/>
    <w:rsid w:val="00A479FE"/>
    <w:rsid w:val="00A50584"/>
    <w:rsid w:val="00A50F06"/>
    <w:rsid w:val="00A50F7F"/>
    <w:rsid w:val="00A5152D"/>
    <w:rsid w:val="00A52F85"/>
    <w:rsid w:val="00A55021"/>
    <w:rsid w:val="00A55B32"/>
    <w:rsid w:val="00A56F38"/>
    <w:rsid w:val="00A56FEA"/>
    <w:rsid w:val="00A57205"/>
    <w:rsid w:val="00A57387"/>
    <w:rsid w:val="00A57436"/>
    <w:rsid w:val="00A60239"/>
    <w:rsid w:val="00A605F9"/>
    <w:rsid w:val="00A60B8F"/>
    <w:rsid w:val="00A60E45"/>
    <w:rsid w:val="00A63BA5"/>
    <w:rsid w:val="00A66693"/>
    <w:rsid w:val="00A66D1F"/>
    <w:rsid w:val="00A66EE9"/>
    <w:rsid w:val="00A6714F"/>
    <w:rsid w:val="00A701DE"/>
    <w:rsid w:val="00A7047C"/>
    <w:rsid w:val="00A70D17"/>
    <w:rsid w:val="00A7287F"/>
    <w:rsid w:val="00A73844"/>
    <w:rsid w:val="00A76165"/>
    <w:rsid w:val="00A7692F"/>
    <w:rsid w:val="00A77E6F"/>
    <w:rsid w:val="00A80D20"/>
    <w:rsid w:val="00A81B8E"/>
    <w:rsid w:val="00A83F2E"/>
    <w:rsid w:val="00A84F5B"/>
    <w:rsid w:val="00A8504E"/>
    <w:rsid w:val="00A86EA4"/>
    <w:rsid w:val="00A91A3E"/>
    <w:rsid w:val="00A92139"/>
    <w:rsid w:val="00A92E86"/>
    <w:rsid w:val="00A95E98"/>
    <w:rsid w:val="00A9783A"/>
    <w:rsid w:val="00AA01D4"/>
    <w:rsid w:val="00AA08E7"/>
    <w:rsid w:val="00AA1BA4"/>
    <w:rsid w:val="00AA268A"/>
    <w:rsid w:val="00AA27AA"/>
    <w:rsid w:val="00AA2D96"/>
    <w:rsid w:val="00AA3BF1"/>
    <w:rsid w:val="00AA4921"/>
    <w:rsid w:val="00AA6FA7"/>
    <w:rsid w:val="00AB0EEC"/>
    <w:rsid w:val="00AB2200"/>
    <w:rsid w:val="00AB2A7B"/>
    <w:rsid w:val="00AB312A"/>
    <w:rsid w:val="00AB5741"/>
    <w:rsid w:val="00AB592C"/>
    <w:rsid w:val="00AB5B2F"/>
    <w:rsid w:val="00AB6F83"/>
    <w:rsid w:val="00AB72EE"/>
    <w:rsid w:val="00AB738C"/>
    <w:rsid w:val="00AC240E"/>
    <w:rsid w:val="00AC2906"/>
    <w:rsid w:val="00AC318C"/>
    <w:rsid w:val="00AC371A"/>
    <w:rsid w:val="00AC3F10"/>
    <w:rsid w:val="00AC4034"/>
    <w:rsid w:val="00AC42D0"/>
    <w:rsid w:val="00AC5A44"/>
    <w:rsid w:val="00AC627A"/>
    <w:rsid w:val="00AC66C5"/>
    <w:rsid w:val="00AC7848"/>
    <w:rsid w:val="00AD0B32"/>
    <w:rsid w:val="00AD3233"/>
    <w:rsid w:val="00AD37C3"/>
    <w:rsid w:val="00AD619D"/>
    <w:rsid w:val="00AD6605"/>
    <w:rsid w:val="00AD6A64"/>
    <w:rsid w:val="00AD6AB3"/>
    <w:rsid w:val="00AD6DA0"/>
    <w:rsid w:val="00AD712B"/>
    <w:rsid w:val="00AD7516"/>
    <w:rsid w:val="00AE0A63"/>
    <w:rsid w:val="00AE1D02"/>
    <w:rsid w:val="00AE1EF8"/>
    <w:rsid w:val="00AE4716"/>
    <w:rsid w:val="00AE4EBF"/>
    <w:rsid w:val="00AE603D"/>
    <w:rsid w:val="00AE6608"/>
    <w:rsid w:val="00AF0B62"/>
    <w:rsid w:val="00AF735A"/>
    <w:rsid w:val="00B020FB"/>
    <w:rsid w:val="00B0311B"/>
    <w:rsid w:val="00B04DC9"/>
    <w:rsid w:val="00B053C9"/>
    <w:rsid w:val="00B0556F"/>
    <w:rsid w:val="00B06A9C"/>
    <w:rsid w:val="00B078DD"/>
    <w:rsid w:val="00B07B88"/>
    <w:rsid w:val="00B101FD"/>
    <w:rsid w:val="00B10C1D"/>
    <w:rsid w:val="00B10DE1"/>
    <w:rsid w:val="00B143F1"/>
    <w:rsid w:val="00B14BFB"/>
    <w:rsid w:val="00B17897"/>
    <w:rsid w:val="00B24E4D"/>
    <w:rsid w:val="00B2516C"/>
    <w:rsid w:val="00B2587E"/>
    <w:rsid w:val="00B300AD"/>
    <w:rsid w:val="00B327D2"/>
    <w:rsid w:val="00B32C0E"/>
    <w:rsid w:val="00B334BF"/>
    <w:rsid w:val="00B358FF"/>
    <w:rsid w:val="00B35B22"/>
    <w:rsid w:val="00B36265"/>
    <w:rsid w:val="00B3686F"/>
    <w:rsid w:val="00B4084B"/>
    <w:rsid w:val="00B416BE"/>
    <w:rsid w:val="00B43373"/>
    <w:rsid w:val="00B45B74"/>
    <w:rsid w:val="00B47818"/>
    <w:rsid w:val="00B512A8"/>
    <w:rsid w:val="00B51D99"/>
    <w:rsid w:val="00B5205E"/>
    <w:rsid w:val="00B53412"/>
    <w:rsid w:val="00B547DA"/>
    <w:rsid w:val="00B54DC6"/>
    <w:rsid w:val="00B55B57"/>
    <w:rsid w:val="00B567D7"/>
    <w:rsid w:val="00B57693"/>
    <w:rsid w:val="00B61B4E"/>
    <w:rsid w:val="00B62085"/>
    <w:rsid w:val="00B65447"/>
    <w:rsid w:val="00B7061C"/>
    <w:rsid w:val="00B70DE9"/>
    <w:rsid w:val="00B74E74"/>
    <w:rsid w:val="00B8186C"/>
    <w:rsid w:val="00B81BD8"/>
    <w:rsid w:val="00B84899"/>
    <w:rsid w:val="00B8495F"/>
    <w:rsid w:val="00B85A63"/>
    <w:rsid w:val="00B873B5"/>
    <w:rsid w:val="00B87961"/>
    <w:rsid w:val="00B87E41"/>
    <w:rsid w:val="00B93260"/>
    <w:rsid w:val="00B93F28"/>
    <w:rsid w:val="00B955E1"/>
    <w:rsid w:val="00B9711E"/>
    <w:rsid w:val="00B972CB"/>
    <w:rsid w:val="00BA0FD9"/>
    <w:rsid w:val="00BA1A34"/>
    <w:rsid w:val="00BA3D96"/>
    <w:rsid w:val="00BA40D9"/>
    <w:rsid w:val="00BB0BA8"/>
    <w:rsid w:val="00BB0FE5"/>
    <w:rsid w:val="00BB19B2"/>
    <w:rsid w:val="00BB2CE1"/>
    <w:rsid w:val="00BB37A8"/>
    <w:rsid w:val="00BB5C44"/>
    <w:rsid w:val="00BB6206"/>
    <w:rsid w:val="00BC0810"/>
    <w:rsid w:val="00BC0CAC"/>
    <w:rsid w:val="00BC3D27"/>
    <w:rsid w:val="00BC3DF2"/>
    <w:rsid w:val="00BC66F9"/>
    <w:rsid w:val="00BC6820"/>
    <w:rsid w:val="00BC6C03"/>
    <w:rsid w:val="00BC6F02"/>
    <w:rsid w:val="00BC6F77"/>
    <w:rsid w:val="00BC7198"/>
    <w:rsid w:val="00BD09C2"/>
    <w:rsid w:val="00BD1031"/>
    <w:rsid w:val="00BD1FA4"/>
    <w:rsid w:val="00BD1FBB"/>
    <w:rsid w:val="00BD20CF"/>
    <w:rsid w:val="00BD455D"/>
    <w:rsid w:val="00BD590A"/>
    <w:rsid w:val="00BD76C9"/>
    <w:rsid w:val="00BD7980"/>
    <w:rsid w:val="00BE0166"/>
    <w:rsid w:val="00BE0DE7"/>
    <w:rsid w:val="00BE2CD8"/>
    <w:rsid w:val="00BE2E79"/>
    <w:rsid w:val="00BE36D4"/>
    <w:rsid w:val="00BE7EED"/>
    <w:rsid w:val="00BF018E"/>
    <w:rsid w:val="00BF18AB"/>
    <w:rsid w:val="00BF212F"/>
    <w:rsid w:val="00BF373E"/>
    <w:rsid w:val="00BF43FA"/>
    <w:rsid w:val="00BF652B"/>
    <w:rsid w:val="00C04385"/>
    <w:rsid w:val="00C045BB"/>
    <w:rsid w:val="00C05482"/>
    <w:rsid w:val="00C05591"/>
    <w:rsid w:val="00C06CB9"/>
    <w:rsid w:val="00C11651"/>
    <w:rsid w:val="00C12472"/>
    <w:rsid w:val="00C127E3"/>
    <w:rsid w:val="00C12993"/>
    <w:rsid w:val="00C12B5E"/>
    <w:rsid w:val="00C12DF0"/>
    <w:rsid w:val="00C14194"/>
    <w:rsid w:val="00C1562E"/>
    <w:rsid w:val="00C15C47"/>
    <w:rsid w:val="00C16E81"/>
    <w:rsid w:val="00C175CA"/>
    <w:rsid w:val="00C208C5"/>
    <w:rsid w:val="00C20FD7"/>
    <w:rsid w:val="00C21C6A"/>
    <w:rsid w:val="00C226BA"/>
    <w:rsid w:val="00C22DF6"/>
    <w:rsid w:val="00C234DE"/>
    <w:rsid w:val="00C2537A"/>
    <w:rsid w:val="00C258D2"/>
    <w:rsid w:val="00C25D38"/>
    <w:rsid w:val="00C2773D"/>
    <w:rsid w:val="00C3203F"/>
    <w:rsid w:val="00C322A8"/>
    <w:rsid w:val="00C33633"/>
    <w:rsid w:val="00C33649"/>
    <w:rsid w:val="00C33D52"/>
    <w:rsid w:val="00C342E1"/>
    <w:rsid w:val="00C377A0"/>
    <w:rsid w:val="00C4004E"/>
    <w:rsid w:val="00C40B0E"/>
    <w:rsid w:val="00C40CCE"/>
    <w:rsid w:val="00C41346"/>
    <w:rsid w:val="00C417B2"/>
    <w:rsid w:val="00C41BF7"/>
    <w:rsid w:val="00C4210A"/>
    <w:rsid w:val="00C43BD6"/>
    <w:rsid w:val="00C45B16"/>
    <w:rsid w:val="00C45EBD"/>
    <w:rsid w:val="00C466DC"/>
    <w:rsid w:val="00C468DC"/>
    <w:rsid w:val="00C47B12"/>
    <w:rsid w:val="00C50681"/>
    <w:rsid w:val="00C51697"/>
    <w:rsid w:val="00C51BE9"/>
    <w:rsid w:val="00C51FB2"/>
    <w:rsid w:val="00C534CE"/>
    <w:rsid w:val="00C5415C"/>
    <w:rsid w:val="00C541D9"/>
    <w:rsid w:val="00C54FAA"/>
    <w:rsid w:val="00C61347"/>
    <w:rsid w:val="00C616B7"/>
    <w:rsid w:val="00C616C7"/>
    <w:rsid w:val="00C62410"/>
    <w:rsid w:val="00C625BA"/>
    <w:rsid w:val="00C62615"/>
    <w:rsid w:val="00C632AB"/>
    <w:rsid w:val="00C6335B"/>
    <w:rsid w:val="00C63F3D"/>
    <w:rsid w:val="00C645D0"/>
    <w:rsid w:val="00C648E8"/>
    <w:rsid w:val="00C64970"/>
    <w:rsid w:val="00C65119"/>
    <w:rsid w:val="00C67B4F"/>
    <w:rsid w:val="00C70C47"/>
    <w:rsid w:val="00C71AC0"/>
    <w:rsid w:val="00C71B20"/>
    <w:rsid w:val="00C72787"/>
    <w:rsid w:val="00C7706B"/>
    <w:rsid w:val="00C80442"/>
    <w:rsid w:val="00C80468"/>
    <w:rsid w:val="00C81276"/>
    <w:rsid w:val="00C81770"/>
    <w:rsid w:val="00C82510"/>
    <w:rsid w:val="00C83288"/>
    <w:rsid w:val="00C835EC"/>
    <w:rsid w:val="00C83A49"/>
    <w:rsid w:val="00C846E1"/>
    <w:rsid w:val="00C861AA"/>
    <w:rsid w:val="00C90211"/>
    <w:rsid w:val="00C90783"/>
    <w:rsid w:val="00C90BDA"/>
    <w:rsid w:val="00C90EBA"/>
    <w:rsid w:val="00C95C0B"/>
    <w:rsid w:val="00C9647E"/>
    <w:rsid w:val="00CA0927"/>
    <w:rsid w:val="00CA0E05"/>
    <w:rsid w:val="00CA1DEA"/>
    <w:rsid w:val="00CA2575"/>
    <w:rsid w:val="00CA3F8E"/>
    <w:rsid w:val="00CA4623"/>
    <w:rsid w:val="00CA4B6A"/>
    <w:rsid w:val="00CA4E0C"/>
    <w:rsid w:val="00CA7973"/>
    <w:rsid w:val="00CA7A9C"/>
    <w:rsid w:val="00CB007D"/>
    <w:rsid w:val="00CB0544"/>
    <w:rsid w:val="00CB09C7"/>
    <w:rsid w:val="00CB0AE0"/>
    <w:rsid w:val="00CB140F"/>
    <w:rsid w:val="00CC1977"/>
    <w:rsid w:val="00CC1F56"/>
    <w:rsid w:val="00CC2185"/>
    <w:rsid w:val="00CC28DD"/>
    <w:rsid w:val="00CC407A"/>
    <w:rsid w:val="00CC4601"/>
    <w:rsid w:val="00CC75A2"/>
    <w:rsid w:val="00CD03F0"/>
    <w:rsid w:val="00CD0A75"/>
    <w:rsid w:val="00CD2162"/>
    <w:rsid w:val="00CD49EF"/>
    <w:rsid w:val="00CE0348"/>
    <w:rsid w:val="00CE05B8"/>
    <w:rsid w:val="00CE2630"/>
    <w:rsid w:val="00CE423E"/>
    <w:rsid w:val="00CE4C8E"/>
    <w:rsid w:val="00CE67AF"/>
    <w:rsid w:val="00CE6FE3"/>
    <w:rsid w:val="00CE73C4"/>
    <w:rsid w:val="00CE7CA6"/>
    <w:rsid w:val="00CF1409"/>
    <w:rsid w:val="00CF22B9"/>
    <w:rsid w:val="00CF3AB2"/>
    <w:rsid w:val="00CF6442"/>
    <w:rsid w:val="00D0148C"/>
    <w:rsid w:val="00D02747"/>
    <w:rsid w:val="00D029A4"/>
    <w:rsid w:val="00D03FFF"/>
    <w:rsid w:val="00D05D2B"/>
    <w:rsid w:val="00D107B7"/>
    <w:rsid w:val="00D1120B"/>
    <w:rsid w:val="00D118C5"/>
    <w:rsid w:val="00D11B8A"/>
    <w:rsid w:val="00D12C9C"/>
    <w:rsid w:val="00D13ECE"/>
    <w:rsid w:val="00D14664"/>
    <w:rsid w:val="00D146DA"/>
    <w:rsid w:val="00D16310"/>
    <w:rsid w:val="00D175D4"/>
    <w:rsid w:val="00D210C6"/>
    <w:rsid w:val="00D226A0"/>
    <w:rsid w:val="00D231A8"/>
    <w:rsid w:val="00D2491E"/>
    <w:rsid w:val="00D27175"/>
    <w:rsid w:val="00D271CA"/>
    <w:rsid w:val="00D304CE"/>
    <w:rsid w:val="00D3079B"/>
    <w:rsid w:val="00D30F40"/>
    <w:rsid w:val="00D3157C"/>
    <w:rsid w:val="00D3167F"/>
    <w:rsid w:val="00D32626"/>
    <w:rsid w:val="00D32974"/>
    <w:rsid w:val="00D33D96"/>
    <w:rsid w:val="00D33F16"/>
    <w:rsid w:val="00D35671"/>
    <w:rsid w:val="00D362D3"/>
    <w:rsid w:val="00D364E5"/>
    <w:rsid w:val="00D36DF1"/>
    <w:rsid w:val="00D37658"/>
    <w:rsid w:val="00D41184"/>
    <w:rsid w:val="00D41B8D"/>
    <w:rsid w:val="00D41D5C"/>
    <w:rsid w:val="00D42666"/>
    <w:rsid w:val="00D428E9"/>
    <w:rsid w:val="00D434B3"/>
    <w:rsid w:val="00D47CF4"/>
    <w:rsid w:val="00D51380"/>
    <w:rsid w:val="00D5212F"/>
    <w:rsid w:val="00D52D57"/>
    <w:rsid w:val="00D52EB8"/>
    <w:rsid w:val="00D53012"/>
    <w:rsid w:val="00D543E3"/>
    <w:rsid w:val="00D557FA"/>
    <w:rsid w:val="00D56D8A"/>
    <w:rsid w:val="00D6208B"/>
    <w:rsid w:val="00D621E8"/>
    <w:rsid w:val="00D6323D"/>
    <w:rsid w:val="00D634A8"/>
    <w:rsid w:val="00D64390"/>
    <w:rsid w:val="00D65736"/>
    <w:rsid w:val="00D6587B"/>
    <w:rsid w:val="00D66511"/>
    <w:rsid w:val="00D66C49"/>
    <w:rsid w:val="00D67916"/>
    <w:rsid w:val="00D70277"/>
    <w:rsid w:val="00D7082A"/>
    <w:rsid w:val="00D71B6A"/>
    <w:rsid w:val="00D75B39"/>
    <w:rsid w:val="00D76498"/>
    <w:rsid w:val="00D76ADD"/>
    <w:rsid w:val="00D80666"/>
    <w:rsid w:val="00D83EAC"/>
    <w:rsid w:val="00D85DDD"/>
    <w:rsid w:val="00D86780"/>
    <w:rsid w:val="00D86E4E"/>
    <w:rsid w:val="00D878B0"/>
    <w:rsid w:val="00D903A5"/>
    <w:rsid w:val="00D94156"/>
    <w:rsid w:val="00D94173"/>
    <w:rsid w:val="00D94439"/>
    <w:rsid w:val="00D96146"/>
    <w:rsid w:val="00D97561"/>
    <w:rsid w:val="00D97FE1"/>
    <w:rsid w:val="00DA02CA"/>
    <w:rsid w:val="00DA15E3"/>
    <w:rsid w:val="00DA5BF2"/>
    <w:rsid w:val="00DB1039"/>
    <w:rsid w:val="00DB2AE9"/>
    <w:rsid w:val="00DB4813"/>
    <w:rsid w:val="00DB6228"/>
    <w:rsid w:val="00DB7D86"/>
    <w:rsid w:val="00DC0E10"/>
    <w:rsid w:val="00DC1484"/>
    <w:rsid w:val="00DC5F49"/>
    <w:rsid w:val="00DC6208"/>
    <w:rsid w:val="00DC77D8"/>
    <w:rsid w:val="00DC7BEC"/>
    <w:rsid w:val="00DD3F0E"/>
    <w:rsid w:val="00DD41D5"/>
    <w:rsid w:val="00DE073C"/>
    <w:rsid w:val="00DE16E9"/>
    <w:rsid w:val="00DE195F"/>
    <w:rsid w:val="00DE4365"/>
    <w:rsid w:val="00DE4C6F"/>
    <w:rsid w:val="00DE65EC"/>
    <w:rsid w:val="00DE73AD"/>
    <w:rsid w:val="00DE7B84"/>
    <w:rsid w:val="00DF0D97"/>
    <w:rsid w:val="00DF3765"/>
    <w:rsid w:val="00DF5554"/>
    <w:rsid w:val="00DF631C"/>
    <w:rsid w:val="00DF6436"/>
    <w:rsid w:val="00E00656"/>
    <w:rsid w:val="00E01B46"/>
    <w:rsid w:val="00E05F95"/>
    <w:rsid w:val="00E05FF0"/>
    <w:rsid w:val="00E06324"/>
    <w:rsid w:val="00E06846"/>
    <w:rsid w:val="00E075A1"/>
    <w:rsid w:val="00E109B2"/>
    <w:rsid w:val="00E115BC"/>
    <w:rsid w:val="00E115E0"/>
    <w:rsid w:val="00E11C47"/>
    <w:rsid w:val="00E123C5"/>
    <w:rsid w:val="00E1394C"/>
    <w:rsid w:val="00E1400B"/>
    <w:rsid w:val="00E16905"/>
    <w:rsid w:val="00E17B51"/>
    <w:rsid w:val="00E2249A"/>
    <w:rsid w:val="00E2474A"/>
    <w:rsid w:val="00E25FD7"/>
    <w:rsid w:val="00E2608D"/>
    <w:rsid w:val="00E271BE"/>
    <w:rsid w:val="00E30C20"/>
    <w:rsid w:val="00E30E91"/>
    <w:rsid w:val="00E30EBB"/>
    <w:rsid w:val="00E32B5E"/>
    <w:rsid w:val="00E32D74"/>
    <w:rsid w:val="00E33420"/>
    <w:rsid w:val="00E33D2F"/>
    <w:rsid w:val="00E35D4E"/>
    <w:rsid w:val="00E363D3"/>
    <w:rsid w:val="00E3659D"/>
    <w:rsid w:val="00E366C3"/>
    <w:rsid w:val="00E41E7A"/>
    <w:rsid w:val="00E4272F"/>
    <w:rsid w:val="00E42DBB"/>
    <w:rsid w:val="00E42FD5"/>
    <w:rsid w:val="00E43F0E"/>
    <w:rsid w:val="00E47412"/>
    <w:rsid w:val="00E503CA"/>
    <w:rsid w:val="00E50577"/>
    <w:rsid w:val="00E54103"/>
    <w:rsid w:val="00E57717"/>
    <w:rsid w:val="00E6040B"/>
    <w:rsid w:val="00E610C7"/>
    <w:rsid w:val="00E66C39"/>
    <w:rsid w:val="00E67AC7"/>
    <w:rsid w:val="00E7031A"/>
    <w:rsid w:val="00E70CC7"/>
    <w:rsid w:val="00E720C8"/>
    <w:rsid w:val="00E727B4"/>
    <w:rsid w:val="00E72ABE"/>
    <w:rsid w:val="00E7400E"/>
    <w:rsid w:val="00E758B8"/>
    <w:rsid w:val="00E773A0"/>
    <w:rsid w:val="00E776F8"/>
    <w:rsid w:val="00E77F0E"/>
    <w:rsid w:val="00E81B23"/>
    <w:rsid w:val="00E82285"/>
    <w:rsid w:val="00E85022"/>
    <w:rsid w:val="00E851EA"/>
    <w:rsid w:val="00E85235"/>
    <w:rsid w:val="00E86332"/>
    <w:rsid w:val="00E87814"/>
    <w:rsid w:val="00E91702"/>
    <w:rsid w:val="00E93343"/>
    <w:rsid w:val="00E9493D"/>
    <w:rsid w:val="00E94FD8"/>
    <w:rsid w:val="00E95D8A"/>
    <w:rsid w:val="00E96140"/>
    <w:rsid w:val="00E972F5"/>
    <w:rsid w:val="00EA18B5"/>
    <w:rsid w:val="00EA48FC"/>
    <w:rsid w:val="00EA69C3"/>
    <w:rsid w:val="00EA7027"/>
    <w:rsid w:val="00EB0D59"/>
    <w:rsid w:val="00EB17BE"/>
    <w:rsid w:val="00EB2203"/>
    <w:rsid w:val="00EB3CD1"/>
    <w:rsid w:val="00EB3FD4"/>
    <w:rsid w:val="00EB3FE1"/>
    <w:rsid w:val="00EB48E1"/>
    <w:rsid w:val="00EB4A8E"/>
    <w:rsid w:val="00EB4EAC"/>
    <w:rsid w:val="00EB5501"/>
    <w:rsid w:val="00EB75FE"/>
    <w:rsid w:val="00EC031D"/>
    <w:rsid w:val="00EC0A39"/>
    <w:rsid w:val="00EC0BE6"/>
    <w:rsid w:val="00EC0C81"/>
    <w:rsid w:val="00EC12EE"/>
    <w:rsid w:val="00EC2985"/>
    <w:rsid w:val="00EC29DE"/>
    <w:rsid w:val="00EC33B7"/>
    <w:rsid w:val="00EC366B"/>
    <w:rsid w:val="00EC47F6"/>
    <w:rsid w:val="00EC5738"/>
    <w:rsid w:val="00EC5A7F"/>
    <w:rsid w:val="00EC5BA4"/>
    <w:rsid w:val="00EC5F9E"/>
    <w:rsid w:val="00ED01CD"/>
    <w:rsid w:val="00ED063F"/>
    <w:rsid w:val="00ED0BAF"/>
    <w:rsid w:val="00ED1A5B"/>
    <w:rsid w:val="00ED35A6"/>
    <w:rsid w:val="00ED3A1C"/>
    <w:rsid w:val="00ED3C2F"/>
    <w:rsid w:val="00ED7CDD"/>
    <w:rsid w:val="00ED7FF2"/>
    <w:rsid w:val="00EE1060"/>
    <w:rsid w:val="00EE1387"/>
    <w:rsid w:val="00EE41A1"/>
    <w:rsid w:val="00EE4E8E"/>
    <w:rsid w:val="00EE5A4D"/>
    <w:rsid w:val="00EE7F07"/>
    <w:rsid w:val="00EF18F6"/>
    <w:rsid w:val="00EF60D4"/>
    <w:rsid w:val="00EF6694"/>
    <w:rsid w:val="00EF6E58"/>
    <w:rsid w:val="00F00DC9"/>
    <w:rsid w:val="00F020CF"/>
    <w:rsid w:val="00F03A6F"/>
    <w:rsid w:val="00F04ED7"/>
    <w:rsid w:val="00F06ABC"/>
    <w:rsid w:val="00F078B5"/>
    <w:rsid w:val="00F12E05"/>
    <w:rsid w:val="00F1348F"/>
    <w:rsid w:val="00F13F50"/>
    <w:rsid w:val="00F15CE1"/>
    <w:rsid w:val="00F15F42"/>
    <w:rsid w:val="00F1642E"/>
    <w:rsid w:val="00F1677C"/>
    <w:rsid w:val="00F17587"/>
    <w:rsid w:val="00F17E9A"/>
    <w:rsid w:val="00F2014D"/>
    <w:rsid w:val="00F22E84"/>
    <w:rsid w:val="00F22F60"/>
    <w:rsid w:val="00F24F9C"/>
    <w:rsid w:val="00F25F7F"/>
    <w:rsid w:val="00F26474"/>
    <w:rsid w:val="00F30AB9"/>
    <w:rsid w:val="00F361CB"/>
    <w:rsid w:val="00F3751F"/>
    <w:rsid w:val="00F41839"/>
    <w:rsid w:val="00F42D51"/>
    <w:rsid w:val="00F44830"/>
    <w:rsid w:val="00F448F4"/>
    <w:rsid w:val="00F44BDC"/>
    <w:rsid w:val="00F46A34"/>
    <w:rsid w:val="00F4746C"/>
    <w:rsid w:val="00F4771D"/>
    <w:rsid w:val="00F47780"/>
    <w:rsid w:val="00F478BA"/>
    <w:rsid w:val="00F50FEA"/>
    <w:rsid w:val="00F51A53"/>
    <w:rsid w:val="00F52C04"/>
    <w:rsid w:val="00F5345E"/>
    <w:rsid w:val="00F53597"/>
    <w:rsid w:val="00F538BB"/>
    <w:rsid w:val="00F54189"/>
    <w:rsid w:val="00F56C74"/>
    <w:rsid w:val="00F57207"/>
    <w:rsid w:val="00F5747F"/>
    <w:rsid w:val="00F57533"/>
    <w:rsid w:val="00F606DB"/>
    <w:rsid w:val="00F60E6E"/>
    <w:rsid w:val="00F61444"/>
    <w:rsid w:val="00F61E51"/>
    <w:rsid w:val="00F63A66"/>
    <w:rsid w:val="00F644D9"/>
    <w:rsid w:val="00F656A9"/>
    <w:rsid w:val="00F65867"/>
    <w:rsid w:val="00F663B5"/>
    <w:rsid w:val="00F66DF8"/>
    <w:rsid w:val="00F67ECF"/>
    <w:rsid w:val="00F67F48"/>
    <w:rsid w:val="00F70120"/>
    <w:rsid w:val="00F705AC"/>
    <w:rsid w:val="00F72138"/>
    <w:rsid w:val="00F73E58"/>
    <w:rsid w:val="00F744C3"/>
    <w:rsid w:val="00F74539"/>
    <w:rsid w:val="00F75608"/>
    <w:rsid w:val="00F76083"/>
    <w:rsid w:val="00F80AFB"/>
    <w:rsid w:val="00F842CC"/>
    <w:rsid w:val="00F84EEC"/>
    <w:rsid w:val="00F8543D"/>
    <w:rsid w:val="00F86C2F"/>
    <w:rsid w:val="00F9086D"/>
    <w:rsid w:val="00F908C4"/>
    <w:rsid w:val="00F918C6"/>
    <w:rsid w:val="00F92247"/>
    <w:rsid w:val="00F93649"/>
    <w:rsid w:val="00F9496E"/>
    <w:rsid w:val="00F96741"/>
    <w:rsid w:val="00F971EB"/>
    <w:rsid w:val="00F97732"/>
    <w:rsid w:val="00FA0274"/>
    <w:rsid w:val="00FA1205"/>
    <w:rsid w:val="00FA211A"/>
    <w:rsid w:val="00FA215F"/>
    <w:rsid w:val="00FA390E"/>
    <w:rsid w:val="00FA3A5D"/>
    <w:rsid w:val="00FA3B80"/>
    <w:rsid w:val="00FA45F9"/>
    <w:rsid w:val="00FA5054"/>
    <w:rsid w:val="00FA5383"/>
    <w:rsid w:val="00FA6FA2"/>
    <w:rsid w:val="00FA7A55"/>
    <w:rsid w:val="00FB1764"/>
    <w:rsid w:val="00FB256E"/>
    <w:rsid w:val="00FB2FD5"/>
    <w:rsid w:val="00FB4DEE"/>
    <w:rsid w:val="00FB5172"/>
    <w:rsid w:val="00FB5D2B"/>
    <w:rsid w:val="00FB698D"/>
    <w:rsid w:val="00FC0283"/>
    <w:rsid w:val="00FC076E"/>
    <w:rsid w:val="00FC106E"/>
    <w:rsid w:val="00FC11EF"/>
    <w:rsid w:val="00FC24B4"/>
    <w:rsid w:val="00FC2B68"/>
    <w:rsid w:val="00FC49E1"/>
    <w:rsid w:val="00FC6CD0"/>
    <w:rsid w:val="00FD1537"/>
    <w:rsid w:val="00FD4A27"/>
    <w:rsid w:val="00FD4AA1"/>
    <w:rsid w:val="00FD4C76"/>
    <w:rsid w:val="00FD6DF4"/>
    <w:rsid w:val="00FD7AFE"/>
    <w:rsid w:val="00FE0ABD"/>
    <w:rsid w:val="00FE12EB"/>
    <w:rsid w:val="00FE1A58"/>
    <w:rsid w:val="00FE2736"/>
    <w:rsid w:val="00FE2D4E"/>
    <w:rsid w:val="00FE3AFA"/>
    <w:rsid w:val="00FE4F17"/>
    <w:rsid w:val="00FE6D8D"/>
    <w:rsid w:val="00FF0D60"/>
    <w:rsid w:val="00FF1348"/>
    <w:rsid w:val="00FF3434"/>
    <w:rsid w:val="00FF362B"/>
    <w:rsid w:val="00FF475B"/>
    <w:rsid w:val="00FF6E89"/>
    <w:rsid w:val="00FF7325"/>
    <w:rsid w:val="012114BC"/>
    <w:rsid w:val="01253B48"/>
    <w:rsid w:val="01457AA0"/>
    <w:rsid w:val="0159126E"/>
    <w:rsid w:val="01F8115A"/>
    <w:rsid w:val="02071F10"/>
    <w:rsid w:val="022C1D33"/>
    <w:rsid w:val="025F34C4"/>
    <w:rsid w:val="02D54924"/>
    <w:rsid w:val="0303160E"/>
    <w:rsid w:val="031B62B7"/>
    <w:rsid w:val="033C3A61"/>
    <w:rsid w:val="034D4E02"/>
    <w:rsid w:val="037B3BA2"/>
    <w:rsid w:val="038F1046"/>
    <w:rsid w:val="03C46C2A"/>
    <w:rsid w:val="03CA507A"/>
    <w:rsid w:val="03D22E35"/>
    <w:rsid w:val="03DD7F34"/>
    <w:rsid w:val="03EA3CBC"/>
    <w:rsid w:val="041374AC"/>
    <w:rsid w:val="045671A7"/>
    <w:rsid w:val="04B66A2B"/>
    <w:rsid w:val="04D741E0"/>
    <w:rsid w:val="05045825"/>
    <w:rsid w:val="052F0166"/>
    <w:rsid w:val="05392C0B"/>
    <w:rsid w:val="055A4685"/>
    <w:rsid w:val="05E546BF"/>
    <w:rsid w:val="062777E6"/>
    <w:rsid w:val="063C3C0E"/>
    <w:rsid w:val="06587898"/>
    <w:rsid w:val="06594FBB"/>
    <w:rsid w:val="065A27B6"/>
    <w:rsid w:val="06704931"/>
    <w:rsid w:val="067F586E"/>
    <w:rsid w:val="06A12600"/>
    <w:rsid w:val="06BB2AE8"/>
    <w:rsid w:val="06E27093"/>
    <w:rsid w:val="06FC2DC7"/>
    <w:rsid w:val="07013BDD"/>
    <w:rsid w:val="07320597"/>
    <w:rsid w:val="07381C9C"/>
    <w:rsid w:val="07382C26"/>
    <w:rsid w:val="0776753F"/>
    <w:rsid w:val="078C04F6"/>
    <w:rsid w:val="07941102"/>
    <w:rsid w:val="0798411C"/>
    <w:rsid w:val="07C97503"/>
    <w:rsid w:val="07D426F5"/>
    <w:rsid w:val="08040DBC"/>
    <w:rsid w:val="081E4FBF"/>
    <w:rsid w:val="0874698D"/>
    <w:rsid w:val="08791D90"/>
    <w:rsid w:val="087A716B"/>
    <w:rsid w:val="088A5722"/>
    <w:rsid w:val="08AA372B"/>
    <w:rsid w:val="09062D17"/>
    <w:rsid w:val="09412D13"/>
    <w:rsid w:val="094E5430"/>
    <w:rsid w:val="095C19C2"/>
    <w:rsid w:val="09631E2D"/>
    <w:rsid w:val="09A03052"/>
    <w:rsid w:val="09A6701A"/>
    <w:rsid w:val="09E323FF"/>
    <w:rsid w:val="09F94F12"/>
    <w:rsid w:val="0A1E4E03"/>
    <w:rsid w:val="0A4D3DED"/>
    <w:rsid w:val="0A56047D"/>
    <w:rsid w:val="0A7A0616"/>
    <w:rsid w:val="0A974FB2"/>
    <w:rsid w:val="0AC0410C"/>
    <w:rsid w:val="0AD347E3"/>
    <w:rsid w:val="0ADC6BEC"/>
    <w:rsid w:val="0B000223"/>
    <w:rsid w:val="0B0218E5"/>
    <w:rsid w:val="0B283233"/>
    <w:rsid w:val="0B884017"/>
    <w:rsid w:val="0BAD0502"/>
    <w:rsid w:val="0BD44AC3"/>
    <w:rsid w:val="0C0E4FAD"/>
    <w:rsid w:val="0C190369"/>
    <w:rsid w:val="0C691833"/>
    <w:rsid w:val="0C767494"/>
    <w:rsid w:val="0C797725"/>
    <w:rsid w:val="0CB5783D"/>
    <w:rsid w:val="0CC91B1E"/>
    <w:rsid w:val="0CCD31E0"/>
    <w:rsid w:val="0D301CF4"/>
    <w:rsid w:val="0D43439C"/>
    <w:rsid w:val="0D4D14FF"/>
    <w:rsid w:val="0D504096"/>
    <w:rsid w:val="0D591226"/>
    <w:rsid w:val="0D604992"/>
    <w:rsid w:val="0D793BD3"/>
    <w:rsid w:val="0D8F42A0"/>
    <w:rsid w:val="0DD6286F"/>
    <w:rsid w:val="0E4532A6"/>
    <w:rsid w:val="0E45624A"/>
    <w:rsid w:val="0E4C56C5"/>
    <w:rsid w:val="0E54285E"/>
    <w:rsid w:val="0E5A03D3"/>
    <w:rsid w:val="0E5E14CC"/>
    <w:rsid w:val="0E9A3CDB"/>
    <w:rsid w:val="0E9D5FED"/>
    <w:rsid w:val="0EEE306B"/>
    <w:rsid w:val="0F053E80"/>
    <w:rsid w:val="0F345416"/>
    <w:rsid w:val="0F437B1F"/>
    <w:rsid w:val="0F50648D"/>
    <w:rsid w:val="0F5337A0"/>
    <w:rsid w:val="0F5357CA"/>
    <w:rsid w:val="0F683FEE"/>
    <w:rsid w:val="0FB32A13"/>
    <w:rsid w:val="0FD348E1"/>
    <w:rsid w:val="0FFE623B"/>
    <w:rsid w:val="104F3E0C"/>
    <w:rsid w:val="10505F32"/>
    <w:rsid w:val="10816748"/>
    <w:rsid w:val="10A831F4"/>
    <w:rsid w:val="10AE4496"/>
    <w:rsid w:val="1145640B"/>
    <w:rsid w:val="114A7AFA"/>
    <w:rsid w:val="118D2E39"/>
    <w:rsid w:val="11AC476B"/>
    <w:rsid w:val="11EA5710"/>
    <w:rsid w:val="120314AE"/>
    <w:rsid w:val="121413A7"/>
    <w:rsid w:val="12422DE9"/>
    <w:rsid w:val="1254573F"/>
    <w:rsid w:val="12BF098A"/>
    <w:rsid w:val="12C7704B"/>
    <w:rsid w:val="12D152D7"/>
    <w:rsid w:val="12E070F9"/>
    <w:rsid w:val="12EC39DE"/>
    <w:rsid w:val="130D1795"/>
    <w:rsid w:val="13183D25"/>
    <w:rsid w:val="133E25E8"/>
    <w:rsid w:val="136C00D3"/>
    <w:rsid w:val="139D148E"/>
    <w:rsid w:val="13AA1C9A"/>
    <w:rsid w:val="13C26686"/>
    <w:rsid w:val="13C442BF"/>
    <w:rsid w:val="14151BB9"/>
    <w:rsid w:val="14184FF7"/>
    <w:rsid w:val="143856AA"/>
    <w:rsid w:val="14465B43"/>
    <w:rsid w:val="14C67A38"/>
    <w:rsid w:val="14E83F31"/>
    <w:rsid w:val="14F90FE5"/>
    <w:rsid w:val="153E27FD"/>
    <w:rsid w:val="1544354F"/>
    <w:rsid w:val="15562A34"/>
    <w:rsid w:val="15BD2070"/>
    <w:rsid w:val="15E41770"/>
    <w:rsid w:val="16316E94"/>
    <w:rsid w:val="163F4C34"/>
    <w:rsid w:val="16471596"/>
    <w:rsid w:val="16693BBB"/>
    <w:rsid w:val="16996A2D"/>
    <w:rsid w:val="16B9038D"/>
    <w:rsid w:val="16DB4C05"/>
    <w:rsid w:val="16F35CBF"/>
    <w:rsid w:val="171526A5"/>
    <w:rsid w:val="174B5B9E"/>
    <w:rsid w:val="176A0509"/>
    <w:rsid w:val="17914E66"/>
    <w:rsid w:val="17AC0A28"/>
    <w:rsid w:val="17C60BD2"/>
    <w:rsid w:val="183E0A4C"/>
    <w:rsid w:val="188B219C"/>
    <w:rsid w:val="18A173D2"/>
    <w:rsid w:val="18BD0BB9"/>
    <w:rsid w:val="18DC50AC"/>
    <w:rsid w:val="18FA44C6"/>
    <w:rsid w:val="19037A40"/>
    <w:rsid w:val="190F4BB8"/>
    <w:rsid w:val="192D6241"/>
    <w:rsid w:val="194D1959"/>
    <w:rsid w:val="197741F1"/>
    <w:rsid w:val="19CF2395"/>
    <w:rsid w:val="19DC526F"/>
    <w:rsid w:val="1A0A1C49"/>
    <w:rsid w:val="1A4F2DB6"/>
    <w:rsid w:val="1A6B61C1"/>
    <w:rsid w:val="1A967143"/>
    <w:rsid w:val="1AA260A5"/>
    <w:rsid w:val="1AB8095B"/>
    <w:rsid w:val="1ADF676A"/>
    <w:rsid w:val="1AEA1586"/>
    <w:rsid w:val="1B33291D"/>
    <w:rsid w:val="1B4C088D"/>
    <w:rsid w:val="1B637819"/>
    <w:rsid w:val="1B641A07"/>
    <w:rsid w:val="1BA92945"/>
    <w:rsid w:val="1BC33DB2"/>
    <w:rsid w:val="1BC7124B"/>
    <w:rsid w:val="1BC8731E"/>
    <w:rsid w:val="1BE23885"/>
    <w:rsid w:val="1BE62985"/>
    <w:rsid w:val="1BE7396C"/>
    <w:rsid w:val="1C613D5E"/>
    <w:rsid w:val="1C6C2C92"/>
    <w:rsid w:val="1C9523D4"/>
    <w:rsid w:val="1C9C05F3"/>
    <w:rsid w:val="1CC248EF"/>
    <w:rsid w:val="1D097B94"/>
    <w:rsid w:val="1D181B85"/>
    <w:rsid w:val="1D1F04A4"/>
    <w:rsid w:val="1D2A6A11"/>
    <w:rsid w:val="1D421CEF"/>
    <w:rsid w:val="1D825D48"/>
    <w:rsid w:val="1D911AE3"/>
    <w:rsid w:val="1DA96600"/>
    <w:rsid w:val="1E401F76"/>
    <w:rsid w:val="1E760799"/>
    <w:rsid w:val="1E834FB4"/>
    <w:rsid w:val="1EA24404"/>
    <w:rsid w:val="1ED02718"/>
    <w:rsid w:val="1EE06FE5"/>
    <w:rsid w:val="1F082189"/>
    <w:rsid w:val="1F1D17AC"/>
    <w:rsid w:val="1F2E40EC"/>
    <w:rsid w:val="1F6468C7"/>
    <w:rsid w:val="1F715824"/>
    <w:rsid w:val="1F936C51"/>
    <w:rsid w:val="1FE8747D"/>
    <w:rsid w:val="1FF26C41"/>
    <w:rsid w:val="201822AE"/>
    <w:rsid w:val="2026631F"/>
    <w:rsid w:val="20455A6C"/>
    <w:rsid w:val="204809D3"/>
    <w:rsid w:val="207672EF"/>
    <w:rsid w:val="2085717B"/>
    <w:rsid w:val="20C31E08"/>
    <w:rsid w:val="20E25415"/>
    <w:rsid w:val="20ED21CF"/>
    <w:rsid w:val="211A4FB9"/>
    <w:rsid w:val="217630C8"/>
    <w:rsid w:val="218F6AD7"/>
    <w:rsid w:val="219525B8"/>
    <w:rsid w:val="21F11323"/>
    <w:rsid w:val="220B0B8D"/>
    <w:rsid w:val="225A67A1"/>
    <w:rsid w:val="226D1BA7"/>
    <w:rsid w:val="228C576E"/>
    <w:rsid w:val="22A04AF7"/>
    <w:rsid w:val="22B30375"/>
    <w:rsid w:val="22CB70E1"/>
    <w:rsid w:val="22D65801"/>
    <w:rsid w:val="22DE0239"/>
    <w:rsid w:val="23381652"/>
    <w:rsid w:val="23823A51"/>
    <w:rsid w:val="238B0811"/>
    <w:rsid w:val="23B65E16"/>
    <w:rsid w:val="23F76D18"/>
    <w:rsid w:val="23FF1E0A"/>
    <w:rsid w:val="240E3764"/>
    <w:rsid w:val="242738E4"/>
    <w:rsid w:val="24794353"/>
    <w:rsid w:val="24BD7BD4"/>
    <w:rsid w:val="24E45016"/>
    <w:rsid w:val="24FA615D"/>
    <w:rsid w:val="24FB56A5"/>
    <w:rsid w:val="250D5433"/>
    <w:rsid w:val="25202814"/>
    <w:rsid w:val="252B42A2"/>
    <w:rsid w:val="252D4D9F"/>
    <w:rsid w:val="255F3C5F"/>
    <w:rsid w:val="257C6931"/>
    <w:rsid w:val="260A0F57"/>
    <w:rsid w:val="2634237E"/>
    <w:rsid w:val="26800F75"/>
    <w:rsid w:val="26CF2FF0"/>
    <w:rsid w:val="270C3779"/>
    <w:rsid w:val="270C4509"/>
    <w:rsid w:val="271F6EEA"/>
    <w:rsid w:val="276A6636"/>
    <w:rsid w:val="276F6846"/>
    <w:rsid w:val="27FA52BE"/>
    <w:rsid w:val="27FD2CCF"/>
    <w:rsid w:val="280729D7"/>
    <w:rsid w:val="28237639"/>
    <w:rsid w:val="28395B43"/>
    <w:rsid w:val="28395C86"/>
    <w:rsid w:val="284B1061"/>
    <w:rsid w:val="28595C3D"/>
    <w:rsid w:val="286B1102"/>
    <w:rsid w:val="28781E4D"/>
    <w:rsid w:val="287E4827"/>
    <w:rsid w:val="28847A77"/>
    <w:rsid w:val="28AB5C33"/>
    <w:rsid w:val="28BD7277"/>
    <w:rsid w:val="28D30224"/>
    <w:rsid w:val="291D3752"/>
    <w:rsid w:val="29211FA8"/>
    <w:rsid w:val="294511AB"/>
    <w:rsid w:val="2987431B"/>
    <w:rsid w:val="29D97D23"/>
    <w:rsid w:val="29FC1285"/>
    <w:rsid w:val="2A5A171A"/>
    <w:rsid w:val="2AC05D36"/>
    <w:rsid w:val="2AEF4093"/>
    <w:rsid w:val="2AF25618"/>
    <w:rsid w:val="2B14246C"/>
    <w:rsid w:val="2BAD7CFC"/>
    <w:rsid w:val="2BDD6E12"/>
    <w:rsid w:val="2BDE4FB1"/>
    <w:rsid w:val="2C061DB2"/>
    <w:rsid w:val="2C1A203F"/>
    <w:rsid w:val="2C4D23FF"/>
    <w:rsid w:val="2C58157D"/>
    <w:rsid w:val="2C5C4B14"/>
    <w:rsid w:val="2C6D2895"/>
    <w:rsid w:val="2CB441B7"/>
    <w:rsid w:val="2CD04D6B"/>
    <w:rsid w:val="2CE1615C"/>
    <w:rsid w:val="2D5B3AF4"/>
    <w:rsid w:val="2D780009"/>
    <w:rsid w:val="2D8B6059"/>
    <w:rsid w:val="2DA941C7"/>
    <w:rsid w:val="2E131767"/>
    <w:rsid w:val="2E173103"/>
    <w:rsid w:val="2E1C50FE"/>
    <w:rsid w:val="2E3305CD"/>
    <w:rsid w:val="2E5842B1"/>
    <w:rsid w:val="2E6D4D14"/>
    <w:rsid w:val="2E8773B2"/>
    <w:rsid w:val="2E945F44"/>
    <w:rsid w:val="2E9F0E2E"/>
    <w:rsid w:val="2F083808"/>
    <w:rsid w:val="2F0F6874"/>
    <w:rsid w:val="2F2A7D08"/>
    <w:rsid w:val="2F4D1D9D"/>
    <w:rsid w:val="2F545D5E"/>
    <w:rsid w:val="2F977252"/>
    <w:rsid w:val="2FA05BA5"/>
    <w:rsid w:val="2FB84171"/>
    <w:rsid w:val="2FE813FF"/>
    <w:rsid w:val="301E5B84"/>
    <w:rsid w:val="302556FE"/>
    <w:rsid w:val="302E66E2"/>
    <w:rsid w:val="303E02A3"/>
    <w:rsid w:val="3042622C"/>
    <w:rsid w:val="30580118"/>
    <w:rsid w:val="305A1808"/>
    <w:rsid w:val="3088164A"/>
    <w:rsid w:val="31161A4A"/>
    <w:rsid w:val="3149122A"/>
    <w:rsid w:val="31A013F2"/>
    <w:rsid w:val="31A67308"/>
    <w:rsid w:val="31D36B71"/>
    <w:rsid w:val="31E3230A"/>
    <w:rsid w:val="323C7F83"/>
    <w:rsid w:val="32543990"/>
    <w:rsid w:val="3257092B"/>
    <w:rsid w:val="327446C9"/>
    <w:rsid w:val="32762D01"/>
    <w:rsid w:val="328E7CBF"/>
    <w:rsid w:val="32990E2E"/>
    <w:rsid w:val="32E766E5"/>
    <w:rsid w:val="331035D3"/>
    <w:rsid w:val="331C1B02"/>
    <w:rsid w:val="33361367"/>
    <w:rsid w:val="333E33C9"/>
    <w:rsid w:val="336E5CC5"/>
    <w:rsid w:val="338F301C"/>
    <w:rsid w:val="33B45D0C"/>
    <w:rsid w:val="33EA7AC3"/>
    <w:rsid w:val="33ED675C"/>
    <w:rsid w:val="341605B0"/>
    <w:rsid w:val="341F1950"/>
    <w:rsid w:val="342F758C"/>
    <w:rsid w:val="347E5ED8"/>
    <w:rsid w:val="348713E5"/>
    <w:rsid w:val="349A2AB8"/>
    <w:rsid w:val="34D50630"/>
    <w:rsid w:val="34D819EE"/>
    <w:rsid w:val="3504442F"/>
    <w:rsid w:val="35152E75"/>
    <w:rsid w:val="35190E28"/>
    <w:rsid w:val="35302189"/>
    <w:rsid w:val="35342790"/>
    <w:rsid w:val="354B5054"/>
    <w:rsid w:val="35E102CC"/>
    <w:rsid w:val="35FF46A1"/>
    <w:rsid w:val="36492328"/>
    <w:rsid w:val="364A32AA"/>
    <w:rsid w:val="36591F03"/>
    <w:rsid w:val="366827CD"/>
    <w:rsid w:val="36A165F4"/>
    <w:rsid w:val="36BA67BA"/>
    <w:rsid w:val="36E524B4"/>
    <w:rsid w:val="37523F40"/>
    <w:rsid w:val="3756577A"/>
    <w:rsid w:val="37932FB3"/>
    <w:rsid w:val="383019F2"/>
    <w:rsid w:val="3837515E"/>
    <w:rsid w:val="384C0988"/>
    <w:rsid w:val="38836E09"/>
    <w:rsid w:val="388B3E9B"/>
    <w:rsid w:val="38AC0A5D"/>
    <w:rsid w:val="38BB0283"/>
    <w:rsid w:val="38BE10AA"/>
    <w:rsid w:val="38DA0C1B"/>
    <w:rsid w:val="390809D8"/>
    <w:rsid w:val="39226E2A"/>
    <w:rsid w:val="392A43AE"/>
    <w:rsid w:val="399505FE"/>
    <w:rsid w:val="39D87CA7"/>
    <w:rsid w:val="39E62997"/>
    <w:rsid w:val="3A4854BF"/>
    <w:rsid w:val="3A6C3210"/>
    <w:rsid w:val="3A704B3D"/>
    <w:rsid w:val="3A8A02A9"/>
    <w:rsid w:val="3A9307FA"/>
    <w:rsid w:val="3A9710C0"/>
    <w:rsid w:val="3AA3154F"/>
    <w:rsid w:val="3AA9564F"/>
    <w:rsid w:val="3AB37600"/>
    <w:rsid w:val="3AD32285"/>
    <w:rsid w:val="3AD60C5E"/>
    <w:rsid w:val="3AD9278E"/>
    <w:rsid w:val="3B31626A"/>
    <w:rsid w:val="3B620744"/>
    <w:rsid w:val="3B901F24"/>
    <w:rsid w:val="3BB80289"/>
    <w:rsid w:val="3BBA40DC"/>
    <w:rsid w:val="3BC66EC3"/>
    <w:rsid w:val="3BC9638C"/>
    <w:rsid w:val="3C0416AE"/>
    <w:rsid w:val="3C2D68BD"/>
    <w:rsid w:val="3C590EB4"/>
    <w:rsid w:val="3CC64D02"/>
    <w:rsid w:val="3D0535AB"/>
    <w:rsid w:val="3D233E3A"/>
    <w:rsid w:val="3D7C2E18"/>
    <w:rsid w:val="3D874491"/>
    <w:rsid w:val="3D904E36"/>
    <w:rsid w:val="3D972092"/>
    <w:rsid w:val="3DAC5AD8"/>
    <w:rsid w:val="3DBB53B2"/>
    <w:rsid w:val="3DC81239"/>
    <w:rsid w:val="3DDD2A22"/>
    <w:rsid w:val="3E104487"/>
    <w:rsid w:val="3E9D219C"/>
    <w:rsid w:val="3EF14302"/>
    <w:rsid w:val="3F33161D"/>
    <w:rsid w:val="3F5022E8"/>
    <w:rsid w:val="3F653DC5"/>
    <w:rsid w:val="3F963A29"/>
    <w:rsid w:val="3F9D5090"/>
    <w:rsid w:val="3FD85E5B"/>
    <w:rsid w:val="3FF26AA5"/>
    <w:rsid w:val="40162482"/>
    <w:rsid w:val="403F546D"/>
    <w:rsid w:val="40652C92"/>
    <w:rsid w:val="40751F29"/>
    <w:rsid w:val="40871F4E"/>
    <w:rsid w:val="40E55E64"/>
    <w:rsid w:val="414432AC"/>
    <w:rsid w:val="41525FDD"/>
    <w:rsid w:val="41771C40"/>
    <w:rsid w:val="41B037C7"/>
    <w:rsid w:val="41E1274D"/>
    <w:rsid w:val="42360B4D"/>
    <w:rsid w:val="42772F86"/>
    <w:rsid w:val="428B0BD4"/>
    <w:rsid w:val="42AF7882"/>
    <w:rsid w:val="42B26A6D"/>
    <w:rsid w:val="42E34324"/>
    <w:rsid w:val="43151B79"/>
    <w:rsid w:val="43554E78"/>
    <w:rsid w:val="437B23A2"/>
    <w:rsid w:val="437C611B"/>
    <w:rsid w:val="44882599"/>
    <w:rsid w:val="448A278A"/>
    <w:rsid w:val="44B37E8E"/>
    <w:rsid w:val="450F1536"/>
    <w:rsid w:val="451474E6"/>
    <w:rsid w:val="45357999"/>
    <w:rsid w:val="45636017"/>
    <w:rsid w:val="458E6825"/>
    <w:rsid w:val="45B130F2"/>
    <w:rsid w:val="45CC032D"/>
    <w:rsid w:val="46052E01"/>
    <w:rsid w:val="460B4558"/>
    <w:rsid w:val="463158E2"/>
    <w:rsid w:val="4675073E"/>
    <w:rsid w:val="46C55DCC"/>
    <w:rsid w:val="46C6468B"/>
    <w:rsid w:val="46F844A0"/>
    <w:rsid w:val="4796435D"/>
    <w:rsid w:val="479737EA"/>
    <w:rsid w:val="47A71452"/>
    <w:rsid w:val="47AC6A0C"/>
    <w:rsid w:val="47B57CFD"/>
    <w:rsid w:val="47EF0BFA"/>
    <w:rsid w:val="47F02BAE"/>
    <w:rsid w:val="48000204"/>
    <w:rsid w:val="48117779"/>
    <w:rsid w:val="482C4604"/>
    <w:rsid w:val="48394AF3"/>
    <w:rsid w:val="48656FDA"/>
    <w:rsid w:val="486F3408"/>
    <w:rsid w:val="48CE0FEE"/>
    <w:rsid w:val="48E625BA"/>
    <w:rsid w:val="49680762"/>
    <w:rsid w:val="497B498D"/>
    <w:rsid w:val="498741DD"/>
    <w:rsid w:val="49AA6974"/>
    <w:rsid w:val="4A066ACF"/>
    <w:rsid w:val="4A17094B"/>
    <w:rsid w:val="4A1D136F"/>
    <w:rsid w:val="4A503956"/>
    <w:rsid w:val="4A7879BC"/>
    <w:rsid w:val="4A930919"/>
    <w:rsid w:val="4A9345D2"/>
    <w:rsid w:val="4AAD4DBB"/>
    <w:rsid w:val="4AC726A3"/>
    <w:rsid w:val="4AD44F71"/>
    <w:rsid w:val="4AF45105"/>
    <w:rsid w:val="4B21126D"/>
    <w:rsid w:val="4B212A60"/>
    <w:rsid w:val="4B5C0504"/>
    <w:rsid w:val="4B6A4307"/>
    <w:rsid w:val="4B710E6B"/>
    <w:rsid w:val="4B86222C"/>
    <w:rsid w:val="4BB15646"/>
    <w:rsid w:val="4BBC58A8"/>
    <w:rsid w:val="4C101089"/>
    <w:rsid w:val="4C1330E1"/>
    <w:rsid w:val="4C192CD2"/>
    <w:rsid w:val="4C6F2720"/>
    <w:rsid w:val="4C9927FD"/>
    <w:rsid w:val="4CB22BAD"/>
    <w:rsid w:val="4CB63993"/>
    <w:rsid w:val="4CB712E5"/>
    <w:rsid w:val="4D0D684A"/>
    <w:rsid w:val="4D216D85"/>
    <w:rsid w:val="4D371F22"/>
    <w:rsid w:val="4D471771"/>
    <w:rsid w:val="4DA150FD"/>
    <w:rsid w:val="4DB16BCF"/>
    <w:rsid w:val="4DFE1CAA"/>
    <w:rsid w:val="4E041759"/>
    <w:rsid w:val="4E372793"/>
    <w:rsid w:val="4E3F594B"/>
    <w:rsid w:val="4E4F6A21"/>
    <w:rsid w:val="4E710602"/>
    <w:rsid w:val="4E851E5A"/>
    <w:rsid w:val="4EB27566"/>
    <w:rsid w:val="4ECF2AAF"/>
    <w:rsid w:val="4EE83DB2"/>
    <w:rsid w:val="4EEC3B99"/>
    <w:rsid w:val="4F3B206D"/>
    <w:rsid w:val="4F4B29BC"/>
    <w:rsid w:val="4F7B197C"/>
    <w:rsid w:val="4F8E7CCF"/>
    <w:rsid w:val="4FBB5BC4"/>
    <w:rsid w:val="4FF16F4A"/>
    <w:rsid w:val="500B3467"/>
    <w:rsid w:val="5083111D"/>
    <w:rsid w:val="5087317B"/>
    <w:rsid w:val="50BF112F"/>
    <w:rsid w:val="50CC5B60"/>
    <w:rsid w:val="51073F83"/>
    <w:rsid w:val="510D305A"/>
    <w:rsid w:val="512F169C"/>
    <w:rsid w:val="51361FFF"/>
    <w:rsid w:val="516A2291"/>
    <w:rsid w:val="518C66BB"/>
    <w:rsid w:val="519311FF"/>
    <w:rsid w:val="51B44571"/>
    <w:rsid w:val="51CB034F"/>
    <w:rsid w:val="51D15871"/>
    <w:rsid w:val="51F1018F"/>
    <w:rsid w:val="52186144"/>
    <w:rsid w:val="526E2371"/>
    <w:rsid w:val="527B66D4"/>
    <w:rsid w:val="52A721FE"/>
    <w:rsid w:val="52B63FDB"/>
    <w:rsid w:val="52BF2017"/>
    <w:rsid w:val="52E0692B"/>
    <w:rsid w:val="52E404EC"/>
    <w:rsid w:val="52FB705C"/>
    <w:rsid w:val="532C16C9"/>
    <w:rsid w:val="5344264A"/>
    <w:rsid w:val="535373DE"/>
    <w:rsid w:val="536F2AC2"/>
    <w:rsid w:val="537B019D"/>
    <w:rsid w:val="538C5750"/>
    <w:rsid w:val="53963229"/>
    <w:rsid w:val="53E6108E"/>
    <w:rsid w:val="53EC4C09"/>
    <w:rsid w:val="5401761A"/>
    <w:rsid w:val="54164B7D"/>
    <w:rsid w:val="54360B2D"/>
    <w:rsid w:val="543814D6"/>
    <w:rsid w:val="54391A4E"/>
    <w:rsid w:val="544D24DB"/>
    <w:rsid w:val="54522687"/>
    <w:rsid w:val="5468535F"/>
    <w:rsid w:val="54932949"/>
    <w:rsid w:val="54BF662B"/>
    <w:rsid w:val="54CA13DC"/>
    <w:rsid w:val="552C154A"/>
    <w:rsid w:val="555A0ADE"/>
    <w:rsid w:val="55DA070F"/>
    <w:rsid w:val="55FD3275"/>
    <w:rsid w:val="5654502C"/>
    <w:rsid w:val="56570752"/>
    <w:rsid w:val="565E30D5"/>
    <w:rsid w:val="567236DD"/>
    <w:rsid w:val="56A619D5"/>
    <w:rsid w:val="56B23D9D"/>
    <w:rsid w:val="56B278F4"/>
    <w:rsid w:val="56FE65EF"/>
    <w:rsid w:val="57154464"/>
    <w:rsid w:val="572040DA"/>
    <w:rsid w:val="57BC5084"/>
    <w:rsid w:val="57BE4AFC"/>
    <w:rsid w:val="581001F8"/>
    <w:rsid w:val="58614458"/>
    <w:rsid w:val="58642193"/>
    <w:rsid w:val="586A0386"/>
    <w:rsid w:val="586F5269"/>
    <w:rsid w:val="587F7AD1"/>
    <w:rsid w:val="588A3F4C"/>
    <w:rsid w:val="58BF73FD"/>
    <w:rsid w:val="58D67E00"/>
    <w:rsid w:val="58DE0ED5"/>
    <w:rsid w:val="58F837B2"/>
    <w:rsid w:val="58FC7366"/>
    <w:rsid w:val="59544026"/>
    <w:rsid w:val="59626041"/>
    <w:rsid w:val="596423C7"/>
    <w:rsid w:val="599C2C1B"/>
    <w:rsid w:val="59A41BED"/>
    <w:rsid w:val="59CF376B"/>
    <w:rsid w:val="59E135B0"/>
    <w:rsid w:val="59E56370"/>
    <w:rsid w:val="5A187016"/>
    <w:rsid w:val="5A236803"/>
    <w:rsid w:val="5A5930A4"/>
    <w:rsid w:val="5A727807"/>
    <w:rsid w:val="5A806656"/>
    <w:rsid w:val="5AA224B3"/>
    <w:rsid w:val="5AA91870"/>
    <w:rsid w:val="5AA977CD"/>
    <w:rsid w:val="5AAA29AA"/>
    <w:rsid w:val="5AAD1AD0"/>
    <w:rsid w:val="5B0A3369"/>
    <w:rsid w:val="5B1B408E"/>
    <w:rsid w:val="5B327D57"/>
    <w:rsid w:val="5B5B514F"/>
    <w:rsid w:val="5B6D3007"/>
    <w:rsid w:val="5B6E0452"/>
    <w:rsid w:val="5B88228A"/>
    <w:rsid w:val="5BC528FD"/>
    <w:rsid w:val="5BDE1D43"/>
    <w:rsid w:val="5C702236"/>
    <w:rsid w:val="5C8825AC"/>
    <w:rsid w:val="5C8D02B6"/>
    <w:rsid w:val="5C8D428A"/>
    <w:rsid w:val="5C956BDB"/>
    <w:rsid w:val="5CAC5C5B"/>
    <w:rsid w:val="5CB639CD"/>
    <w:rsid w:val="5CD73DB7"/>
    <w:rsid w:val="5CE46C53"/>
    <w:rsid w:val="5D2B4EC5"/>
    <w:rsid w:val="5D51311C"/>
    <w:rsid w:val="5D941B38"/>
    <w:rsid w:val="5DBD5DEF"/>
    <w:rsid w:val="5DC06558"/>
    <w:rsid w:val="5DF61829"/>
    <w:rsid w:val="5E0866FB"/>
    <w:rsid w:val="5E594EF7"/>
    <w:rsid w:val="5E73332D"/>
    <w:rsid w:val="5E8C325E"/>
    <w:rsid w:val="5EF534F9"/>
    <w:rsid w:val="5EFE15E5"/>
    <w:rsid w:val="5F0A5BC9"/>
    <w:rsid w:val="5F0C399A"/>
    <w:rsid w:val="5F3D09FC"/>
    <w:rsid w:val="5F431DD8"/>
    <w:rsid w:val="5FF25886"/>
    <w:rsid w:val="60052C89"/>
    <w:rsid w:val="60246514"/>
    <w:rsid w:val="60284D9B"/>
    <w:rsid w:val="602B5F47"/>
    <w:rsid w:val="60682EE7"/>
    <w:rsid w:val="607C6F9E"/>
    <w:rsid w:val="608A011F"/>
    <w:rsid w:val="608A65DF"/>
    <w:rsid w:val="608A6FBA"/>
    <w:rsid w:val="609A4836"/>
    <w:rsid w:val="609F7044"/>
    <w:rsid w:val="60AF0DEC"/>
    <w:rsid w:val="60B766E2"/>
    <w:rsid w:val="60C2740B"/>
    <w:rsid w:val="60CA43E3"/>
    <w:rsid w:val="60CF22A7"/>
    <w:rsid w:val="60D26FB6"/>
    <w:rsid w:val="60E201B6"/>
    <w:rsid w:val="611B07C2"/>
    <w:rsid w:val="61386B7E"/>
    <w:rsid w:val="614839B2"/>
    <w:rsid w:val="615F62F2"/>
    <w:rsid w:val="61800219"/>
    <w:rsid w:val="61835121"/>
    <w:rsid w:val="61975456"/>
    <w:rsid w:val="619F2EFF"/>
    <w:rsid w:val="61E37639"/>
    <w:rsid w:val="620C3034"/>
    <w:rsid w:val="631216E3"/>
    <w:rsid w:val="632E0B2E"/>
    <w:rsid w:val="633A18E2"/>
    <w:rsid w:val="635E16A0"/>
    <w:rsid w:val="637951B0"/>
    <w:rsid w:val="638C2BE6"/>
    <w:rsid w:val="63B42EFD"/>
    <w:rsid w:val="63B9446C"/>
    <w:rsid w:val="63C773B1"/>
    <w:rsid w:val="63CB688D"/>
    <w:rsid w:val="64611B2B"/>
    <w:rsid w:val="64694B64"/>
    <w:rsid w:val="6472739A"/>
    <w:rsid w:val="6479609B"/>
    <w:rsid w:val="64844334"/>
    <w:rsid w:val="64A3498E"/>
    <w:rsid w:val="64AF50D8"/>
    <w:rsid w:val="64D409E7"/>
    <w:rsid w:val="64E150E0"/>
    <w:rsid w:val="651D5558"/>
    <w:rsid w:val="652523AA"/>
    <w:rsid w:val="652A1EC5"/>
    <w:rsid w:val="655A7BE7"/>
    <w:rsid w:val="657447EF"/>
    <w:rsid w:val="658D31EF"/>
    <w:rsid w:val="65CB640A"/>
    <w:rsid w:val="65CB6D62"/>
    <w:rsid w:val="65CE7DBA"/>
    <w:rsid w:val="65DF27E8"/>
    <w:rsid w:val="65F34046"/>
    <w:rsid w:val="668B4FC6"/>
    <w:rsid w:val="66C543BA"/>
    <w:rsid w:val="66DE03DC"/>
    <w:rsid w:val="66F10D78"/>
    <w:rsid w:val="671C09BE"/>
    <w:rsid w:val="672A399A"/>
    <w:rsid w:val="672C2146"/>
    <w:rsid w:val="672C66B8"/>
    <w:rsid w:val="67430FAB"/>
    <w:rsid w:val="675D0FFE"/>
    <w:rsid w:val="6791059F"/>
    <w:rsid w:val="67E027B4"/>
    <w:rsid w:val="67E160C4"/>
    <w:rsid w:val="682136C6"/>
    <w:rsid w:val="682B55C1"/>
    <w:rsid w:val="687A2633"/>
    <w:rsid w:val="68984D56"/>
    <w:rsid w:val="68B5383A"/>
    <w:rsid w:val="68FA3806"/>
    <w:rsid w:val="6942558D"/>
    <w:rsid w:val="694C593F"/>
    <w:rsid w:val="695E2F53"/>
    <w:rsid w:val="698C3D84"/>
    <w:rsid w:val="69B04887"/>
    <w:rsid w:val="69E11836"/>
    <w:rsid w:val="6A06042E"/>
    <w:rsid w:val="6A3B1886"/>
    <w:rsid w:val="6A4F08B0"/>
    <w:rsid w:val="6AC124E1"/>
    <w:rsid w:val="6B2C01FD"/>
    <w:rsid w:val="6B39651C"/>
    <w:rsid w:val="6B615D5C"/>
    <w:rsid w:val="6B685053"/>
    <w:rsid w:val="6BAB00EF"/>
    <w:rsid w:val="6BD90B2B"/>
    <w:rsid w:val="6BD93845"/>
    <w:rsid w:val="6BDA1AD3"/>
    <w:rsid w:val="6BEC126D"/>
    <w:rsid w:val="6C0A3486"/>
    <w:rsid w:val="6C0A7EB8"/>
    <w:rsid w:val="6C2C6080"/>
    <w:rsid w:val="6C5B0BFD"/>
    <w:rsid w:val="6C7931ED"/>
    <w:rsid w:val="6CA7492C"/>
    <w:rsid w:val="6CA770F1"/>
    <w:rsid w:val="6CC360D3"/>
    <w:rsid w:val="6CCC7916"/>
    <w:rsid w:val="6D412292"/>
    <w:rsid w:val="6DAB0CEA"/>
    <w:rsid w:val="6DC833D7"/>
    <w:rsid w:val="6DEC0305"/>
    <w:rsid w:val="6DFE2EC2"/>
    <w:rsid w:val="6E045B37"/>
    <w:rsid w:val="6E810905"/>
    <w:rsid w:val="6E8B3390"/>
    <w:rsid w:val="6EC111C0"/>
    <w:rsid w:val="6EE90351"/>
    <w:rsid w:val="6F103A37"/>
    <w:rsid w:val="6F3925B4"/>
    <w:rsid w:val="6F556342"/>
    <w:rsid w:val="6F5A2F04"/>
    <w:rsid w:val="6F727655"/>
    <w:rsid w:val="6F9145EA"/>
    <w:rsid w:val="6F943363"/>
    <w:rsid w:val="701E7B12"/>
    <w:rsid w:val="70201366"/>
    <w:rsid w:val="70230AC0"/>
    <w:rsid w:val="703435FE"/>
    <w:rsid w:val="707D4039"/>
    <w:rsid w:val="709D579F"/>
    <w:rsid w:val="70BA38D7"/>
    <w:rsid w:val="70BE3DF0"/>
    <w:rsid w:val="70DE7E63"/>
    <w:rsid w:val="71082FEA"/>
    <w:rsid w:val="715C16A4"/>
    <w:rsid w:val="71924BD7"/>
    <w:rsid w:val="71940950"/>
    <w:rsid w:val="719D702D"/>
    <w:rsid w:val="71C802AC"/>
    <w:rsid w:val="71CE5726"/>
    <w:rsid w:val="724034DA"/>
    <w:rsid w:val="72590E6E"/>
    <w:rsid w:val="728A0953"/>
    <w:rsid w:val="72B72CAF"/>
    <w:rsid w:val="72BA7719"/>
    <w:rsid w:val="72EE2B17"/>
    <w:rsid w:val="72F23B14"/>
    <w:rsid w:val="72F607E6"/>
    <w:rsid w:val="7300372D"/>
    <w:rsid w:val="733E2E2C"/>
    <w:rsid w:val="73444035"/>
    <w:rsid w:val="739C40BD"/>
    <w:rsid w:val="739E5AC9"/>
    <w:rsid w:val="73A4210F"/>
    <w:rsid w:val="73A955F2"/>
    <w:rsid w:val="73BC3532"/>
    <w:rsid w:val="74226443"/>
    <w:rsid w:val="74272FFD"/>
    <w:rsid w:val="743D46BA"/>
    <w:rsid w:val="7487284B"/>
    <w:rsid w:val="74A67203"/>
    <w:rsid w:val="74C96B62"/>
    <w:rsid w:val="74EC55DA"/>
    <w:rsid w:val="74F34745"/>
    <w:rsid w:val="757676CC"/>
    <w:rsid w:val="75CE7ADC"/>
    <w:rsid w:val="762144F8"/>
    <w:rsid w:val="7633343A"/>
    <w:rsid w:val="76594A67"/>
    <w:rsid w:val="766E5C13"/>
    <w:rsid w:val="7685658D"/>
    <w:rsid w:val="76A70C0F"/>
    <w:rsid w:val="76FE12E9"/>
    <w:rsid w:val="775562AF"/>
    <w:rsid w:val="7760088E"/>
    <w:rsid w:val="779378B9"/>
    <w:rsid w:val="77B653A8"/>
    <w:rsid w:val="77DA1306"/>
    <w:rsid w:val="77E075DE"/>
    <w:rsid w:val="77EB0598"/>
    <w:rsid w:val="77EB6F3E"/>
    <w:rsid w:val="78007910"/>
    <w:rsid w:val="78017FA0"/>
    <w:rsid w:val="781A073A"/>
    <w:rsid w:val="783614EC"/>
    <w:rsid w:val="783F06F9"/>
    <w:rsid w:val="789E4790"/>
    <w:rsid w:val="78AE233B"/>
    <w:rsid w:val="78D257C4"/>
    <w:rsid w:val="79235543"/>
    <w:rsid w:val="7945303A"/>
    <w:rsid w:val="795D51F6"/>
    <w:rsid w:val="79746B75"/>
    <w:rsid w:val="79874756"/>
    <w:rsid w:val="79BD43E7"/>
    <w:rsid w:val="79C90590"/>
    <w:rsid w:val="79D62662"/>
    <w:rsid w:val="7A1421CE"/>
    <w:rsid w:val="7A412C14"/>
    <w:rsid w:val="7A7465F3"/>
    <w:rsid w:val="7A7529D3"/>
    <w:rsid w:val="7A943DE6"/>
    <w:rsid w:val="7AB428D3"/>
    <w:rsid w:val="7ABA009D"/>
    <w:rsid w:val="7ABF7A38"/>
    <w:rsid w:val="7AC7031E"/>
    <w:rsid w:val="7AD26045"/>
    <w:rsid w:val="7AEF0EAA"/>
    <w:rsid w:val="7AF41614"/>
    <w:rsid w:val="7B080F17"/>
    <w:rsid w:val="7B1F7358"/>
    <w:rsid w:val="7B2431D6"/>
    <w:rsid w:val="7B545701"/>
    <w:rsid w:val="7B7054D0"/>
    <w:rsid w:val="7BA5672C"/>
    <w:rsid w:val="7C187139"/>
    <w:rsid w:val="7C1C4A56"/>
    <w:rsid w:val="7C232FFC"/>
    <w:rsid w:val="7C3F5662"/>
    <w:rsid w:val="7C5F1B82"/>
    <w:rsid w:val="7C846B8A"/>
    <w:rsid w:val="7CA01288"/>
    <w:rsid w:val="7CA872B9"/>
    <w:rsid w:val="7CA9353E"/>
    <w:rsid w:val="7CC66140"/>
    <w:rsid w:val="7CEF7C27"/>
    <w:rsid w:val="7CF17FFD"/>
    <w:rsid w:val="7D010C58"/>
    <w:rsid w:val="7D052027"/>
    <w:rsid w:val="7D0C2E32"/>
    <w:rsid w:val="7D123B1F"/>
    <w:rsid w:val="7D136906"/>
    <w:rsid w:val="7D380F5D"/>
    <w:rsid w:val="7D502D5B"/>
    <w:rsid w:val="7D761469"/>
    <w:rsid w:val="7DFB5361"/>
    <w:rsid w:val="7E0F216B"/>
    <w:rsid w:val="7E226BA0"/>
    <w:rsid w:val="7E3F39F1"/>
    <w:rsid w:val="7E3F447E"/>
    <w:rsid w:val="7E5A6A7D"/>
    <w:rsid w:val="7E7B05E0"/>
    <w:rsid w:val="7E7C4C45"/>
    <w:rsid w:val="7EAF1D64"/>
    <w:rsid w:val="7EE56466"/>
    <w:rsid w:val="7EF157B2"/>
    <w:rsid w:val="7FB623D9"/>
    <w:rsid w:val="7FC47A35"/>
    <w:rsid w:val="7FDF17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Times New Roman" w:eastAsia="仿宋" w:cs="Times New Roman"/>
      <w:kern w:val="30"/>
      <w:sz w:val="30"/>
      <w:szCs w:val="21"/>
      <w:lang w:val="en-US" w:eastAsia="zh-CN" w:bidi="ar-SA"/>
    </w:rPr>
  </w:style>
  <w:style w:type="paragraph" w:styleId="3">
    <w:name w:val="heading 1"/>
    <w:basedOn w:val="1"/>
    <w:next w:val="1"/>
    <w:link w:val="26"/>
    <w:qFormat/>
    <w:uiPriority w:val="9"/>
    <w:pPr>
      <w:keepNext/>
      <w:keepLines/>
      <w:spacing w:before="340" w:after="330" w:line="578" w:lineRule="auto"/>
      <w:outlineLvl w:val="0"/>
    </w:pPr>
    <w:rPr>
      <w:kern w:val="44"/>
      <w:sz w:val="44"/>
      <w:szCs w:val="44"/>
    </w:rPr>
  </w:style>
  <w:style w:type="paragraph" w:styleId="4">
    <w:name w:val="heading 2"/>
    <w:basedOn w:val="1"/>
    <w:next w:val="1"/>
    <w:link w:val="27"/>
    <w:qFormat/>
    <w:uiPriority w:val="99"/>
    <w:pPr>
      <w:keepNext/>
      <w:keepLines/>
      <w:spacing w:before="260" w:after="260" w:line="416" w:lineRule="auto"/>
      <w:outlineLvl w:val="1"/>
    </w:pPr>
    <w:rPr>
      <w:rFonts w:ascii="Cambria" w:hAnsi="Cambria"/>
      <w:bCs/>
      <w:kern w:val="0"/>
      <w:sz w:val="32"/>
      <w:szCs w:val="32"/>
    </w:rPr>
  </w:style>
  <w:style w:type="paragraph" w:styleId="5">
    <w:name w:val="heading 3"/>
    <w:basedOn w:val="1"/>
    <w:next w:val="1"/>
    <w:link w:val="28"/>
    <w:qFormat/>
    <w:uiPriority w:val="99"/>
    <w:pPr>
      <w:keepNext/>
      <w:keepLines/>
      <w:spacing w:before="260" w:after="260" w:line="416" w:lineRule="auto"/>
      <w:outlineLvl w:val="2"/>
    </w:pPr>
    <w:rPr>
      <w:b/>
      <w:bCs/>
      <w:kern w:val="0"/>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6">
    <w:name w:val="Document Map"/>
    <w:basedOn w:val="1"/>
    <w:link w:val="34"/>
    <w:unhideWhenUsed/>
    <w:qFormat/>
    <w:uiPriority w:val="99"/>
    <w:rPr>
      <w:rFonts w:ascii="宋体"/>
      <w:sz w:val="18"/>
      <w:szCs w:val="18"/>
    </w:rPr>
  </w:style>
  <w:style w:type="paragraph" w:styleId="7">
    <w:name w:val="annotation text"/>
    <w:basedOn w:val="1"/>
    <w:link w:val="32"/>
    <w:unhideWhenUsed/>
    <w:qFormat/>
    <w:uiPriority w:val="99"/>
    <w:pPr>
      <w:jc w:val="left"/>
    </w:pPr>
  </w:style>
  <w:style w:type="paragraph" w:styleId="8">
    <w:name w:val="Body Text"/>
    <w:basedOn w:val="1"/>
    <w:link w:val="39"/>
    <w:qFormat/>
    <w:uiPriority w:val="1"/>
    <w:pPr>
      <w:ind w:left="119"/>
      <w:jc w:val="left"/>
    </w:pPr>
    <w:rPr>
      <w:rFonts w:ascii="仿宋_GB2312" w:hAnsi="仿宋_GB2312" w:eastAsia="仿宋_GB2312" w:cstheme="minorBidi"/>
      <w:kern w:val="0"/>
      <w:szCs w:val="30"/>
      <w:lang w:eastAsia="en-US"/>
    </w:rPr>
  </w:style>
  <w:style w:type="paragraph" w:styleId="9">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10">
    <w:name w:val="Balloon Text"/>
    <w:basedOn w:val="1"/>
    <w:link w:val="31"/>
    <w:unhideWhenUsed/>
    <w:qFormat/>
    <w:uiPriority w:val="99"/>
    <w:rPr>
      <w:sz w:val="18"/>
      <w:szCs w:val="18"/>
    </w:rPr>
  </w:style>
  <w:style w:type="paragraph" w:styleId="11">
    <w:name w:val="footer"/>
    <w:basedOn w:val="1"/>
    <w:link w:val="3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header"/>
    <w:basedOn w:val="1"/>
    <w:link w:val="2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toc 1"/>
    <w:basedOn w:val="1"/>
    <w:next w:val="1"/>
    <w:unhideWhenUsed/>
    <w:qFormat/>
    <w:uiPriority w:val="39"/>
    <w:pPr>
      <w:widowControl/>
      <w:tabs>
        <w:tab w:val="right" w:leader="dot" w:pos="8789"/>
      </w:tabs>
      <w:spacing w:line="440" w:lineRule="exact"/>
      <w:jc w:val="right"/>
    </w:pPr>
    <w:rPr>
      <w:rFonts w:asciiTheme="minorHAnsi" w:hAnsiTheme="minorHAnsi" w:eastAsiaTheme="minorEastAsia"/>
      <w:kern w:val="0"/>
      <w:sz w:val="22"/>
      <w:szCs w:val="22"/>
    </w:rPr>
  </w:style>
  <w:style w:type="paragraph" w:styleId="14">
    <w:name w:val="toc 2"/>
    <w:basedOn w:val="1"/>
    <w:next w:val="1"/>
    <w:unhideWhenUsed/>
    <w:qFormat/>
    <w:uiPriority w:val="39"/>
    <w:pPr>
      <w:widowControl/>
      <w:tabs>
        <w:tab w:val="right" w:leader="dot" w:pos="8789"/>
      </w:tabs>
      <w:spacing w:line="400" w:lineRule="exact"/>
      <w:ind w:right="-85" w:rightChars="-27"/>
    </w:pPr>
    <w:rPr>
      <w:rFonts w:ascii="仿宋_GB2312" w:eastAsia="仿宋_GB2312" w:hAnsiTheme="minorHAnsi"/>
      <w:b/>
      <w:bCs/>
      <w:kern w:val="0"/>
      <w:sz w:val="24"/>
      <w:szCs w:val="24"/>
      <w:lang w:val="zh-CN"/>
    </w:r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16">
    <w:name w:val="Normal (Web)"/>
    <w:basedOn w:val="1"/>
    <w:qFormat/>
    <w:uiPriority w:val="0"/>
    <w:pPr>
      <w:spacing w:beforeAutospacing="1" w:afterAutospacing="1"/>
      <w:jc w:val="left"/>
    </w:pPr>
    <w:rPr>
      <w:kern w:val="0"/>
      <w:sz w:val="24"/>
    </w:rPr>
  </w:style>
  <w:style w:type="paragraph" w:styleId="17">
    <w:name w:val="Title"/>
    <w:basedOn w:val="1"/>
    <w:next w:val="1"/>
    <w:qFormat/>
    <w:uiPriority w:val="99"/>
    <w:pPr>
      <w:spacing w:before="240" w:after="60"/>
      <w:jc w:val="center"/>
      <w:outlineLvl w:val="0"/>
    </w:pPr>
    <w:rPr>
      <w:rFonts w:ascii="Arial" w:hAnsi="Arial" w:eastAsia="宋体" w:cs="Arial"/>
      <w:b/>
      <w:bCs/>
    </w:rPr>
  </w:style>
  <w:style w:type="paragraph" w:styleId="18">
    <w:name w:val="annotation subject"/>
    <w:basedOn w:val="7"/>
    <w:next w:val="7"/>
    <w:link w:val="33"/>
    <w:unhideWhenUsed/>
    <w:qFormat/>
    <w:uiPriority w:val="99"/>
    <w:rPr>
      <w:b/>
      <w:bCs/>
    </w:rPr>
  </w:style>
  <w:style w:type="table" w:styleId="20">
    <w:name w:val="Table Grid"/>
    <w:basedOn w:val="19"/>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2">
    <w:name w:val="page number"/>
    <w:basedOn w:val="21"/>
    <w:qFormat/>
    <w:uiPriority w:val="0"/>
  </w:style>
  <w:style w:type="character" w:styleId="23">
    <w:name w:val="Hyperlink"/>
    <w:basedOn w:val="21"/>
    <w:unhideWhenUsed/>
    <w:qFormat/>
    <w:uiPriority w:val="99"/>
    <w:rPr>
      <w:color w:val="0000FF" w:themeColor="hyperlink"/>
      <w:u w:val="single"/>
      <w14:textFill>
        <w14:solidFill>
          <w14:schemeClr w14:val="hlink"/>
        </w14:solidFill>
      </w14:textFill>
    </w:rPr>
  </w:style>
  <w:style w:type="character" w:styleId="24">
    <w:name w:val="annotation reference"/>
    <w:basedOn w:val="21"/>
    <w:unhideWhenUsed/>
    <w:qFormat/>
    <w:uiPriority w:val="99"/>
    <w:rPr>
      <w:sz w:val="21"/>
      <w:szCs w:val="21"/>
    </w:rPr>
  </w:style>
  <w:style w:type="paragraph" w:customStyle="1" w:styleId="25">
    <w:name w:val="Default"/>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character" w:customStyle="1" w:styleId="26">
    <w:name w:val="标题 1 字符"/>
    <w:basedOn w:val="21"/>
    <w:link w:val="3"/>
    <w:qFormat/>
    <w:uiPriority w:val="9"/>
    <w:rPr>
      <w:rFonts w:ascii="Times New Roman" w:hAnsi="Times New Roman" w:eastAsia="宋体" w:cs="Times New Roman"/>
      <w:b/>
      <w:bCs/>
      <w:kern w:val="44"/>
      <w:sz w:val="44"/>
      <w:szCs w:val="44"/>
    </w:rPr>
  </w:style>
  <w:style w:type="character" w:customStyle="1" w:styleId="27">
    <w:name w:val="标题 2 字符"/>
    <w:basedOn w:val="21"/>
    <w:link w:val="4"/>
    <w:qFormat/>
    <w:uiPriority w:val="99"/>
    <w:rPr>
      <w:rFonts w:ascii="Cambria" w:hAnsi="Cambria" w:eastAsia="仿宋" w:cs="Times New Roman"/>
      <w:bCs/>
      <w:kern w:val="0"/>
      <w:sz w:val="32"/>
      <w:szCs w:val="32"/>
    </w:rPr>
  </w:style>
  <w:style w:type="character" w:customStyle="1" w:styleId="28">
    <w:name w:val="标题 3 字符"/>
    <w:basedOn w:val="21"/>
    <w:link w:val="5"/>
    <w:qFormat/>
    <w:uiPriority w:val="99"/>
    <w:rPr>
      <w:rFonts w:ascii="Times New Roman" w:hAnsi="Times New Roman" w:eastAsia="宋体" w:cs="Times New Roman"/>
      <w:b/>
      <w:bCs/>
      <w:kern w:val="0"/>
      <w:sz w:val="32"/>
      <w:szCs w:val="32"/>
    </w:rPr>
  </w:style>
  <w:style w:type="character" w:customStyle="1" w:styleId="29">
    <w:name w:val="页眉 字符"/>
    <w:basedOn w:val="21"/>
    <w:link w:val="12"/>
    <w:qFormat/>
    <w:uiPriority w:val="99"/>
    <w:rPr>
      <w:sz w:val="18"/>
      <w:szCs w:val="18"/>
    </w:rPr>
  </w:style>
  <w:style w:type="character" w:customStyle="1" w:styleId="30">
    <w:name w:val="页脚 字符"/>
    <w:basedOn w:val="21"/>
    <w:link w:val="11"/>
    <w:qFormat/>
    <w:uiPriority w:val="99"/>
    <w:rPr>
      <w:sz w:val="18"/>
      <w:szCs w:val="18"/>
    </w:rPr>
  </w:style>
  <w:style w:type="character" w:customStyle="1" w:styleId="31">
    <w:name w:val="批注框文本 字符"/>
    <w:basedOn w:val="21"/>
    <w:link w:val="10"/>
    <w:semiHidden/>
    <w:qFormat/>
    <w:uiPriority w:val="99"/>
    <w:rPr>
      <w:rFonts w:ascii="Times New Roman" w:hAnsi="Times New Roman" w:eastAsia="宋体" w:cs="Times New Roman"/>
      <w:sz w:val="18"/>
      <w:szCs w:val="18"/>
    </w:rPr>
  </w:style>
  <w:style w:type="character" w:customStyle="1" w:styleId="32">
    <w:name w:val="批注文字 字符"/>
    <w:basedOn w:val="21"/>
    <w:link w:val="7"/>
    <w:qFormat/>
    <w:uiPriority w:val="99"/>
    <w:rPr>
      <w:rFonts w:ascii="Times New Roman" w:hAnsi="Times New Roman" w:eastAsia="宋体" w:cs="Times New Roman"/>
      <w:szCs w:val="21"/>
    </w:rPr>
  </w:style>
  <w:style w:type="character" w:customStyle="1" w:styleId="33">
    <w:name w:val="批注主题 字符"/>
    <w:basedOn w:val="32"/>
    <w:link w:val="18"/>
    <w:semiHidden/>
    <w:qFormat/>
    <w:uiPriority w:val="99"/>
    <w:rPr>
      <w:rFonts w:ascii="Times New Roman" w:hAnsi="Times New Roman" w:eastAsia="宋体" w:cs="Times New Roman"/>
      <w:b/>
      <w:bCs/>
      <w:szCs w:val="21"/>
    </w:rPr>
  </w:style>
  <w:style w:type="character" w:customStyle="1" w:styleId="34">
    <w:name w:val="文档结构图 字符"/>
    <w:basedOn w:val="21"/>
    <w:link w:val="6"/>
    <w:semiHidden/>
    <w:qFormat/>
    <w:uiPriority w:val="99"/>
    <w:rPr>
      <w:rFonts w:ascii="宋体" w:hAnsi="Times New Roman" w:eastAsia="宋体" w:cs="Times New Roman"/>
      <w:sz w:val="18"/>
      <w:szCs w:val="18"/>
    </w:rPr>
  </w:style>
  <w:style w:type="paragraph" w:customStyle="1" w:styleId="35">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color w:val="376092" w:themeColor="accent1" w:themeShade="BF"/>
      <w:kern w:val="0"/>
      <w:sz w:val="32"/>
      <w:szCs w:val="32"/>
    </w:rPr>
  </w:style>
  <w:style w:type="paragraph" w:customStyle="1" w:styleId="36">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37">
    <w:name w:val="页码 New New"/>
    <w:basedOn w:val="21"/>
    <w:qFormat/>
    <w:uiPriority w:val="0"/>
  </w:style>
  <w:style w:type="paragraph" w:customStyle="1" w:styleId="38">
    <w:name w:val="列表段落1"/>
    <w:basedOn w:val="1"/>
    <w:qFormat/>
    <w:uiPriority w:val="34"/>
    <w:pPr>
      <w:ind w:firstLine="420" w:firstLineChars="200"/>
    </w:pPr>
  </w:style>
  <w:style w:type="character" w:customStyle="1" w:styleId="39">
    <w:name w:val="正文文本 字符"/>
    <w:basedOn w:val="21"/>
    <w:link w:val="8"/>
    <w:qFormat/>
    <w:uiPriority w:val="1"/>
    <w:rPr>
      <w:rFonts w:ascii="仿宋_GB2312" w:hAnsi="仿宋_GB2312" w:eastAsia="仿宋_GB2312"/>
      <w:kern w:val="0"/>
      <w:sz w:val="30"/>
      <w:szCs w:val="30"/>
      <w:lang w:eastAsia="en-US"/>
    </w:rPr>
  </w:style>
  <w:style w:type="character" w:customStyle="1" w:styleId="40">
    <w:name w:val="未处理的提及1"/>
    <w:basedOn w:val="21"/>
    <w:unhideWhenUsed/>
    <w:qFormat/>
    <w:uiPriority w:val="99"/>
    <w:rPr>
      <w:color w:val="605E5C"/>
      <w:shd w:val="clear" w:color="auto" w:fill="E1DFDD"/>
    </w:rPr>
  </w:style>
  <w:style w:type="paragraph" w:styleId="41">
    <w:name w:val="List Paragraph"/>
    <w:basedOn w:val="1"/>
    <w:unhideWhenUsed/>
    <w:qFormat/>
    <w:uiPriority w:val="99"/>
    <w:pPr>
      <w:ind w:firstLine="420" w:firstLineChars="200"/>
    </w:pPr>
  </w:style>
  <w:style w:type="character" w:customStyle="1" w:styleId="42">
    <w:name w:val="font112"/>
    <w:basedOn w:val="21"/>
    <w:qFormat/>
    <w:uiPriority w:val="0"/>
    <w:rPr>
      <w:rFonts w:ascii="等线" w:hAnsi="等线" w:eastAsia="等线" w:cs="等线"/>
      <w:b/>
      <w:color w:val="000000"/>
      <w:sz w:val="24"/>
      <w:szCs w:val="24"/>
      <w:u w:val="none"/>
    </w:rPr>
  </w:style>
  <w:style w:type="character" w:customStyle="1" w:styleId="43">
    <w:name w:val="font71"/>
    <w:basedOn w:val="21"/>
    <w:qFormat/>
    <w:uiPriority w:val="0"/>
    <w:rPr>
      <w:rFonts w:hint="eastAsia" w:ascii="宋体" w:hAnsi="宋体" w:eastAsia="宋体" w:cs="宋体"/>
      <w:b/>
      <w:color w:val="000000"/>
      <w:sz w:val="24"/>
      <w:szCs w:val="24"/>
      <w:u w:val="none"/>
    </w:rPr>
  </w:style>
  <w:style w:type="character" w:customStyle="1" w:styleId="44">
    <w:name w:val="font61"/>
    <w:basedOn w:val="21"/>
    <w:qFormat/>
    <w:uiPriority w:val="0"/>
    <w:rPr>
      <w:rFonts w:hint="default" w:ascii="Times New Roman" w:hAnsi="Times New Roman" w:cs="Times New Roman"/>
      <w:b/>
      <w:color w:val="000000"/>
      <w:sz w:val="24"/>
      <w:szCs w:val="24"/>
      <w:u w:val="none"/>
    </w:rPr>
  </w:style>
  <w:style w:type="character" w:customStyle="1" w:styleId="45">
    <w:name w:val="font91"/>
    <w:basedOn w:val="21"/>
    <w:qFormat/>
    <w:uiPriority w:val="0"/>
    <w:rPr>
      <w:rFonts w:hint="eastAsia" w:ascii="等线" w:hAnsi="等线" w:eastAsia="等线" w:cs="等线"/>
      <w:b/>
      <w:color w:val="000000"/>
      <w:sz w:val="22"/>
      <w:szCs w:val="22"/>
      <w:u w:val="none"/>
    </w:rPr>
  </w:style>
  <w:style w:type="character" w:customStyle="1" w:styleId="46">
    <w:name w:val="font21"/>
    <w:basedOn w:val="21"/>
    <w:qFormat/>
    <w:uiPriority w:val="0"/>
    <w:rPr>
      <w:rFonts w:hint="eastAsia" w:ascii="宋体" w:hAnsi="宋体" w:eastAsia="宋体" w:cs="宋体"/>
      <w:color w:val="000000"/>
      <w:sz w:val="22"/>
      <w:szCs w:val="22"/>
      <w:u w:val="none"/>
    </w:rPr>
  </w:style>
  <w:style w:type="character" w:customStyle="1" w:styleId="47">
    <w:name w:val="font122"/>
    <w:basedOn w:val="21"/>
    <w:qFormat/>
    <w:uiPriority w:val="0"/>
    <w:rPr>
      <w:rFonts w:hint="eastAsia" w:ascii="宋体" w:hAnsi="宋体" w:eastAsia="宋体" w:cs="宋体"/>
      <w:color w:val="000000"/>
      <w:sz w:val="15"/>
      <w:szCs w:val="15"/>
      <w:u w:val="none"/>
    </w:rPr>
  </w:style>
  <w:style w:type="character" w:customStyle="1" w:styleId="48">
    <w:name w:val="font01"/>
    <w:basedOn w:val="21"/>
    <w:qFormat/>
    <w:uiPriority w:val="0"/>
    <w:rPr>
      <w:rFonts w:hint="eastAsia" w:ascii="宋体" w:hAnsi="宋体" w:eastAsia="宋体" w:cs="宋体"/>
      <w:b/>
      <w:color w:val="000000"/>
      <w:sz w:val="22"/>
      <w:szCs w:val="22"/>
      <w:u w:val="none"/>
    </w:rPr>
  </w:style>
  <w:style w:type="character" w:customStyle="1" w:styleId="49">
    <w:name w:val="font141"/>
    <w:basedOn w:val="21"/>
    <w:qFormat/>
    <w:uiPriority w:val="0"/>
    <w:rPr>
      <w:rFonts w:hint="eastAsia" w:ascii="宋体" w:hAnsi="宋体" w:eastAsia="宋体" w:cs="宋体"/>
      <w:color w:val="000000"/>
      <w:sz w:val="15"/>
      <w:szCs w:val="15"/>
      <w:u w:val="none"/>
    </w:rPr>
  </w:style>
  <w:style w:type="character" w:customStyle="1" w:styleId="50">
    <w:name w:val="font111"/>
    <w:basedOn w:val="21"/>
    <w:qFormat/>
    <w:uiPriority w:val="0"/>
    <w:rPr>
      <w:rFonts w:hint="eastAsia" w:ascii="宋体" w:hAnsi="宋体" w:eastAsia="宋体" w:cs="宋体"/>
      <w:color w:val="00B050"/>
      <w:sz w:val="22"/>
      <w:szCs w:val="22"/>
      <w:u w:val="none"/>
    </w:rPr>
  </w:style>
  <w:style w:type="paragraph" w:customStyle="1" w:styleId="51">
    <w:name w:val="列出段落121"/>
    <w:basedOn w:val="1"/>
    <w:qFormat/>
    <w:uiPriority w:val="34"/>
    <w:pPr>
      <w:ind w:firstLine="420"/>
    </w:pPr>
  </w:style>
  <w:style w:type="character" w:customStyle="1" w:styleId="52">
    <w:name w:val="行间距 Char"/>
    <w:link w:val="53"/>
    <w:qFormat/>
    <w:uiPriority w:val="0"/>
    <w:rPr>
      <w:rFonts w:ascii="仿宋" w:hAnsi="仿宋" w:eastAsia="仿宋"/>
      <w:kern w:val="30"/>
      <w:sz w:val="30"/>
      <w:szCs w:val="30"/>
      <w:lang w:eastAsia="zh-CN" w:bidi="ar-SA"/>
    </w:rPr>
  </w:style>
  <w:style w:type="paragraph" w:customStyle="1" w:styleId="53">
    <w:name w:val="行间距"/>
    <w:basedOn w:val="1"/>
    <w:link w:val="52"/>
    <w:qFormat/>
    <w:uiPriority w:val="0"/>
    <w:pPr>
      <w:spacing w:line="579" w:lineRule="exact"/>
      <w:ind w:firstLine="600"/>
    </w:pPr>
    <w:rPr>
      <w:rFonts w:hAnsi="仿宋"/>
      <w:szCs w:val="30"/>
    </w:rPr>
  </w:style>
  <w:style w:type="paragraph" w:customStyle="1" w:styleId="54">
    <w:name w:val="列出段落1"/>
    <w:basedOn w:val="1"/>
    <w:qFormat/>
    <w:uiPriority w:val="34"/>
    <w:pPr>
      <w:ind w:firstLine="420"/>
    </w:pPr>
  </w:style>
  <w:style w:type="paragraph" w:customStyle="1" w:styleId="55">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color w:val="376092" w:themeColor="accent1" w:themeShade="BF"/>
      <w:kern w:val="0"/>
      <w:sz w:val="32"/>
      <w:szCs w:val="32"/>
    </w:rPr>
  </w:style>
  <w:style w:type="character" w:customStyle="1" w:styleId="56">
    <w:name w:val="font11"/>
    <w:basedOn w:val="21"/>
    <w:qFormat/>
    <w:uiPriority w:val="0"/>
    <w:rPr>
      <w:rFonts w:hint="eastAsia" w:ascii="仿宋" w:hAnsi="仿宋" w:eastAsia="仿宋" w:cs="仿宋"/>
      <w:color w:val="000000"/>
      <w:sz w:val="18"/>
      <w:szCs w:val="18"/>
      <w:u w:val="none"/>
    </w:rPr>
  </w:style>
  <w:style w:type="paragraph" w:customStyle="1" w:styleId="57">
    <w:name w:val="Other|1"/>
    <w:basedOn w:val="1"/>
    <w:qFormat/>
    <w:uiPriority w:val="0"/>
    <w:rPr>
      <w:rFonts w:ascii="宋体" w:hAnsi="宋体" w:cs="宋体"/>
      <w:sz w:val="22"/>
      <w:szCs w:val="22"/>
      <w:lang w:val="zh-TW" w:eastAsia="zh-TW" w:bidi="zh-TW"/>
    </w:rPr>
  </w:style>
  <w:style w:type="paragraph" w:customStyle="1" w:styleId="58">
    <w:name w:val="Body text|5"/>
    <w:basedOn w:val="1"/>
    <w:qFormat/>
    <w:uiPriority w:val="0"/>
    <w:pPr>
      <w:spacing w:after="700"/>
      <w:jc w:val="center"/>
    </w:pPr>
    <w:rPr>
      <w:rFonts w:ascii="宋体" w:hAnsi="宋体" w:eastAsia="宋体" w:cs="宋体"/>
      <w:sz w:val="48"/>
      <w:szCs w:val="48"/>
      <w:lang w:val="zh-TW" w:eastAsia="zh-TW" w:bidi="zh-TW"/>
    </w:rPr>
  </w:style>
  <w:style w:type="paragraph" w:customStyle="1" w:styleId="59">
    <w:name w:val="Header or footer|2"/>
    <w:basedOn w:val="1"/>
    <w:qFormat/>
    <w:uiPriority w:val="0"/>
    <w:rPr>
      <w:sz w:val="20"/>
      <w:szCs w:val="20"/>
      <w:lang w:val="zh-TW" w:eastAsia="zh-TW" w:bidi="zh-TW"/>
    </w:rPr>
  </w:style>
  <w:style w:type="paragraph" w:customStyle="1" w:styleId="60">
    <w:name w:val="Title-temp"/>
    <w:basedOn w:val="1"/>
    <w:next w:val="1"/>
    <w:qFormat/>
    <w:uiPriority w:val="0"/>
    <w:pPr>
      <w:widowControl/>
      <w:spacing w:before="120" w:after="120" w:line="276" w:lineRule="auto"/>
      <w:ind w:left="100" w:leftChars="100" w:right="100" w:rightChars="100"/>
      <w:jc w:val="center"/>
    </w:pPr>
    <w:rPr>
      <w:rFonts w:eastAsia="微软雅黑"/>
      <w:sz w:val="24"/>
    </w:rPr>
  </w:style>
  <w:style w:type="paragraph" w:customStyle="1" w:styleId="61">
    <w:name w:val="WPSOffice手动目录 1"/>
    <w:qFormat/>
    <w:uiPriority w:val="0"/>
    <w:rPr>
      <w:rFonts w:ascii="Times New Roman" w:hAnsi="Times New Roman" w:eastAsia="宋体" w:cs="Times New Roman"/>
      <w:lang w:val="en-US" w:eastAsia="zh-CN" w:bidi="ar-SA"/>
    </w:rPr>
  </w:style>
  <w:style w:type="paragraph" w:customStyle="1" w:styleId="6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3">
    <w:name w:val="修订2"/>
    <w:hidden/>
    <w:semiHidden/>
    <w:qFormat/>
    <w:uiPriority w:val="99"/>
    <w:rPr>
      <w:rFonts w:ascii="仿宋" w:hAnsi="Times New Roman" w:eastAsia="仿宋" w:cs="Times New Roman"/>
      <w:kern w:val="30"/>
      <w:sz w:val="30"/>
      <w:szCs w:val="21"/>
      <w:lang w:val="en-US" w:eastAsia="zh-CN" w:bidi="ar-SA"/>
    </w:rPr>
  </w:style>
  <w:style w:type="paragraph" w:customStyle="1" w:styleId="64">
    <w:name w:val="修订3"/>
    <w:hidden/>
    <w:semiHidden/>
    <w:qFormat/>
    <w:uiPriority w:val="99"/>
    <w:rPr>
      <w:rFonts w:ascii="仿宋" w:hAnsi="Times New Roman" w:eastAsia="仿宋" w:cs="Times New Roman"/>
      <w:kern w:val="30"/>
      <w:sz w:val="30"/>
      <w:szCs w:val="21"/>
      <w:lang w:val="en-US" w:eastAsia="zh-CN" w:bidi="ar-SA"/>
    </w:rPr>
  </w:style>
  <w:style w:type="paragraph" w:customStyle="1" w:styleId="65">
    <w:name w:val="标书正文1"/>
    <w:basedOn w:val="1"/>
    <w:qFormat/>
    <w:uiPriority w:val="0"/>
    <w:pPr>
      <w:spacing w:line="520" w:lineRule="exact"/>
      <w:ind w:firstLine="640" w:firstLineChars="200"/>
    </w:pPr>
  </w:style>
  <w:style w:type="paragraph" w:customStyle="1" w:styleId="66">
    <w:name w:val="修订4"/>
    <w:hidden/>
    <w:unhideWhenUsed/>
    <w:qFormat/>
    <w:uiPriority w:val="99"/>
    <w:rPr>
      <w:rFonts w:ascii="仿宋" w:hAnsi="Times New Roman" w:eastAsia="仿宋" w:cs="Times New Roman"/>
      <w:kern w:val="30"/>
      <w:sz w:val="30"/>
      <w:szCs w:val="21"/>
      <w:lang w:val="en-US" w:eastAsia="zh-CN" w:bidi="ar-SA"/>
    </w:rPr>
  </w:style>
  <w:style w:type="paragraph" w:customStyle="1" w:styleId="67">
    <w:name w:val="修订5"/>
    <w:hidden/>
    <w:unhideWhenUsed/>
    <w:qFormat/>
    <w:uiPriority w:val="99"/>
    <w:rPr>
      <w:rFonts w:ascii="仿宋" w:hAnsi="Times New Roman" w:eastAsia="仿宋" w:cs="Times New Roman"/>
      <w:kern w:val="30"/>
      <w:sz w:val="30"/>
      <w:szCs w:val="21"/>
      <w:lang w:val="en-US" w:eastAsia="zh-CN" w:bidi="ar-SA"/>
    </w:rPr>
  </w:style>
  <w:style w:type="paragraph" w:customStyle="1" w:styleId="68">
    <w:name w:val="修订6"/>
    <w:hidden/>
    <w:unhideWhenUsed/>
    <w:qFormat/>
    <w:uiPriority w:val="99"/>
    <w:rPr>
      <w:rFonts w:ascii="仿宋" w:hAnsi="Times New Roman" w:eastAsia="仿宋" w:cs="Times New Roman"/>
      <w:kern w:val="30"/>
      <w:sz w:val="30"/>
      <w:szCs w:val="21"/>
      <w:lang w:val="en-US" w:eastAsia="zh-CN" w:bidi="ar-SA"/>
    </w:rPr>
  </w:style>
  <w:style w:type="paragraph" w:customStyle="1" w:styleId="69">
    <w:name w:val="BodyText1I2"/>
    <w:basedOn w:val="70"/>
    <w:qFormat/>
    <w:uiPriority w:val="0"/>
    <w:pPr>
      <w:ind w:firstLine="420"/>
    </w:pPr>
  </w:style>
  <w:style w:type="paragraph" w:customStyle="1" w:styleId="70">
    <w:name w:val="BodyTextIndent"/>
    <w:basedOn w:val="1"/>
    <w:qFormat/>
    <w:uiPriority w:val="0"/>
    <w:pPr>
      <w:ind w:firstLine="640" w:firstLineChars="200"/>
      <w:textAlignment w:val="baseline"/>
    </w:pPr>
    <w:rPr>
      <w:rFonts w:ascii="仿宋_GB2312" w:eastAsia="仿宋_GB2312"/>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EC9729-8D3F-455E-9336-EB99EA39A367}">
  <ds:schemaRefs/>
</ds:datastoreItem>
</file>

<file path=docProps/app.xml><?xml version="1.0" encoding="utf-8"?>
<Properties xmlns="http://schemas.openxmlformats.org/officeDocument/2006/extended-properties" xmlns:vt="http://schemas.openxmlformats.org/officeDocument/2006/docPropsVTypes">
  <Template>Normal</Template>
  <Pages>20</Pages>
  <Words>1450</Words>
  <Characters>8270</Characters>
  <Lines>68</Lines>
  <Paragraphs>19</Paragraphs>
  <TotalTime>0</TotalTime>
  <ScaleCrop>false</ScaleCrop>
  <LinksUpToDate>false</LinksUpToDate>
  <CharactersWithSpaces>9701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2024-05-07T02:06:00Z</dcterms:created>
  <cp:lastPrinted>2019-01-30T12:44:00Z</cp:lastPrinted>
  <dcterms:modified xsi:type="dcterms:W3CDTF">2024-08-28T07:04:02Z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DEB07E32C7BC45D29B4FF0353F298532_13</vt:lpwstr>
  </property>
</Properties>
</file>