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rPr>
          <w:rFonts w:ascii="宋体" w:hAnsi="宋体" w:eastAsia="宋体"/>
          <w:highlight w:val="none"/>
        </w:rPr>
      </w:pPr>
    </w:p>
    <w:p>
      <w:pPr>
        <w:jc w:val="center"/>
        <w:rPr>
          <w:rFonts w:ascii="方正小标宋简体" w:hAnsi="方正小标宋简体" w:eastAsia="方正小标宋简体" w:cs="方正小标宋简体"/>
          <w:sz w:val="44"/>
          <w:szCs w:val="44"/>
          <w:highlight w:val="none"/>
        </w:rPr>
      </w:pP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云南五华产业园区管委会2</w:t>
      </w:r>
      <w:r>
        <w:rPr>
          <w:rFonts w:ascii="方正小标宋简体" w:hAnsi="方正小标宋简体" w:eastAsia="方正小标宋简体" w:cs="方正小标宋简体"/>
          <w:sz w:val="44"/>
          <w:szCs w:val="44"/>
          <w:highlight w:val="none"/>
        </w:rPr>
        <w:t>02</w:t>
      </w:r>
      <w:r>
        <w:rPr>
          <w:rFonts w:hint="eastAsia" w:ascii="方正小标宋简体" w:hAnsi="方正小标宋简体" w:eastAsia="方正小标宋简体" w:cs="方正小标宋简体"/>
          <w:sz w:val="44"/>
          <w:szCs w:val="44"/>
          <w:highlight w:val="none"/>
        </w:rPr>
        <w:t>3年</w:t>
      </w: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公共服务平台项目支出</w:t>
      </w: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w:t>
      </w:r>
      <w:r>
        <w:rPr>
          <w:rFonts w:hint="eastAsia" w:ascii="方正小标宋简体" w:hAnsi="方正小标宋简体" w:eastAsia="方正小标宋简体" w:cs="方正小标宋简体"/>
          <w:sz w:val="44"/>
          <w:szCs w:val="44"/>
          <w:highlight w:val="none"/>
          <w:lang w:val="en-US" w:eastAsia="zh-CN"/>
        </w:rPr>
        <w:t>自评</w:t>
      </w:r>
      <w:bookmarkStart w:id="98" w:name="_GoBack"/>
      <w:bookmarkEnd w:id="98"/>
      <w:r>
        <w:rPr>
          <w:rFonts w:hint="eastAsia" w:ascii="方正小标宋简体" w:hAnsi="方正小标宋简体" w:eastAsia="方正小标宋简体" w:cs="方正小标宋简体"/>
          <w:sz w:val="44"/>
          <w:szCs w:val="44"/>
          <w:highlight w:val="none"/>
        </w:rPr>
        <w:t>报告</w:t>
      </w:r>
    </w:p>
    <w:p>
      <w:pPr>
        <w:ind w:firstLine="880" w:firstLineChars="200"/>
        <w:jc w:val="center"/>
        <w:rPr>
          <w:rFonts w:ascii="方正小标宋简体" w:hAnsi="方正小标宋简体" w:eastAsia="方正小标宋简体" w:cs="方正小标宋简体"/>
          <w:sz w:val="44"/>
          <w:szCs w:val="44"/>
          <w:highlight w:val="none"/>
        </w:rPr>
      </w:pPr>
    </w:p>
    <w:p>
      <w:pPr>
        <w:ind w:firstLine="880" w:firstLineChars="200"/>
        <w:jc w:val="center"/>
        <w:rPr>
          <w:rFonts w:ascii="方正小标宋简体" w:hAnsi="方正小标宋简体" w:eastAsia="方正小标宋简体" w:cs="方正小标宋简体"/>
          <w:sz w:val="44"/>
          <w:szCs w:val="44"/>
          <w:highlight w:val="none"/>
        </w:rPr>
      </w:pPr>
    </w:p>
    <w:p>
      <w:pPr>
        <w:ind w:firstLine="880" w:firstLineChars="200"/>
        <w:jc w:val="center"/>
        <w:rPr>
          <w:rFonts w:ascii="方正小标宋简体" w:hAnsi="方正小标宋简体" w:eastAsia="方正小标宋简体" w:cs="方正小标宋简体"/>
          <w:sz w:val="44"/>
          <w:szCs w:val="44"/>
          <w:highlight w:val="none"/>
        </w:rPr>
      </w:pPr>
    </w:p>
    <w:p>
      <w:pPr>
        <w:rPr>
          <w:rFonts w:ascii="方正小标宋简体" w:hAnsi="方正小标宋简体" w:eastAsia="方正小标宋简体" w:cs="方正小标宋简体"/>
          <w:sz w:val="44"/>
          <w:szCs w:val="44"/>
          <w:highlight w:val="none"/>
        </w:rPr>
      </w:pPr>
    </w:p>
    <w:p>
      <w:pPr>
        <w:ind w:firstLine="880" w:firstLineChars="200"/>
        <w:jc w:val="center"/>
        <w:rPr>
          <w:rFonts w:ascii="方正小标宋简体" w:hAnsi="方正小标宋简体" w:eastAsia="方正小标宋简体" w:cs="方正小标宋简体"/>
          <w:sz w:val="44"/>
          <w:szCs w:val="44"/>
          <w:highlight w:val="none"/>
        </w:rPr>
      </w:pPr>
    </w:p>
    <w:p>
      <w:pPr>
        <w:ind w:firstLine="880" w:firstLineChars="200"/>
        <w:jc w:val="center"/>
        <w:rPr>
          <w:rFonts w:ascii="方正小标宋简体" w:hAnsi="方正小标宋简体" w:eastAsia="方正小标宋简体" w:cs="方正小标宋简体"/>
          <w:sz w:val="44"/>
          <w:szCs w:val="44"/>
          <w:highlight w:val="none"/>
        </w:rPr>
      </w:pPr>
    </w:p>
    <w:p>
      <w:pPr>
        <w:ind w:firstLine="1280" w:firstLineChars="400"/>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预算部门：云南五华产业园区管委会</w:t>
      </w:r>
    </w:p>
    <w:p>
      <w:pPr>
        <w:ind w:firstLine="1280" w:firstLineChars="400"/>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项目单位：创新创业服务中心</w:t>
      </w:r>
    </w:p>
    <w:p>
      <w:pPr>
        <w:ind w:firstLine="640" w:firstLineChars="200"/>
        <w:rPr>
          <w:rFonts w:ascii="方正小标宋简体" w:hAnsi="方正小标宋简体" w:eastAsia="方正小标宋简体" w:cs="方正小标宋简体"/>
          <w:sz w:val="32"/>
          <w:szCs w:val="32"/>
          <w:highlight w:val="none"/>
        </w:rPr>
      </w:pPr>
    </w:p>
    <w:p>
      <w:pPr>
        <w:jc w:val="center"/>
        <w:rPr>
          <w:rFonts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2</w:t>
      </w:r>
      <w:r>
        <w:rPr>
          <w:rFonts w:ascii="方正小标宋简体" w:hAnsi="方正小标宋简体" w:eastAsia="方正小标宋简体" w:cs="方正小标宋简体"/>
          <w:sz w:val="32"/>
          <w:szCs w:val="32"/>
          <w:highlight w:val="none"/>
        </w:rPr>
        <w:t>02</w:t>
      </w:r>
      <w:r>
        <w:rPr>
          <w:rFonts w:hint="eastAsia" w:ascii="方正小标宋简体" w:hAnsi="方正小标宋简体" w:eastAsia="方正小标宋简体" w:cs="方正小标宋简体"/>
          <w:sz w:val="32"/>
          <w:szCs w:val="32"/>
          <w:highlight w:val="none"/>
        </w:rPr>
        <w:t>4年5月</w:t>
      </w:r>
    </w:p>
    <w:p>
      <w:pPr>
        <w:ind w:firstLine="880" w:firstLineChars="200"/>
        <w:jc w:val="center"/>
        <w:rPr>
          <w:rFonts w:ascii="方正小标宋简体" w:hAnsi="方正小标宋简体" w:eastAsia="方正小标宋简体" w:cs="方正小标宋简体"/>
          <w:sz w:val="44"/>
          <w:szCs w:val="44"/>
          <w:highlight w:val="none"/>
        </w:rPr>
      </w:pPr>
    </w:p>
    <w:p>
      <w:pPr>
        <w:ind w:firstLine="880" w:firstLineChars="200"/>
        <w:jc w:val="center"/>
        <w:rPr>
          <w:rFonts w:ascii="方正小标宋简体" w:hAnsi="方正小标宋简体" w:eastAsia="方正小标宋简体" w:cs="方正小标宋简体"/>
          <w:sz w:val="44"/>
          <w:szCs w:val="44"/>
          <w:highlight w:val="none"/>
        </w:rPr>
        <w:sectPr>
          <w:pgSz w:w="11906" w:h="16838"/>
          <w:pgMar w:top="1440" w:right="1800" w:bottom="1440" w:left="1800" w:header="851" w:footer="992" w:gutter="0"/>
          <w:cols w:space="425" w:num="1"/>
          <w:docGrid w:type="lines" w:linePitch="312" w:charSpace="0"/>
        </w:sectPr>
      </w:pPr>
    </w:p>
    <w:p>
      <w:pPr>
        <w:pStyle w:val="13"/>
        <w:tabs>
          <w:tab w:val="right" w:leader="dot" w:pos="8504"/>
          <w:tab w:val="clear" w:pos="8789"/>
        </w:tabs>
        <w:spacing w:line="240" w:lineRule="auto"/>
        <w:jc w:val="center"/>
        <w:rPr>
          <w:rFonts w:ascii="方正小标宋简体" w:hAnsi="方正小标宋简体" w:eastAsia="方正小标宋简体" w:cs="方正小标宋简体"/>
          <w:kern w:val="30"/>
          <w:sz w:val="44"/>
          <w:szCs w:val="44"/>
          <w:highlight w:val="none"/>
        </w:rPr>
      </w:pPr>
      <w:r>
        <w:rPr>
          <w:rFonts w:hint="eastAsia" w:ascii="方正小标宋简体" w:hAnsi="方正小标宋简体" w:eastAsia="方正小标宋简体" w:cs="方正小标宋简体"/>
          <w:kern w:val="30"/>
          <w:sz w:val="44"/>
          <w:szCs w:val="44"/>
          <w:highlight w:val="none"/>
        </w:rPr>
        <w:t>目 录</w:t>
      </w:r>
    </w:p>
    <w:p>
      <w:pPr>
        <w:pStyle w:val="13"/>
        <w:tabs>
          <w:tab w:val="right" w:leader="dot" w:pos="8844"/>
          <w:tab w:val="clear" w:pos="8789"/>
        </w:tabs>
        <w:spacing w:line="240" w:lineRule="auto"/>
        <w:jc w:val="both"/>
        <w:rPr>
          <w:rFonts w:ascii="仿宋" w:hAnsi="仿宋" w:eastAsia="仿宋" w:cs="仿宋"/>
          <w:sz w:val="30"/>
          <w:szCs w:val="30"/>
          <w:highlight w:val="none"/>
        </w:rPr>
      </w:pPr>
      <w:r>
        <w:rPr>
          <w:rFonts w:ascii="仿宋" w:hAnsi="仿宋" w:eastAsia="仿宋" w:cs="宋体"/>
          <w:bCs/>
          <w:sz w:val="30"/>
          <w:szCs w:val="30"/>
          <w:highlight w:val="none"/>
        </w:rPr>
        <w:fldChar w:fldCharType="begin"/>
      </w:r>
      <w:r>
        <w:rPr>
          <w:rFonts w:ascii="仿宋" w:hAnsi="仿宋" w:eastAsia="仿宋" w:cs="宋体"/>
          <w:bCs/>
          <w:sz w:val="30"/>
          <w:szCs w:val="30"/>
          <w:highlight w:val="none"/>
        </w:rPr>
        <w:instrText xml:space="preserve"> TOC \o "1-3" \h \z \u </w:instrText>
      </w:r>
      <w:r>
        <w:rPr>
          <w:rFonts w:ascii="仿宋" w:hAnsi="仿宋" w:eastAsia="仿宋" w:cs="宋体"/>
          <w:bCs/>
          <w:sz w:val="30"/>
          <w:szCs w:val="30"/>
          <w:highlight w:val="none"/>
        </w:rPr>
        <w:fldChar w:fldCharType="separate"/>
      </w:r>
      <w:r>
        <w:rPr>
          <w:highlight w:val="none"/>
        </w:rPr>
        <w:fldChar w:fldCharType="begin"/>
      </w:r>
      <w:r>
        <w:rPr>
          <w:highlight w:val="none"/>
        </w:rPr>
        <w:instrText xml:space="preserve"> HYPERLINK \l "_Toc28854" </w:instrText>
      </w:r>
      <w:r>
        <w:rPr>
          <w:highlight w:val="none"/>
        </w:rPr>
        <w:fldChar w:fldCharType="separate"/>
      </w:r>
      <w:r>
        <w:rPr>
          <w:rFonts w:hint="eastAsia" w:ascii="仿宋" w:hAnsi="仿宋" w:eastAsia="仿宋" w:cs="仿宋"/>
          <w:spacing w:val="6"/>
          <w:sz w:val="30"/>
          <w:szCs w:val="30"/>
          <w:highlight w:val="none"/>
        </w:rPr>
        <w:t>一、基本情况</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_Toc28854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- 1 -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"_Toc24801" </w:instrText>
      </w:r>
      <w:r>
        <w:rPr>
          <w:highlight w:val="none"/>
        </w:rPr>
        <w:fldChar w:fldCharType="separate"/>
      </w:r>
      <w:r>
        <w:rPr>
          <w:rFonts w:hint="eastAsia" w:ascii="仿宋" w:hAnsi="仿宋" w:eastAsia="仿宋" w:cs="仿宋"/>
          <w:b w:val="0"/>
          <w:bCs w:val="0"/>
          <w:spacing w:val="6"/>
          <w:kern w:val="30"/>
          <w:sz w:val="30"/>
          <w:szCs w:val="30"/>
          <w:highlight w:val="none"/>
        </w:rPr>
        <w:t>（一）项目概况</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_Toc24801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- 1 -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"_Toc22085" </w:instrText>
      </w:r>
      <w:r>
        <w:rPr>
          <w:highlight w:val="none"/>
        </w:rPr>
        <w:fldChar w:fldCharType="separate"/>
      </w:r>
      <w:r>
        <w:rPr>
          <w:rFonts w:hint="eastAsia" w:ascii="仿宋" w:hAnsi="仿宋" w:eastAsia="仿宋" w:cs="仿宋"/>
          <w:b w:val="0"/>
          <w:bCs w:val="0"/>
          <w:spacing w:val="6"/>
          <w:kern w:val="30"/>
          <w:sz w:val="30"/>
          <w:szCs w:val="30"/>
          <w:highlight w:val="none"/>
        </w:rPr>
        <w:t>（二）项目预算及资金使用情况</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_Toc22085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- 2 -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"_Toc732" </w:instrText>
      </w:r>
      <w:r>
        <w:rPr>
          <w:highlight w:val="none"/>
        </w:rPr>
        <w:fldChar w:fldCharType="separate"/>
      </w:r>
      <w:r>
        <w:rPr>
          <w:rFonts w:hint="eastAsia" w:ascii="仿宋" w:hAnsi="仿宋" w:eastAsia="仿宋" w:cs="仿宋"/>
          <w:b w:val="0"/>
          <w:bCs w:val="0"/>
          <w:spacing w:val="6"/>
          <w:kern w:val="30"/>
          <w:sz w:val="30"/>
          <w:szCs w:val="30"/>
          <w:highlight w:val="none"/>
        </w:rPr>
        <w:t>（三）项目计划实施内容</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_Toc732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- 2 -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"_Toc31619" </w:instrText>
      </w:r>
      <w:r>
        <w:rPr>
          <w:highlight w:val="none"/>
        </w:rPr>
        <w:fldChar w:fldCharType="separate"/>
      </w:r>
      <w:r>
        <w:rPr>
          <w:rFonts w:hint="eastAsia" w:ascii="仿宋" w:hAnsi="仿宋" w:eastAsia="仿宋" w:cs="仿宋"/>
          <w:b w:val="0"/>
          <w:bCs w:val="0"/>
          <w:spacing w:val="6"/>
          <w:kern w:val="30"/>
          <w:sz w:val="30"/>
          <w:szCs w:val="30"/>
          <w:highlight w:val="none"/>
        </w:rPr>
        <w:t>（四）项目绩效目标</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_Toc31619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- 3 -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"_Toc26682" </w:instrText>
      </w:r>
      <w:r>
        <w:rPr>
          <w:highlight w:val="none"/>
        </w:rPr>
        <w:fldChar w:fldCharType="separate"/>
      </w:r>
      <w:r>
        <w:rPr>
          <w:rFonts w:hint="eastAsia" w:ascii="仿宋" w:hAnsi="仿宋" w:eastAsia="仿宋" w:cs="仿宋"/>
          <w:b w:val="0"/>
          <w:bCs w:val="0"/>
          <w:spacing w:val="6"/>
          <w:kern w:val="30"/>
          <w:sz w:val="30"/>
          <w:szCs w:val="30"/>
          <w:highlight w:val="none"/>
        </w:rPr>
        <w:t>（五）组织管理情况</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_Toc26682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- 3 -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3"/>
        <w:tabs>
          <w:tab w:val="right" w:leader="dot" w:pos="8844"/>
          <w:tab w:val="clear" w:pos="8789"/>
        </w:tabs>
        <w:spacing w:line="240" w:lineRule="auto"/>
        <w:jc w:val="both"/>
        <w:rPr>
          <w:rFonts w:ascii="仿宋" w:hAnsi="仿宋" w:eastAsia="仿宋" w:cs="仿宋"/>
          <w:sz w:val="30"/>
          <w:szCs w:val="30"/>
          <w:highlight w:val="none"/>
        </w:rPr>
      </w:pPr>
      <w:r>
        <w:rPr>
          <w:highlight w:val="none"/>
        </w:rPr>
        <w:fldChar w:fldCharType="begin"/>
      </w:r>
      <w:r>
        <w:rPr>
          <w:highlight w:val="none"/>
        </w:rPr>
        <w:instrText xml:space="preserve"> HYPERLINK \l "_Toc26687" </w:instrText>
      </w:r>
      <w:r>
        <w:rPr>
          <w:highlight w:val="none"/>
        </w:rPr>
        <w:fldChar w:fldCharType="separate"/>
      </w:r>
      <w:r>
        <w:rPr>
          <w:rFonts w:hint="eastAsia" w:ascii="仿宋" w:hAnsi="仿宋" w:eastAsia="仿宋" w:cs="仿宋"/>
          <w:spacing w:val="6"/>
          <w:sz w:val="30"/>
          <w:szCs w:val="30"/>
          <w:highlight w:val="none"/>
        </w:rPr>
        <w:t>二、</w:t>
      </w:r>
      <w:r>
        <w:rPr>
          <w:rFonts w:hint="eastAsia" w:ascii="仿宋" w:hAnsi="仿宋" w:eastAsia="仿宋" w:cs="仿宋"/>
          <w:sz w:val="30"/>
          <w:szCs w:val="30"/>
          <w:highlight w:val="none"/>
        </w:rPr>
        <w:t>绩效评价工作开展情况</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_Toc26687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- 5 -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"_Toc30499" </w:instrText>
      </w:r>
      <w:r>
        <w:rPr>
          <w:highlight w:val="none"/>
        </w:rPr>
        <w:fldChar w:fldCharType="separate"/>
      </w:r>
      <w:r>
        <w:rPr>
          <w:rFonts w:hint="eastAsia" w:ascii="仿宋" w:hAnsi="仿宋" w:eastAsia="仿宋" w:cs="仿宋"/>
          <w:b w:val="0"/>
          <w:bCs w:val="0"/>
          <w:spacing w:val="6"/>
          <w:sz w:val="30"/>
          <w:szCs w:val="30"/>
          <w:highlight w:val="none"/>
        </w:rPr>
        <w:t>（一）绩效评价目的、对象和范围</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_Toc30499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- 5 -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"_Toc14669" </w:instrText>
      </w:r>
      <w:r>
        <w:rPr>
          <w:highlight w:val="none"/>
        </w:rPr>
        <w:fldChar w:fldCharType="separate"/>
      </w:r>
      <w:r>
        <w:rPr>
          <w:rFonts w:hint="eastAsia" w:ascii="仿宋" w:hAnsi="仿宋" w:eastAsia="仿宋" w:cs="仿宋"/>
          <w:b w:val="0"/>
          <w:bCs w:val="0"/>
          <w:spacing w:val="6"/>
          <w:sz w:val="30"/>
          <w:szCs w:val="30"/>
          <w:highlight w:val="none"/>
        </w:rPr>
        <w:t>（二）绩效评价</w:t>
      </w:r>
      <w:r>
        <w:rPr>
          <w:rFonts w:hint="eastAsia" w:ascii="仿宋" w:hAnsi="仿宋" w:eastAsia="仿宋" w:cs="仿宋"/>
          <w:b w:val="0"/>
          <w:bCs w:val="0"/>
          <w:spacing w:val="6"/>
          <w:sz w:val="30"/>
          <w:szCs w:val="30"/>
          <w:highlight w:val="none"/>
          <w:lang w:val="en-US"/>
        </w:rPr>
        <w:t>依据</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_Toc14669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- 5 -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"_Toc4925" </w:instrText>
      </w:r>
      <w:r>
        <w:rPr>
          <w:highlight w:val="none"/>
        </w:rPr>
        <w:fldChar w:fldCharType="separate"/>
      </w:r>
      <w:r>
        <w:rPr>
          <w:rFonts w:hint="eastAsia" w:ascii="仿宋" w:hAnsi="仿宋" w:eastAsia="仿宋" w:cs="仿宋"/>
          <w:b w:val="0"/>
          <w:bCs w:val="0"/>
          <w:spacing w:val="6"/>
          <w:sz w:val="30"/>
          <w:szCs w:val="30"/>
          <w:highlight w:val="none"/>
        </w:rPr>
        <w:t>（</w:t>
      </w:r>
      <w:r>
        <w:rPr>
          <w:rFonts w:hint="eastAsia" w:ascii="仿宋" w:hAnsi="仿宋" w:eastAsia="仿宋" w:cs="仿宋"/>
          <w:b w:val="0"/>
          <w:bCs w:val="0"/>
          <w:spacing w:val="6"/>
          <w:sz w:val="30"/>
          <w:szCs w:val="30"/>
          <w:highlight w:val="none"/>
          <w:lang w:val="en-US"/>
        </w:rPr>
        <w:t>三</w:t>
      </w:r>
      <w:r>
        <w:rPr>
          <w:rFonts w:hint="eastAsia" w:ascii="仿宋" w:hAnsi="仿宋" w:eastAsia="仿宋" w:cs="仿宋"/>
          <w:b w:val="0"/>
          <w:bCs w:val="0"/>
          <w:spacing w:val="6"/>
          <w:sz w:val="30"/>
          <w:szCs w:val="30"/>
          <w:highlight w:val="none"/>
        </w:rPr>
        <w:t>）绩效评价方法</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_Toc4925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- 6 -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"_Toc7509" </w:instrText>
      </w:r>
      <w:r>
        <w:rPr>
          <w:highlight w:val="none"/>
        </w:rPr>
        <w:fldChar w:fldCharType="separate"/>
      </w:r>
      <w:r>
        <w:rPr>
          <w:rFonts w:hint="eastAsia" w:ascii="仿宋" w:hAnsi="仿宋" w:eastAsia="仿宋" w:cs="仿宋"/>
          <w:b w:val="0"/>
          <w:bCs w:val="0"/>
          <w:spacing w:val="6"/>
          <w:sz w:val="30"/>
          <w:szCs w:val="30"/>
          <w:highlight w:val="none"/>
        </w:rPr>
        <w:t>（</w:t>
      </w:r>
      <w:r>
        <w:rPr>
          <w:rFonts w:hint="eastAsia" w:ascii="仿宋" w:hAnsi="仿宋" w:eastAsia="仿宋" w:cs="仿宋"/>
          <w:b w:val="0"/>
          <w:bCs w:val="0"/>
          <w:spacing w:val="6"/>
          <w:sz w:val="30"/>
          <w:szCs w:val="30"/>
          <w:highlight w:val="none"/>
          <w:lang w:val="en-US"/>
        </w:rPr>
        <w:t>四</w:t>
      </w:r>
      <w:r>
        <w:rPr>
          <w:rFonts w:hint="eastAsia" w:ascii="仿宋" w:hAnsi="仿宋" w:eastAsia="仿宋" w:cs="仿宋"/>
          <w:b w:val="0"/>
          <w:bCs w:val="0"/>
          <w:spacing w:val="6"/>
          <w:sz w:val="30"/>
          <w:szCs w:val="30"/>
          <w:highlight w:val="none"/>
        </w:rPr>
        <w:t>）绩效评价指标体系</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_Toc7509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- 7 -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"_Toc3007" </w:instrText>
      </w:r>
      <w:r>
        <w:rPr>
          <w:highlight w:val="none"/>
        </w:rPr>
        <w:fldChar w:fldCharType="separate"/>
      </w:r>
      <w:r>
        <w:rPr>
          <w:rFonts w:hint="eastAsia" w:ascii="仿宋" w:hAnsi="仿宋" w:eastAsia="仿宋" w:cs="仿宋"/>
          <w:b w:val="0"/>
          <w:bCs w:val="0"/>
          <w:spacing w:val="6"/>
          <w:sz w:val="30"/>
          <w:szCs w:val="30"/>
          <w:highlight w:val="none"/>
        </w:rPr>
        <w:t>（</w:t>
      </w:r>
      <w:r>
        <w:rPr>
          <w:rFonts w:hint="eastAsia" w:ascii="仿宋" w:hAnsi="仿宋" w:eastAsia="仿宋" w:cs="仿宋"/>
          <w:b w:val="0"/>
          <w:bCs w:val="0"/>
          <w:spacing w:val="6"/>
          <w:sz w:val="30"/>
          <w:szCs w:val="30"/>
          <w:highlight w:val="none"/>
          <w:lang w:val="en-US"/>
        </w:rPr>
        <w:t>五</w:t>
      </w:r>
      <w:r>
        <w:rPr>
          <w:rFonts w:hint="eastAsia" w:ascii="仿宋" w:hAnsi="仿宋" w:eastAsia="仿宋" w:cs="仿宋"/>
          <w:b w:val="0"/>
          <w:bCs w:val="0"/>
          <w:spacing w:val="6"/>
          <w:sz w:val="30"/>
          <w:szCs w:val="30"/>
          <w:highlight w:val="none"/>
        </w:rPr>
        <w:t>）绩效评价抽样</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_Toc3007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- 8 -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3"/>
        <w:tabs>
          <w:tab w:val="right" w:leader="dot" w:pos="8844"/>
          <w:tab w:val="clear" w:pos="8789"/>
        </w:tabs>
        <w:spacing w:line="240" w:lineRule="auto"/>
        <w:jc w:val="both"/>
        <w:rPr>
          <w:rFonts w:ascii="仿宋" w:hAnsi="仿宋" w:eastAsia="仿宋" w:cs="仿宋"/>
          <w:sz w:val="30"/>
          <w:szCs w:val="30"/>
          <w:highlight w:val="none"/>
        </w:rPr>
      </w:pPr>
      <w:r>
        <w:rPr>
          <w:highlight w:val="none"/>
        </w:rPr>
        <w:fldChar w:fldCharType="begin"/>
      </w:r>
      <w:r>
        <w:rPr>
          <w:highlight w:val="none"/>
        </w:rPr>
        <w:instrText xml:space="preserve"> HYPERLINK \l "_Toc23839" </w:instrText>
      </w:r>
      <w:r>
        <w:rPr>
          <w:highlight w:val="none"/>
        </w:rPr>
        <w:fldChar w:fldCharType="separate"/>
      </w:r>
      <w:r>
        <w:rPr>
          <w:rFonts w:hint="eastAsia" w:ascii="仿宋" w:hAnsi="仿宋" w:eastAsia="仿宋" w:cs="仿宋"/>
          <w:spacing w:val="6"/>
          <w:sz w:val="30"/>
          <w:szCs w:val="30"/>
          <w:highlight w:val="none"/>
        </w:rPr>
        <w:t>四、绩效评价结论</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_Toc23839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- 8 -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"_Toc2839" </w:instrText>
      </w:r>
      <w:r>
        <w:rPr>
          <w:highlight w:val="none"/>
        </w:rPr>
        <w:fldChar w:fldCharType="separate"/>
      </w:r>
      <w:r>
        <w:rPr>
          <w:rFonts w:hint="eastAsia" w:ascii="仿宋" w:hAnsi="仿宋" w:eastAsia="仿宋" w:cs="仿宋"/>
          <w:b w:val="0"/>
          <w:bCs w:val="0"/>
          <w:spacing w:val="6"/>
          <w:sz w:val="30"/>
          <w:szCs w:val="30"/>
          <w:highlight w:val="none"/>
        </w:rPr>
        <w:t>（一）绩效评价综合结论</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_Toc2839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- 8 -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"_Toc29463" </w:instrText>
      </w:r>
      <w:r>
        <w:rPr>
          <w:highlight w:val="none"/>
        </w:rPr>
        <w:fldChar w:fldCharType="separate"/>
      </w:r>
      <w:r>
        <w:rPr>
          <w:rFonts w:hint="eastAsia" w:ascii="仿宋" w:hAnsi="仿宋" w:eastAsia="仿宋" w:cs="仿宋"/>
          <w:b w:val="0"/>
          <w:bCs w:val="0"/>
          <w:spacing w:val="6"/>
          <w:sz w:val="30"/>
          <w:szCs w:val="30"/>
          <w:highlight w:val="none"/>
        </w:rPr>
        <w:t>（二）绩效目标实现情况</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_Toc29463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- 10 -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3"/>
        <w:tabs>
          <w:tab w:val="right" w:leader="dot" w:pos="8844"/>
          <w:tab w:val="clear" w:pos="8789"/>
        </w:tabs>
        <w:spacing w:line="240" w:lineRule="auto"/>
        <w:jc w:val="both"/>
        <w:rPr>
          <w:rFonts w:ascii="仿宋" w:hAnsi="仿宋" w:eastAsia="仿宋" w:cs="仿宋"/>
          <w:sz w:val="30"/>
          <w:szCs w:val="30"/>
          <w:highlight w:val="none"/>
        </w:rPr>
      </w:pPr>
      <w:r>
        <w:rPr>
          <w:highlight w:val="none"/>
        </w:rPr>
        <w:fldChar w:fldCharType="begin"/>
      </w:r>
      <w:r>
        <w:rPr>
          <w:highlight w:val="none"/>
        </w:rPr>
        <w:instrText xml:space="preserve"> HYPERLINK \l "_Toc7378" </w:instrText>
      </w:r>
      <w:r>
        <w:rPr>
          <w:highlight w:val="none"/>
        </w:rPr>
        <w:fldChar w:fldCharType="separate"/>
      </w:r>
      <w:r>
        <w:rPr>
          <w:rFonts w:hint="eastAsia" w:ascii="仿宋" w:hAnsi="仿宋" w:eastAsia="仿宋" w:cs="仿宋"/>
          <w:spacing w:val="6"/>
          <w:sz w:val="30"/>
          <w:szCs w:val="30"/>
          <w:highlight w:val="none"/>
        </w:rPr>
        <w:t>五、绩效评价情况分析</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_Toc7378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- 10 -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"_Toc5153" </w:instrText>
      </w:r>
      <w:r>
        <w:rPr>
          <w:highlight w:val="none"/>
        </w:rPr>
        <w:fldChar w:fldCharType="separate"/>
      </w:r>
      <w:r>
        <w:rPr>
          <w:rFonts w:hint="eastAsia" w:ascii="仿宋" w:hAnsi="仿宋" w:eastAsia="仿宋" w:cs="仿宋"/>
          <w:b w:val="0"/>
          <w:bCs w:val="0"/>
          <w:spacing w:val="6"/>
          <w:sz w:val="30"/>
          <w:szCs w:val="30"/>
          <w:highlight w:val="none"/>
        </w:rPr>
        <w:t>（一）决策情况分析</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_Toc5153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- 10 -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"_Toc17314" </w:instrText>
      </w:r>
      <w:r>
        <w:rPr>
          <w:highlight w:val="none"/>
        </w:rPr>
        <w:fldChar w:fldCharType="separate"/>
      </w:r>
      <w:r>
        <w:rPr>
          <w:rFonts w:hint="eastAsia" w:ascii="仿宋" w:hAnsi="仿宋" w:eastAsia="仿宋" w:cs="仿宋"/>
          <w:b w:val="0"/>
          <w:bCs w:val="0"/>
          <w:spacing w:val="6"/>
          <w:sz w:val="30"/>
          <w:szCs w:val="30"/>
          <w:highlight w:val="none"/>
        </w:rPr>
        <w:t>（二）过程情况分析</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_Toc17314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- 11 -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"_Toc23551" </w:instrText>
      </w:r>
      <w:r>
        <w:rPr>
          <w:highlight w:val="none"/>
        </w:rPr>
        <w:fldChar w:fldCharType="separate"/>
      </w:r>
      <w:r>
        <w:rPr>
          <w:rFonts w:hint="eastAsia" w:ascii="仿宋" w:hAnsi="仿宋" w:eastAsia="仿宋" w:cs="仿宋"/>
          <w:b w:val="0"/>
          <w:bCs w:val="0"/>
          <w:spacing w:val="6"/>
          <w:sz w:val="30"/>
          <w:szCs w:val="30"/>
          <w:highlight w:val="none"/>
        </w:rPr>
        <w:t>（三）产出情况分析</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_Toc23551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- 12 -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4"/>
        <w:tabs>
          <w:tab w:val="right" w:leader="dot" w:pos="8844"/>
          <w:tab w:val="clear" w:pos="8789"/>
        </w:tabs>
        <w:spacing w:line="240" w:lineRule="auto"/>
        <w:ind w:right="-81"/>
        <w:rPr>
          <w:rFonts w:ascii="仿宋" w:hAnsi="仿宋" w:eastAsia="仿宋" w:cs="仿宋"/>
          <w:b w:val="0"/>
          <w:bCs w:val="0"/>
          <w:sz w:val="30"/>
          <w:szCs w:val="30"/>
          <w:highlight w:val="none"/>
        </w:rPr>
      </w:pPr>
      <w:r>
        <w:rPr>
          <w:highlight w:val="none"/>
        </w:rPr>
        <w:fldChar w:fldCharType="begin"/>
      </w:r>
      <w:r>
        <w:rPr>
          <w:highlight w:val="none"/>
        </w:rPr>
        <w:instrText xml:space="preserve"> HYPERLINK \l "_Toc10426" </w:instrText>
      </w:r>
      <w:r>
        <w:rPr>
          <w:highlight w:val="none"/>
        </w:rPr>
        <w:fldChar w:fldCharType="separate"/>
      </w:r>
      <w:r>
        <w:rPr>
          <w:rFonts w:hint="eastAsia" w:ascii="仿宋" w:hAnsi="仿宋" w:eastAsia="仿宋" w:cs="仿宋"/>
          <w:b w:val="0"/>
          <w:bCs w:val="0"/>
          <w:spacing w:val="6"/>
          <w:sz w:val="30"/>
          <w:szCs w:val="30"/>
          <w:highlight w:val="none"/>
        </w:rPr>
        <w:t>（四）效益情况分析</w:t>
      </w:r>
      <w:r>
        <w:rPr>
          <w:rFonts w:hint="eastAsia" w:ascii="仿宋" w:hAnsi="仿宋" w:eastAsia="仿宋" w:cs="仿宋"/>
          <w:b w:val="0"/>
          <w:bCs w:val="0"/>
          <w:sz w:val="30"/>
          <w:szCs w:val="30"/>
          <w:highlight w:val="none"/>
        </w:rPr>
        <w:tab/>
      </w:r>
      <w:r>
        <w:rPr>
          <w:rFonts w:hint="eastAsia" w:ascii="仿宋" w:hAnsi="仿宋" w:eastAsia="仿宋" w:cs="仿宋"/>
          <w:b w:val="0"/>
          <w:bCs w:val="0"/>
          <w:sz w:val="30"/>
          <w:szCs w:val="30"/>
          <w:highlight w:val="none"/>
        </w:rPr>
        <w:fldChar w:fldCharType="begin"/>
      </w:r>
      <w:r>
        <w:rPr>
          <w:rFonts w:hint="eastAsia" w:ascii="仿宋" w:hAnsi="仿宋" w:eastAsia="仿宋" w:cs="仿宋"/>
          <w:b w:val="0"/>
          <w:bCs w:val="0"/>
          <w:sz w:val="30"/>
          <w:szCs w:val="30"/>
          <w:highlight w:val="none"/>
        </w:rPr>
        <w:instrText xml:space="preserve"> PAGEREF _Toc10426 \h </w:instrText>
      </w:r>
      <w:r>
        <w:rPr>
          <w:rFonts w:hint="eastAsia" w:ascii="仿宋" w:hAnsi="仿宋" w:eastAsia="仿宋" w:cs="仿宋"/>
          <w:b w:val="0"/>
          <w:bCs w:val="0"/>
          <w:sz w:val="30"/>
          <w:szCs w:val="30"/>
          <w:highlight w:val="none"/>
        </w:rPr>
        <w:fldChar w:fldCharType="separate"/>
      </w:r>
      <w:r>
        <w:rPr>
          <w:rFonts w:hint="eastAsia" w:ascii="仿宋" w:hAnsi="仿宋" w:eastAsia="仿宋" w:cs="仿宋"/>
          <w:b w:val="0"/>
          <w:bCs w:val="0"/>
          <w:sz w:val="30"/>
          <w:szCs w:val="30"/>
          <w:highlight w:val="none"/>
        </w:rPr>
        <w:t>- 13 -</w:t>
      </w:r>
      <w:r>
        <w:rPr>
          <w:rFonts w:hint="eastAsia" w:ascii="仿宋" w:hAnsi="仿宋" w:eastAsia="仿宋" w:cs="仿宋"/>
          <w:b w:val="0"/>
          <w:bCs w:val="0"/>
          <w:sz w:val="30"/>
          <w:szCs w:val="30"/>
          <w:highlight w:val="none"/>
        </w:rPr>
        <w:fldChar w:fldCharType="end"/>
      </w:r>
      <w:r>
        <w:rPr>
          <w:rFonts w:hint="eastAsia" w:ascii="仿宋" w:hAnsi="仿宋" w:eastAsia="仿宋" w:cs="仿宋"/>
          <w:b w:val="0"/>
          <w:bCs w:val="0"/>
          <w:sz w:val="30"/>
          <w:szCs w:val="30"/>
          <w:highlight w:val="none"/>
        </w:rPr>
        <w:fldChar w:fldCharType="end"/>
      </w:r>
    </w:p>
    <w:p>
      <w:pPr>
        <w:pStyle w:val="13"/>
        <w:tabs>
          <w:tab w:val="right" w:leader="dot" w:pos="8844"/>
          <w:tab w:val="clear" w:pos="8789"/>
        </w:tabs>
        <w:spacing w:line="240" w:lineRule="auto"/>
        <w:jc w:val="both"/>
        <w:rPr>
          <w:rFonts w:ascii="仿宋" w:hAnsi="仿宋" w:eastAsia="仿宋" w:cs="仿宋"/>
          <w:sz w:val="30"/>
          <w:szCs w:val="30"/>
          <w:highlight w:val="none"/>
        </w:rPr>
      </w:pPr>
      <w:r>
        <w:rPr>
          <w:highlight w:val="none"/>
        </w:rPr>
        <w:fldChar w:fldCharType="begin"/>
      </w:r>
      <w:r>
        <w:rPr>
          <w:highlight w:val="none"/>
        </w:rPr>
        <w:instrText xml:space="preserve"> HYPERLINK \l "_Toc8648" </w:instrText>
      </w:r>
      <w:r>
        <w:rPr>
          <w:highlight w:val="none"/>
        </w:rPr>
        <w:fldChar w:fldCharType="separate"/>
      </w:r>
      <w:r>
        <w:rPr>
          <w:rFonts w:hint="eastAsia" w:ascii="仿宋" w:hAnsi="仿宋" w:eastAsia="仿宋" w:cs="仿宋"/>
          <w:spacing w:val="6"/>
          <w:sz w:val="30"/>
          <w:szCs w:val="30"/>
          <w:highlight w:val="none"/>
        </w:rPr>
        <w:t>六、主要经验及做法</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_Toc8648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- 14 -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pStyle w:val="13"/>
        <w:tabs>
          <w:tab w:val="right" w:leader="dot" w:pos="8844"/>
          <w:tab w:val="clear" w:pos="8789"/>
        </w:tabs>
        <w:spacing w:line="240" w:lineRule="auto"/>
        <w:jc w:val="both"/>
        <w:rPr>
          <w:rFonts w:ascii="仿宋" w:hAnsi="仿宋" w:eastAsia="仿宋" w:cs="仿宋"/>
          <w:sz w:val="30"/>
          <w:szCs w:val="30"/>
          <w:highlight w:val="none"/>
        </w:rPr>
      </w:pPr>
      <w:r>
        <w:rPr>
          <w:highlight w:val="none"/>
        </w:rPr>
        <w:fldChar w:fldCharType="begin"/>
      </w:r>
      <w:r>
        <w:rPr>
          <w:highlight w:val="none"/>
        </w:rPr>
        <w:instrText xml:space="preserve"> HYPERLINK \l "_Toc30417" </w:instrText>
      </w:r>
      <w:r>
        <w:rPr>
          <w:highlight w:val="none"/>
        </w:rPr>
        <w:fldChar w:fldCharType="separate"/>
      </w:r>
      <w:r>
        <w:rPr>
          <w:rFonts w:hint="eastAsia" w:ascii="仿宋" w:hAnsi="仿宋" w:eastAsia="仿宋" w:cs="仿宋"/>
          <w:spacing w:val="6"/>
          <w:sz w:val="30"/>
          <w:szCs w:val="30"/>
          <w:highlight w:val="none"/>
        </w:rPr>
        <w:t>七、存在问题</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_Toc30417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- 14 -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pStyle w:val="13"/>
        <w:tabs>
          <w:tab w:val="right" w:leader="dot" w:pos="8844"/>
          <w:tab w:val="clear" w:pos="8789"/>
        </w:tabs>
        <w:spacing w:line="240" w:lineRule="auto"/>
        <w:jc w:val="both"/>
        <w:rPr>
          <w:highlight w:val="none"/>
        </w:rPr>
      </w:pPr>
      <w:r>
        <w:rPr>
          <w:highlight w:val="none"/>
        </w:rPr>
        <w:fldChar w:fldCharType="begin"/>
      </w:r>
      <w:r>
        <w:rPr>
          <w:highlight w:val="none"/>
        </w:rPr>
        <w:instrText xml:space="preserve"> HYPERLINK \l "_Toc23881" </w:instrText>
      </w:r>
      <w:r>
        <w:rPr>
          <w:highlight w:val="none"/>
        </w:rPr>
        <w:fldChar w:fldCharType="separate"/>
      </w:r>
      <w:r>
        <w:rPr>
          <w:rFonts w:hint="eastAsia" w:ascii="仿宋" w:hAnsi="仿宋" w:eastAsia="仿宋" w:cs="仿宋"/>
          <w:spacing w:val="6"/>
          <w:sz w:val="30"/>
          <w:szCs w:val="30"/>
          <w:highlight w:val="none"/>
        </w:rPr>
        <w:t>八、有关建议</w:t>
      </w:r>
      <w:r>
        <w:rPr>
          <w:rFonts w:hint="eastAsia" w:ascii="仿宋" w:hAnsi="仿宋" w:eastAsia="仿宋" w:cs="仿宋"/>
          <w:sz w:val="30"/>
          <w:szCs w:val="30"/>
          <w:highlight w:val="none"/>
        </w:rPr>
        <w:tab/>
      </w:r>
      <w:r>
        <w:rPr>
          <w:rFonts w:hint="eastAsia" w:ascii="仿宋" w:hAnsi="仿宋" w:eastAsia="仿宋" w:cs="仿宋"/>
          <w:sz w:val="30"/>
          <w:szCs w:val="30"/>
          <w:highlight w:val="none"/>
        </w:rPr>
        <w:fldChar w:fldCharType="begin"/>
      </w:r>
      <w:r>
        <w:rPr>
          <w:rFonts w:hint="eastAsia" w:ascii="仿宋" w:hAnsi="仿宋" w:eastAsia="仿宋" w:cs="仿宋"/>
          <w:sz w:val="30"/>
          <w:szCs w:val="30"/>
          <w:highlight w:val="none"/>
        </w:rPr>
        <w:instrText xml:space="preserve"> PAGEREF _Toc23881 \h </w:instrText>
      </w:r>
      <w:r>
        <w:rPr>
          <w:rFonts w:hint="eastAsia" w:ascii="仿宋" w:hAnsi="仿宋" w:eastAsia="仿宋" w:cs="仿宋"/>
          <w:sz w:val="30"/>
          <w:szCs w:val="30"/>
          <w:highlight w:val="none"/>
        </w:rPr>
        <w:fldChar w:fldCharType="separate"/>
      </w:r>
      <w:r>
        <w:rPr>
          <w:rFonts w:hint="eastAsia" w:ascii="仿宋" w:hAnsi="仿宋" w:eastAsia="仿宋" w:cs="仿宋"/>
          <w:sz w:val="30"/>
          <w:szCs w:val="30"/>
          <w:highlight w:val="none"/>
        </w:rPr>
        <w:t>- 14 -</w:t>
      </w:r>
      <w:r>
        <w:rPr>
          <w:rFonts w:hint="eastAsia" w:ascii="仿宋" w:hAnsi="仿宋" w:eastAsia="仿宋" w:cs="仿宋"/>
          <w:sz w:val="30"/>
          <w:szCs w:val="30"/>
          <w:highlight w:val="none"/>
        </w:rPr>
        <w:fldChar w:fldCharType="end"/>
      </w:r>
      <w:r>
        <w:rPr>
          <w:rFonts w:hint="eastAsia" w:ascii="仿宋" w:hAnsi="仿宋" w:eastAsia="仿宋" w:cs="仿宋"/>
          <w:sz w:val="30"/>
          <w:szCs w:val="30"/>
          <w:highlight w:val="none"/>
        </w:rPr>
        <w:fldChar w:fldCharType="end"/>
      </w:r>
    </w:p>
    <w:p>
      <w:pPr>
        <w:widowControl/>
        <w:rPr>
          <w:rFonts w:hAnsi="仿宋" w:cs="宋体"/>
          <w:bCs/>
          <w:szCs w:val="30"/>
          <w:highlight w:val="none"/>
        </w:rPr>
      </w:pPr>
      <w:r>
        <w:rPr>
          <w:rFonts w:hAnsi="仿宋" w:cs="宋体"/>
          <w:bCs/>
          <w:kern w:val="0"/>
          <w:szCs w:val="30"/>
          <w:highlight w:val="none"/>
        </w:rPr>
        <w:fldChar w:fldCharType="end"/>
      </w:r>
    </w:p>
    <w:p>
      <w:pPr>
        <w:tabs>
          <w:tab w:val="left" w:pos="6105"/>
        </w:tabs>
        <w:jc w:val="left"/>
        <w:rPr>
          <w:rFonts w:ascii="宋体" w:hAnsi="宋体" w:eastAsia="宋体"/>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474" w:gutter="0"/>
          <w:pgNumType w:start="1"/>
          <w:cols w:space="425" w:num="1"/>
          <w:titlePg/>
          <w:docGrid w:type="lines" w:linePitch="579" w:charSpace="3247"/>
        </w:sectPr>
      </w:pPr>
    </w:p>
    <w:p>
      <w:pPr>
        <w:spacing w:line="590" w:lineRule="exact"/>
        <w:jc w:val="center"/>
        <w:rPr>
          <w:rFonts w:ascii="方正小标宋简体" w:eastAsia="方正小标宋简体"/>
          <w:spacing w:val="6"/>
          <w:sz w:val="36"/>
          <w:szCs w:val="36"/>
          <w:highlight w:val="none"/>
        </w:rPr>
      </w:pPr>
      <w:r>
        <w:rPr>
          <w:rFonts w:hint="eastAsia" w:ascii="方正小标宋简体" w:eastAsia="方正小标宋简体"/>
          <w:spacing w:val="6"/>
          <w:sz w:val="36"/>
          <w:szCs w:val="36"/>
          <w:highlight w:val="none"/>
        </w:rPr>
        <w:t>云南五华产业园区管委会公共服务平台项目支出</w:t>
      </w:r>
    </w:p>
    <w:p>
      <w:pPr>
        <w:spacing w:line="590" w:lineRule="exact"/>
        <w:jc w:val="center"/>
        <w:rPr>
          <w:rFonts w:ascii="方正小标宋简体" w:eastAsia="方正小标宋简体"/>
          <w:spacing w:val="6"/>
          <w:sz w:val="36"/>
          <w:szCs w:val="36"/>
          <w:highlight w:val="none"/>
        </w:rPr>
      </w:pPr>
      <w:r>
        <w:rPr>
          <w:rFonts w:hint="eastAsia" w:ascii="方正小标宋简体" w:eastAsia="方正小标宋简体"/>
          <w:spacing w:val="6"/>
          <w:sz w:val="36"/>
          <w:szCs w:val="36"/>
          <w:highlight w:val="none"/>
        </w:rPr>
        <w:t>绩效评价报告</w:t>
      </w:r>
    </w:p>
    <w:p>
      <w:pPr>
        <w:spacing w:line="590" w:lineRule="exact"/>
        <w:ind w:firstLine="624" w:firstLineChars="200"/>
        <w:jc w:val="center"/>
        <w:rPr>
          <w:rFonts w:hAnsi="仿宋" w:cs="仿宋"/>
          <w:spacing w:val="6"/>
          <w:szCs w:val="30"/>
          <w:highlight w:val="none"/>
        </w:rPr>
      </w:pPr>
    </w:p>
    <w:p>
      <w:pPr>
        <w:spacing w:line="590" w:lineRule="exact"/>
        <w:ind w:firstLine="624" w:firstLineChars="200"/>
        <w:outlineLvl w:val="0"/>
        <w:rPr>
          <w:rFonts w:ascii="黑体" w:hAnsi="黑体" w:eastAsia="黑体" w:cs="黑体"/>
          <w:b/>
          <w:bCs/>
          <w:spacing w:val="6"/>
          <w:szCs w:val="30"/>
          <w:highlight w:val="none"/>
        </w:rPr>
      </w:pPr>
      <w:bookmarkStart w:id="0" w:name="_Toc2462"/>
      <w:bookmarkStart w:id="1" w:name="_Toc19712"/>
      <w:bookmarkStart w:id="2" w:name="_Toc28854"/>
      <w:bookmarkStart w:id="3" w:name="_Toc536428355"/>
      <w:r>
        <w:rPr>
          <w:rStyle w:val="26"/>
          <w:rFonts w:hint="eastAsia" w:ascii="黑体" w:hAnsi="黑体" w:eastAsia="黑体" w:cs="黑体"/>
          <w:b w:val="0"/>
          <w:bCs w:val="0"/>
          <w:spacing w:val="6"/>
          <w:sz w:val="30"/>
          <w:szCs w:val="30"/>
          <w:highlight w:val="none"/>
        </w:rPr>
        <w:t>一、基本情况</w:t>
      </w:r>
      <w:bookmarkEnd w:id="0"/>
      <w:bookmarkEnd w:id="1"/>
      <w:bookmarkEnd w:id="2"/>
      <w:bookmarkEnd w:id="3"/>
    </w:p>
    <w:p>
      <w:pPr>
        <w:pStyle w:val="3"/>
        <w:rPr>
          <w:highlight w:val="none"/>
        </w:rPr>
      </w:pPr>
      <w:bookmarkStart w:id="4" w:name="_Toc536428356"/>
      <w:bookmarkStart w:id="5" w:name="_Toc26990"/>
      <w:bookmarkStart w:id="6" w:name="_Toc27016"/>
      <w:bookmarkStart w:id="7" w:name="_Toc24801"/>
      <w:r>
        <w:rPr>
          <w:rFonts w:hint="eastAsia"/>
          <w:highlight w:val="none"/>
        </w:rPr>
        <w:t>（一）项目</w:t>
      </w:r>
      <w:bookmarkEnd w:id="4"/>
      <w:bookmarkEnd w:id="5"/>
      <w:bookmarkEnd w:id="6"/>
      <w:bookmarkEnd w:id="7"/>
      <w:r>
        <w:rPr>
          <w:rFonts w:hint="eastAsia"/>
          <w:highlight w:val="none"/>
        </w:rPr>
        <w:t>概况</w:t>
      </w:r>
    </w:p>
    <w:p>
      <w:pPr>
        <w:spacing w:line="590" w:lineRule="exact"/>
        <w:ind w:firstLine="624" w:firstLineChars="200"/>
        <w:rPr>
          <w:rFonts w:hAnsi="仿宋" w:cs="仿宋"/>
          <w:spacing w:val="6"/>
          <w:szCs w:val="30"/>
          <w:highlight w:val="none"/>
        </w:rPr>
      </w:pPr>
      <w:bookmarkStart w:id="8" w:name="_Toc536428357"/>
      <w:r>
        <w:rPr>
          <w:rFonts w:hint="eastAsia" w:hAnsi="仿宋" w:cs="仿宋"/>
          <w:spacing w:val="6"/>
          <w:szCs w:val="30"/>
          <w:highlight w:val="none"/>
        </w:rPr>
        <w:t>2020年6月，原广告办向2020年第四次主任办公会提交了金鼎科技园18号平台B座新媒体演示中心（以下简称：演示中心）委托服务方案，后续完成了委托管理合同的签订，合同试运营周期为一年（2020年7月15日至2021年7月14日）。自2021年8月份以后，全国疫情防控形势严峻复杂，对人员大规模聚集的情况管控严格，演示中心第二周期的采购进程放慢，为继续规范和提升演示中心的使用功能，保证平台的服务质量，创新创业服务中心（以下简称“双创服务中心”）计划启动新一轮演示中心委托管理招标运营工作。</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根据《2023年第3次主任办公会会议纪要》关于“尽快启动新媒体演示中心，提高演示中心的利用率，服务好园区企业”的会议精神，2023年7月，双创服务中心通过竞争性磋商的采购方式，确定“昆明金鼎物业服务有限责任公司”为成交单位，按照合同要求，承担演示中心管理和维护，发挥园区公共服务平台的作用，提升广告产业园区的服务效能，管理服务期限为2023年8月1日起至2026年7月31日止。</w:t>
      </w:r>
    </w:p>
    <w:bookmarkEnd w:id="8"/>
    <w:p>
      <w:pPr>
        <w:pStyle w:val="3"/>
        <w:rPr>
          <w:highlight w:val="none"/>
        </w:rPr>
      </w:pPr>
      <w:bookmarkStart w:id="9" w:name="_Toc75851125"/>
      <w:bookmarkStart w:id="10" w:name="_Toc23847"/>
      <w:bookmarkStart w:id="11" w:name="_Toc22085"/>
      <w:bookmarkStart w:id="12" w:name="_Toc11587"/>
      <w:r>
        <w:rPr>
          <w:rFonts w:hint="eastAsia"/>
          <w:highlight w:val="none"/>
        </w:rPr>
        <w:t>（二）项目预算及资金使用情况</w:t>
      </w:r>
      <w:bookmarkEnd w:id="9"/>
      <w:bookmarkEnd w:id="10"/>
      <w:bookmarkEnd w:id="11"/>
      <w:bookmarkEnd w:id="12"/>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1.项目预算情况</w:t>
      </w:r>
    </w:p>
    <w:p>
      <w:pPr>
        <w:tabs>
          <w:tab w:val="left" w:pos="5280"/>
        </w:tabs>
        <w:spacing w:line="590" w:lineRule="exact"/>
        <w:ind w:firstLine="624" w:firstLineChars="200"/>
        <w:rPr>
          <w:rFonts w:hint="eastAsia" w:hAnsi="仿宋" w:cs="仿宋"/>
          <w:spacing w:val="6"/>
          <w:szCs w:val="30"/>
          <w:highlight w:val="none"/>
          <w:lang w:bidi="zh-TW"/>
        </w:rPr>
      </w:pPr>
      <w:r>
        <w:rPr>
          <w:rFonts w:hint="eastAsia" w:hAnsi="仿宋" w:cs="仿宋"/>
          <w:spacing w:val="6"/>
          <w:szCs w:val="30"/>
          <w:highlight w:val="none"/>
          <w:lang w:bidi="zh-TW"/>
        </w:rPr>
        <w:t>经过第一期试行管理，演示中心的管理机制逐渐成熟，根据第一期演示中心收支明细的情况分析，2023年项目栏标价（三年）确定为42万元（14万元/年），最终中标价为41.94万元。本项目年度预算资金申报为：13万元。</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2．资金使用情况</w:t>
      </w:r>
    </w:p>
    <w:p>
      <w:pPr>
        <w:tabs>
          <w:tab w:val="left" w:pos="5280"/>
        </w:tabs>
        <w:spacing w:line="590" w:lineRule="exact"/>
        <w:ind w:firstLine="624" w:firstLineChars="200"/>
        <w:rPr>
          <w:rFonts w:hAnsi="仿宋" w:cs="仿宋"/>
          <w:spacing w:val="6"/>
          <w:szCs w:val="30"/>
          <w:highlight w:val="none"/>
          <w:lang w:bidi="zh-TW"/>
        </w:rPr>
      </w:pPr>
      <w:bookmarkStart w:id="13" w:name="_Toc75851126"/>
      <w:r>
        <w:rPr>
          <w:rFonts w:hint="eastAsia" w:hAnsi="仿宋" w:cs="仿宋"/>
          <w:spacing w:val="6"/>
          <w:szCs w:val="30"/>
          <w:highlight w:val="none"/>
          <w:lang w:bidi="zh-TW"/>
        </w:rPr>
        <w:t>根</w:t>
      </w:r>
      <w:r>
        <w:rPr>
          <w:rFonts w:hint="eastAsia" w:hAnsi="仿宋" w:cs="仿宋"/>
          <w:spacing w:val="6"/>
          <w:szCs w:val="30"/>
          <w:highlight w:val="none"/>
          <w:lang w:val="zh-TW" w:bidi="zh-TW"/>
        </w:rPr>
        <w:t>据《昆明广告产业园新媒体演示中心委托管理服务</w:t>
      </w:r>
      <w:r>
        <w:rPr>
          <w:rFonts w:hint="eastAsia" w:hAnsi="仿宋" w:cs="仿宋"/>
          <w:spacing w:val="6"/>
          <w:szCs w:val="30"/>
          <w:highlight w:val="none"/>
          <w:lang w:bidi="zh-TW"/>
        </w:rPr>
        <w:t>协议书</w:t>
      </w:r>
      <w:r>
        <w:rPr>
          <w:rFonts w:hint="eastAsia" w:hAnsi="仿宋" w:cs="仿宋"/>
          <w:spacing w:val="6"/>
          <w:szCs w:val="30"/>
          <w:highlight w:val="none"/>
          <w:lang w:val="zh-TW" w:bidi="zh-TW"/>
        </w:rPr>
        <w:t>》</w:t>
      </w:r>
      <w:r>
        <w:rPr>
          <w:rFonts w:hint="eastAsia" w:hAnsi="仿宋" w:cs="仿宋"/>
          <w:spacing w:val="6"/>
          <w:szCs w:val="30"/>
          <w:highlight w:val="none"/>
          <w:lang w:bidi="zh-TW"/>
        </w:rPr>
        <w:t>内容约定：“托管服务费分三次支付，每12个月为一周期，每个周期开始之前完成费用的支付。其中第一周期支付人民币13万元；第二、三个周期分别支付人民币14.47万元。”</w:t>
      </w:r>
      <w:r>
        <w:rPr>
          <w:rFonts w:hint="eastAsia" w:hAnsi="仿宋" w:cs="仿宋"/>
          <w:spacing w:val="6"/>
          <w:szCs w:val="30"/>
          <w:highlight w:val="none"/>
          <w:lang w:val="zh-TW" w:bidi="zh-TW"/>
        </w:rPr>
        <w:t>截至202</w:t>
      </w:r>
      <w:r>
        <w:rPr>
          <w:rFonts w:hint="eastAsia" w:hAnsi="仿宋" w:cs="仿宋"/>
          <w:spacing w:val="6"/>
          <w:szCs w:val="30"/>
          <w:highlight w:val="none"/>
          <w:lang w:bidi="zh-TW"/>
        </w:rPr>
        <w:t>3</w:t>
      </w:r>
      <w:r>
        <w:rPr>
          <w:rFonts w:hint="eastAsia" w:hAnsi="仿宋" w:cs="仿宋"/>
          <w:spacing w:val="6"/>
          <w:szCs w:val="30"/>
          <w:highlight w:val="none"/>
          <w:lang w:val="zh-TW" w:bidi="zh-TW"/>
        </w:rPr>
        <w:t>年12月31日，项目实际收到</w:t>
      </w:r>
      <w:r>
        <w:rPr>
          <w:rFonts w:hint="eastAsia" w:hAnsi="仿宋" w:cs="仿宋"/>
          <w:spacing w:val="6"/>
          <w:szCs w:val="30"/>
          <w:highlight w:val="none"/>
          <w:lang w:bidi="zh-TW"/>
        </w:rPr>
        <w:t>第一周期</w:t>
      </w:r>
      <w:r>
        <w:rPr>
          <w:rFonts w:hint="eastAsia" w:hAnsi="仿宋" w:cs="仿宋"/>
          <w:spacing w:val="6"/>
          <w:szCs w:val="30"/>
          <w:highlight w:val="none"/>
          <w:lang w:val="zh-TW" w:bidi="zh-TW"/>
        </w:rPr>
        <w:t>资金</w:t>
      </w:r>
      <w:r>
        <w:rPr>
          <w:rFonts w:hint="eastAsia" w:hAnsi="仿宋" w:cs="仿宋"/>
          <w:spacing w:val="6"/>
          <w:szCs w:val="30"/>
          <w:highlight w:val="none"/>
          <w:lang w:bidi="zh-TW"/>
        </w:rPr>
        <w:t>13</w:t>
      </w:r>
      <w:r>
        <w:rPr>
          <w:rFonts w:hint="eastAsia" w:hAnsi="仿宋" w:cs="仿宋"/>
          <w:spacing w:val="6"/>
          <w:szCs w:val="30"/>
          <w:highlight w:val="none"/>
          <w:lang w:val="zh-TW" w:bidi="zh-TW"/>
        </w:rPr>
        <w:t>万元，实际支出</w:t>
      </w:r>
      <w:r>
        <w:rPr>
          <w:rFonts w:hint="eastAsia" w:hAnsi="仿宋" w:cs="仿宋"/>
          <w:spacing w:val="6"/>
          <w:szCs w:val="30"/>
          <w:highlight w:val="none"/>
          <w:lang w:bidi="zh-TW"/>
        </w:rPr>
        <w:t>13</w:t>
      </w:r>
      <w:r>
        <w:rPr>
          <w:rFonts w:hint="eastAsia" w:hAnsi="仿宋" w:cs="仿宋"/>
          <w:spacing w:val="6"/>
          <w:szCs w:val="30"/>
          <w:highlight w:val="none"/>
          <w:lang w:val="zh-TW" w:bidi="zh-TW"/>
        </w:rPr>
        <w:t>万元。该</w:t>
      </w:r>
      <w:r>
        <w:rPr>
          <w:rFonts w:hint="eastAsia" w:hAnsi="仿宋" w:cs="仿宋"/>
          <w:spacing w:val="6"/>
          <w:szCs w:val="30"/>
          <w:highlight w:val="none"/>
          <w:lang w:bidi="zh-TW"/>
        </w:rPr>
        <w:t>项目支出情况详见下表：</w:t>
      </w:r>
    </w:p>
    <w:p>
      <w:pPr>
        <w:jc w:val="center"/>
        <w:rPr>
          <w:rFonts w:ascii="黑体" w:hAnsi="黑体" w:eastAsia="黑体"/>
          <w:color w:val="000000" w:themeColor="text1"/>
          <w:spacing w:val="6"/>
          <w:sz w:val="24"/>
          <w:szCs w:val="24"/>
          <w:highlight w:val="none"/>
          <w14:textFill>
            <w14:solidFill>
              <w14:schemeClr w14:val="tx1"/>
            </w14:solidFill>
          </w14:textFill>
        </w:rPr>
      </w:pPr>
      <w:r>
        <w:rPr>
          <w:rFonts w:hint="eastAsia" w:ascii="黑体" w:hAnsi="黑体" w:eastAsia="黑体"/>
          <w:color w:val="000000" w:themeColor="text1"/>
          <w:spacing w:val="6"/>
          <w:sz w:val="24"/>
          <w:szCs w:val="24"/>
          <w:highlight w:val="none"/>
          <w14:textFill>
            <w14:solidFill>
              <w14:schemeClr w14:val="tx1"/>
            </w14:solidFill>
          </w14:textFill>
        </w:rPr>
        <w:t>表1：预算资金支出明细情况表</w:t>
      </w:r>
    </w:p>
    <w:p>
      <w:pPr>
        <w:jc w:val="right"/>
        <w:rPr>
          <w:spacing w:val="6"/>
          <w:highlight w:val="none"/>
        </w:rPr>
      </w:pPr>
      <w:r>
        <w:rPr>
          <w:rFonts w:hint="eastAsia" w:ascii="黑体" w:hAnsi="黑体" w:eastAsia="黑体"/>
          <w:color w:val="000000" w:themeColor="text1"/>
          <w:spacing w:val="6"/>
          <w:sz w:val="24"/>
          <w:szCs w:val="24"/>
          <w:highlight w:val="none"/>
          <w14:textFill>
            <w14:solidFill>
              <w14:schemeClr w14:val="tx1"/>
            </w14:solidFill>
          </w14:textFill>
        </w:rPr>
        <w:t>单位：元</w:t>
      </w:r>
    </w:p>
    <w:tbl>
      <w:tblPr>
        <w:tblStyle w:val="19"/>
        <w:tblW w:w="5000" w:type="pct"/>
        <w:jc w:val="center"/>
        <w:tblLayout w:type="autofit"/>
        <w:tblCellMar>
          <w:top w:w="0" w:type="dxa"/>
          <w:left w:w="108" w:type="dxa"/>
          <w:bottom w:w="0" w:type="dxa"/>
          <w:right w:w="108" w:type="dxa"/>
        </w:tblCellMar>
      </w:tblPr>
      <w:tblGrid>
        <w:gridCol w:w="677"/>
        <w:gridCol w:w="446"/>
        <w:gridCol w:w="448"/>
        <w:gridCol w:w="1017"/>
        <w:gridCol w:w="4877"/>
        <w:gridCol w:w="1595"/>
      </w:tblGrid>
      <w:tr>
        <w:tblPrEx>
          <w:tblCellMar>
            <w:top w:w="0" w:type="dxa"/>
            <w:left w:w="108" w:type="dxa"/>
            <w:bottom w:w="0" w:type="dxa"/>
            <w:right w:w="108" w:type="dxa"/>
          </w:tblCellMar>
        </w:tblPrEx>
        <w:trPr>
          <w:trHeight w:val="319" w:hRule="atLeast"/>
          <w:tblHeader/>
          <w:jc w:val="center"/>
        </w:trPr>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highlight w:val="none"/>
              </w:rPr>
            </w:pPr>
            <w:r>
              <w:rPr>
                <w:rFonts w:hint="eastAsia" w:hAnsi="仿宋" w:cs="仿宋"/>
                <w:b/>
                <w:bCs/>
                <w:spacing w:val="6"/>
                <w:kern w:val="0"/>
                <w:sz w:val="21"/>
                <w:highlight w:val="none"/>
                <w:lang w:bidi="ar"/>
              </w:rPr>
              <w:t>年</w:t>
            </w: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highlight w:val="none"/>
              </w:rPr>
            </w:pPr>
            <w:r>
              <w:rPr>
                <w:rFonts w:hint="eastAsia" w:hAnsi="仿宋" w:cs="仿宋"/>
                <w:b/>
                <w:bCs/>
                <w:spacing w:val="6"/>
                <w:kern w:val="0"/>
                <w:sz w:val="21"/>
                <w:highlight w:val="none"/>
                <w:lang w:bidi="ar"/>
              </w:rPr>
              <w:t>月</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highlight w:val="none"/>
              </w:rPr>
            </w:pPr>
            <w:r>
              <w:rPr>
                <w:rFonts w:hint="eastAsia" w:hAnsi="仿宋" w:cs="仿宋"/>
                <w:b/>
                <w:bCs/>
                <w:spacing w:val="6"/>
                <w:kern w:val="0"/>
                <w:sz w:val="21"/>
                <w:highlight w:val="none"/>
                <w:lang w:bidi="ar"/>
              </w:rPr>
              <w:t>日</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highlight w:val="none"/>
              </w:rPr>
            </w:pPr>
            <w:r>
              <w:rPr>
                <w:rFonts w:hint="eastAsia" w:hAnsi="仿宋" w:cs="仿宋"/>
                <w:b/>
                <w:bCs/>
                <w:spacing w:val="6"/>
                <w:kern w:val="0"/>
                <w:sz w:val="21"/>
                <w:highlight w:val="none"/>
                <w:lang w:bidi="ar"/>
              </w:rPr>
              <w:t>凭证号</w:t>
            </w:r>
          </w:p>
        </w:tc>
        <w:tc>
          <w:tcPr>
            <w:tcW w:w="2689" w:type="pct"/>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Ansi="仿宋" w:cs="仿宋"/>
                <w:b/>
                <w:bCs/>
                <w:spacing w:val="6"/>
                <w:sz w:val="21"/>
                <w:highlight w:val="none"/>
              </w:rPr>
            </w:pPr>
            <w:r>
              <w:rPr>
                <w:rFonts w:hint="eastAsia" w:hAnsi="仿宋" w:cs="仿宋"/>
                <w:b/>
                <w:bCs/>
                <w:spacing w:val="6"/>
                <w:kern w:val="0"/>
                <w:sz w:val="21"/>
                <w:highlight w:val="none"/>
                <w:lang w:bidi="ar"/>
              </w:rPr>
              <w:t>摘要</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b/>
                <w:bCs/>
                <w:spacing w:val="6"/>
                <w:sz w:val="21"/>
                <w:highlight w:val="none"/>
              </w:rPr>
            </w:pPr>
            <w:r>
              <w:rPr>
                <w:rFonts w:hint="eastAsia" w:hAnsi="仿宋" w:cs="仿宋"/>
                <w:b/>
                <w:bCs/>
                <w:spacing w:val="6"/>
                <w:kern w:val="0"/>
                <w:sz w:val="21"/>
                <w:highlight w:val="none"/>
                <w:lang w:bidi="ar"/>
              </w:rPr>
              <w:t>金额</w:t>
            </w:r>
          </w:p>
        </w:tc>
      </w:tr>
      <w:tr>
        <w:tblPrEx>
          <w:tblCellMar>
            <w:top w:w="0" w:type="dxa"/>
            <w:left w:w="108" w:type="dxa"/>
            <w:bottom w:w="0" w:type="dxa"/>
            <w:right w:w="108" w:type="dxa"/>
          </w:tblCellMar>
        </w:tblPrEx>
        <w:trPr>
          <w:trHeight w:val="732" w:hRule="atLeast"/>
          <w:jc w:val="center"/>
        </w:trPr>
        <w:tc>
          <w:tcPr>
            <w:tcW w:w="37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highlight w:val="none"/>
                <w:lang w:bidi="ar"/>
              </w:rPr>
            </w:pPr>
            <w:r>
              <w:rPr>
                <w:rFonts w:hint="eastAsia" w:hAnsi="仿宋" w:cs="仿宋"/>
                <w:spacing w:val="6"/>
                <w:kern w:val="0"/>
                <w:sz w:val="21"/>
                <w:highlight w:val="none"/>
                <w:lang w:bidi="ar"/>
              </w:rPr>
              <w:t>2023</w:t>
            </w: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highlight w:val="none"/>
                <w:lang w:bidi="ar"/>
              </w:rPr>
            </w:pPr>
            <w:r>
              <w:rPr>
                <w:rFonts w:hint="eastAsia" w:hAnsi="仿宋" w:cs="仿宋"/>
                <w:spacing w:val="6"/>
                <w:kern w:val="0"/>
                <w:sz w:val="21"/>
                <w:highlight w:val="none"/>
                <w:lang w:bidi="ar"/>
              </w:rPr>
              <w:t>12</w:t>
            </w:r>
          </w:p>
        </w:tc>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Ansi="仿宋" w:cs="仿宋"/>
                <w:spacing w:val="6"/>
                <w:kern w:val="0"/>
                <w:sz w:val="21"/>
                <w:highlight w:val="none"/>
                <w:lang w:bidi="ar"/>
              </w:rPr>
            </w:pPr>
            <w:r>
              <w:rPr>
                <w:rFonts w:hint="eastAsia" w:hAnsi="仿宋" w:cs="仿宋"/>
                <w:spacing w:val="6"/>
                <w:kern w:val="0"/>
                <w:sz w:val="21"/>
                <w:highlight w:val="none"/>
                <w:lang w:bidi="ar"/>
              </w:rPr>
              <w:t>31</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Ansi="仿宋" w:cs="仿宋"/>
                <w:spacing w:val="6"/>
                <w:kern w:val="0"/>
                <w:sz w:val="21"/>
                <w:highlight w:val="none"/>
                <w:lang w:bidi="ar"/>
              </w:rPr>
            </w:pPr>
            <w:r>
              <w:rPr>
                <w:rFonts w:hint="eastAsia" w:hAnsi="仿宋" w:cs="仿宋"/>
                <w:spacing w:val="6"/>
                <w:kern w:val="0"/>
                <w:sz w:val="21"/>
                <w:highlight w:val="none"/>
                <w:lang w:bidi="ar"/>
              </w:rPr>
              <w:t>记账-7</w:t>
            </w:r>
          </w:p>
        </w:tc>
        <w:tc>
          <w:tcPr>
            <w:tcW w:w="2689" w:type="pct"/>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hAnsi="仿宋" w:cs="仿宋"/>
                <w:spacing w:val="6"/>
                <w:kern w:val="0"/>
                <w:sz w:val="21"/>
                <w:highlight w:val="none"/>
                <w:lang w:bidi="ar"/>
              </w:rPr>
            </w:pPr>
            <w:r>
              <w:rPr>
                <w:rFonts w:hint="eastAsia" w:hAnsi="仿宋" w:cs="仿宋"/>
                <w:spacing w:val="6"/>
                <w:kern w:val="0"/>
                <w:sz w:val="21"/>
                <w:highlight w:val="none"/>
                <w:lang w:bidi="ar"/>
              </w:rPr>
              <w:t>拨广告园新媒体演示中心委托管理服务费</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hAnsi="仿宋" w:cs="仿宋"/>
                <w:spacing w:val="6"/>
                <w:kern w:val="0"/>
                <w:sz w:val="21"/>
                <w:highlight w:val="none"/>
                <w:lang w:bidi="ar"/>
              </w:rPr>
            </w:pPr>
            <w:r>
              <w:rPr>
                <w:rFonts w:hint="eastAsia" w:hAnsi="仿宋" w:cs="仿宋"/>
                <w:spacing w:val="6"/>
                <w:kern w:val="0"/>
                <w:sz w:val="21"/>
                <w:highlight w:val="none"/>
                <w:lang w:bidi="ar"/>
              </w:rPr>
              <w:t>130,000.00</w:t>
            </w:r>
          </w:p>
        </w:tc>
      </w:tr>
      <w:tr>
        <w:tblPrEx>
          <w:tblCellMar>
            <w:top w:w="0" w:type="dxa"/>
            <w:left w:w="108" w:type="dxa"/>
            <w:bottom w:w="0" w:type="dxa"/>
            <w:right w:w="108" w:type="dxa"/>
          </w:tblCellMar>
        </w:tblPrEx>
        <w:trPr>
          <w:trHeight w:val="384" w:hRule="atLeast"/>
          <w:jc w:val="center"/>
        </w:trPr>
        <w:tc>
          <w:tcPr>
            <w:tcW w:w="4119" w:type="pct"/>
            <w:gridSpan w:val="5"/>
            <w:tcBorders>
              <w:top w:val="single" w:color="000000" w:sz="4" w:space="0"/>
              <w:left w:val="single" w:color="000000" w:sz="4" w:space="0"/>
              <w:bottom w:val="single" w:color="000000" w:sz="4" w:space="0"/>
              <w:right w:val="single" w:color="000000" w:sz="4" w:space="0"/>
            </w:tcBorders>
            <w:noWrap/>
            <w:vAlign w:val="center"/>
          </w:tcPr>
          <w:p>
            <w:pPr>
              <w:widowControl/>
              <w:tabs>
                <w:tab w:val="left" w:pos="4604"/>
              </w:tabs>
              <w:snapToGrid w:val="0"/>
              <w:jc w:val="center"/>
              <w:textAlignment w:val="center"/>
              <w:rPr>
                <w:rFonts w:hAnsi="仿宋" w:cs="仿宋"/>
                <w:b/>
                <w:bCs/>
                <w:spacing w:val="6"/>
                <w:kern w:val="0"/>
                <w:sz w:val="21"/>
                <w:highlight w:val="none"/>
                <w:lang w:bidi="ar"/>
              </w:rPr>
            </w:pPr>
            <w:r>
              <w:rPr>
                <w:rFonts w:hint="eastAsia" w:hAnsi="仿宋" w:cs="仿宋"/>
                <w:b/>
                <w:bCs/>
                <w:spacing w:val="6"/>
                <w:kern w:val="0"/>
                <w:sz w:val="21"/>
                <w:highlight w:val="none"/>
                <w:lang w:bidi="ar"/>
              </w:rPr>
              <w:t>合计</w:t>
            </w:r>
          </w:p>
        </w:tc>
        <w:tc>
          <w:tcPr>
            <w:tcW w:w="88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hAnsi="仿宋" w:cs="仿宋"/>
                <w:b/>
                <w:bCs/>
                <w:spacing w:val="6"/>
                <w:kern w:val="0"/>
                <w:sz w:val="21"/>
                <w:highlight w:val="none"/>
                <w:lang w:bidi="ar"/>
              </w:rPr>
            </w:pPr>
            <w:r>
              <w:rPr>
                <w:rFonts w:hint="eastAsia" w:hAnsi="仿宋" w:cs="仿宋"/>
                <w:b/>
                <w:bCs/>
                <w:spacing w:val="6"/>
                <w:kern w:val="0"/>
                <w:sz w:val="21"/>
                <w:highlight w:val="none"/>
                <w:lang w:bidi="ar"/>
              </w:rPr>
              <w:t>130,000.00</w:t>
            </w:r>
          </w:p>
        </w:tc>
      </w:tr>
    </w:tbl>
    <w:p>
      <w:pPr>
        <w:pStyle w:val="3"/>
        <w:rPr>
          <w:highlight w:val="none"/>
        </w:rPr>
      </w:pPr>
      <w:bookmarkStart w:id="14" w:name="_Toc732"/>
      <w:bookmarkStart w:id="15" w:name="_Toc32170"/>
      <w:bookmarkStart w:id="16" w:name="_Toc20104"/>
      <w:r>
        <w:rPr>
          <w:rFonts w:hint="eastAsia"/>
          <w:highlight w:val="none"/>
        </w:rPr>
        <w:t>（三）项目计划实施内容</w:t>
      </w:r>
      <w:bookmarkEnd w:id="13"/>
      <w:bookmarkEnd w:id="14"/>
      <w:bookmarkEnd w:id="15"/>
      <w:bookmarkEnd w:id="16"/>
    </w:p>
    <w:p>
      <w:pPr>
        <w:tabs>
          <w:tab w:val="left" w:pos="5280"/>
        </w:tabs>
        <w:spacing w:line="590" w:lineRule="exact"/>
        <w:ind w:firstLine="624" w:firstLineChars="200"/>
        <w:rPr>
          <w:rFonts w:hAnsi="仿宋" w:cs="仿宋"/>
          <w:spacing w:val="6"/>
          <w:szCs w:val="30"/>
          <w:highlight w:val="none"/>
          <w:lang w:bidi="zh-TW"/>
        </w:rPr>
      </w:pPr>
      <w:r>
        <w:rPr>
          <w:rFonts w:hint="eastAsia" w:hAnsi="仿宋" w:cs="仿宋"/>
          <w:spacing w:val="6"/>
          <w:szCs w:val="30"/>
          <w:highlight w:val="none"/>
          <w:lang w:bidi="zh-TW"/>
        </w:rPr>
        <w:t>根据《昆明国家广告产业园新媒体演示中心二期委托管理服务方案》及</w:t>
      </w:r>
      <w:r>
        <w:rPr>
          <w:rFonts w:hint="eastAsia" w:hAnsi="仿宋" w:cs="仿宋"/>
          <w:spacing w:val="6"/>
          <w:szCs w:val="30"/>
          <w:highlight w:val="none"/>
          <w:lang w:val="zh-TW" w:bidi="zh-TW"/>
        </w:rPr>
        <w:t>《昆明广告产业园新媒体演示中心委托管理服务</w:t>
      </w:r>
      <w:r>
        <w:rPr>
          <w:rFonts w:hint="eastAsia" w:hAnsi="仿宋" w:cs="仿宋"/>
          <w:spacing w:val="6"/>
          <w:szCs w:val="30"/>
          <w:highlight w:val="none"/>
          <w:lang w:bidi="zh-TW"/>
        </w:rPr>
        <w:t>协议书</w:t>
      </w:r>
      <w:r>
        <w:rPr>
          <w:rFonts w:hint="eastAsia" w:hAnsi="仿宋" w:cs="仿宋"/>
          <w:spacing w:val="6"/>
          <w:szCs w:val="30"/>
          <w:highlight w:val="none"/>
          <w:lang w:val="zh-TW" w:bidi="zh-TW"/>
        </w:rPr>
        <w:t>》</w:t>
      </w:r>
      <w:r>
        <w:rPr>
          <w:rFonts w:hint="eastAsia" w:hAnsi="仿宋" w:cs="仿宋"/>
          <w:spacing w:val="6"/>
          <w:szCs w:val="30"/>
          <w:highlight w:val="none"/>
          <w:lang w:bidi="zh-TW"/>
        </w:rPr>
        <w:t>项目实施内容如下：</w:t>
      </w:r>
    </w:p>
    <w:p>
      <w:pPr>
        <w:spacing w:line="560" w:lineRule="exact"/>
        <w:ind w:firstLine="630"/>
        <w:rPr>
          <w:rFonts w:hAnsi="仿宋" w:cs="仿宋"/>
          <w:spacing w:val="6"/>
          <w:szCs w:val="30"/>
          <w:highlight w:val="none"/>
          <w:lang w:val="zh-CN" w:bidi="zh-TW"/>
        </w:rPr>
      </w:pPr>
      <w:r>
        <w:rPr>
          <w:rFonts w:hint="eastAsia" w:hAnsi="仿宋" w:cs="仿宋"/>
          <w:spacing w:val="6"/>
          <w:szCs w:val="30"/>
          <w:highlight w:val="none"/>
          <w:lang w:bidi="zh-TW"/>
        </w:rPr>
        <w:t>双创服务中心负责场地日常活动的管理和服务的监督，被委托方负责做好会务服务工作，场地日常维护、收取场地使用费等相关工作。具体操作流程如下：企业提出需求申请；双创服务中心进行活动审批；被委托方进行会务服务，收取基本场地使用费，完成服务满意度调查问卷及台账的整理和归档。</w:t>
      </w:r>
    </w:p>
    <w:p>
      <w:pPr>
        <w:pStyle w:val="3"/>
        <w:rPr>
          <w:highlight w:val="none"/>
        </w:rPr>
      </w:pPr>
      <w:bookmarkStart w:id="17" w:name="_Toc15367"/>
      <w:bookmarkStart w:id="18" w:name="_Toc18826"/>
      <w:bookmarkStart w:id="19" w:name="_Toc536428359"/>
      <w:bookmarkStart w:id="20" w:name="_Toc31619"/>
      <w:r>
        <w:rPr>
          <w:rFonts w:hint="eastAsia"/>
          <w:highlight w:val="none"/>
        </w:rPr>
        <w:t>（四）项目绩效目标</w:t>
      </w:r>
      <w:bookmarkEnd w:id="17"/>
      <w:bookmarkEnd w:id="18"/>
      <w:bookmarkEnd w:id="19"/>
      <w:bookmarkEnd w:id="20"/>
    </w:p>
    <w:p>
      <w:pPr>
        <w:tabs>
          <w:tab w:val="left" w:pos="5280"/>
        </w:tabs>
        <w:spacing w:line="590" w:lineRule="exact"/>
        <w:ind w:firstLine="624" w:firstLineChars="200"/>
        <w:rPr>
          <w:rFonts w:hAnsi="仿宋" w:cs="仿宋"/>
          <w:spacing w:val="6"/>
          <w:szCs w:val="30"/>
          <w:highlight w:val="none"/>
          <w:lang w:bidi="zh-TW"/>
        </w:rPr>
      </w:pPr>
      <w:r>
        <w:rPr>
          <w:rFonts w:hint="eastAsia" w:hAnsi="仿宋" w:cs="仿宋"/>
          <w:spacing w:val="6"/>
          <w:szCs w:val="30"/>
          <w:highlight w:val="none"/>
          <w:lang w:bidi="zh-TW"/>
        </w:rPr>
        <w:t>双创服务中心在</w:t>
      </w:r>
      <w:r>
        <w:rPr>
          <w:rFonts w:hint="eastAsia" w:hAnsi="仿宋" w:cs="仿宋"/>
          <w:spacing w:val="6"/>
          <w:szCs w:val="30"/>
          <w:highlight w:val="none"/>
          <w:lang w:val="zh-TW" w:bidi="zh-TW"/>
        </w:rPr>
        <w:t>项目实施方案中未对本项目的绩效目标进行明确</w:t>
      </w:r>
      <w:r>
        <w:rPr>
          <w:rFonts w:hint="eastAsia" w:hAnsi="仿宋" w:cs="仿宋"/>
          <w:spacing w:val="6"/>
          <w:szCs w:val="30"/>
          <w:highlight w:val="none"/>
          <w:lang w:val="en-US" w:eastAsia="zh-CN" w:bidi="zh-TW"/>
        </w:rPr>
        <w:t>清晰的</w:t>
      </w:r>
      <w:r>
        <w:rPr>
          <w:rFonts w:hint="eastAsia" w:hAnsi="仿宋" w:cs="仿宋"/>
          <w:spacing w:val="6"/>
          <w:szCs w:val="30"/>
          <w:highlight w:val="none"/>
          <w:lang w:val="zh-TW" w:bidi="zh-TW"/>
        </w:rPr>
        <w:t>阐述，绩效评价小依据项目实施</w:t>
      </w:r>
      <w:r>
        <w:rPr>
          <w:rFonts w:hint="eastAsia" w:hAnsi="仿宋" w:cs="仿宋"/>
          <w:spacing w:val="6"/>
          <w:szCs w:val="30"/>
          <w:highlight w:val="none"/>
          <w:lang w:val="en-US" w:eastAsia="zh-CN" w:bidi="zh-TW"/>
        </w:rPr>
        <w:t>方案</w:t>
      </w:r>
      <w:r>
        <w:rPr>
          <w:rFonts w:hint="eastAsia" w:hAnsi="仿宋" w:cs="仿宋"/>
          <w:spacing w:val="6"/>
          <w:szCs w:val="30"/>
          <w:highlight w:val="none"/>
          <w:lang w:val="zh-TW" w:bidi="zh-TW"/>
        </w:rPr>
        <w:t>及签订合同，编制了202</w:t>
      </w:r>
      <w:r>
        <w:rPr>
          <w:rFonts w:hint="eastAsia" w:hAnsi="仿宋" w:cs="仿宋"/>
          <w:spacing w:val="6"/>
          <w:szCs w:val="30"/>
          <w:highlight w:val="none"/>
          <w:lang w:bidi="zh-TW"/>
        </w:rPr>
        <w:t>3</w:t>
      </w:r>
      <w:r>
        <w:rPr>
          <w:rFonts w:hint="eastAsia" w:hAnsi="仿宋" w:cs="仿宋"/>
          <w:spacing w:val="6"/>
          <w:szCs w:val="30"/>
          <w:highlight w:val="none"/>
          <w:lang w:val="zh-TW" w:bidi="zh-TW"/>
        </w:rPr>
        <w:t>年</w:t>
      </w:r>
      <w:r>
        <w:rPr>
          <w:rFonts w:hint="eastAsia" w:hAnsi="仿宋" w:cs="仿宋"/>
          <w:spacing w:val="6"/>
          <w:szCs w:val="30"/>
          <w:highlight w:val="none"/>
          <w:lang w:bidi="zh-TW"/>
        </w:rPr>
        <w:t>项目</w:t>
      </w:r>
      <w:r>
        <w:rPr>
          <w:rFonts w:hint="eastAsia" w:hAnsi="仿宋" w:cs="仿宋"/>
          <w:spacing w:val="6"/>
          <w:szCs w:val="30"/>
          <w:highlight w:val="none"/>
          <w:lang w:val="zh-TW" w:bidi="zh-TW"/>
        </w:rPr>
        <w:t>年度绩效目标</w:t>
      </w:r>
      <w:r>
        <w:rPr>
          <w:rFonts w:hint="eastAsia" w:hAnsi="仿宋" w:cs="仿宋"/>
          <w:spacing w:val="6"/>
          <w:szCs w:val="30"/>
          <w:highlight w:val="none"/>
          <w:lang w:bidi="zh-TW"/>
        </w:rPr>
        <w:t>为：</w:t>
      </w:r>
    </w:p>
    <w:p>
      <w:pPr>
        <w:spacing w:line="560" w:lineRule="exact"/>
        <w:ind w:firstLine="630"/>
        <w:rPr>
          <w:rFonts w:hAnsi="仿宋" w:cs="仿宋"/>
          <w:spacing w:val="6"/>
          <w:szCs w:val="30"/>
          <w:highlight w:val="none"/>
          <w:lang w:val="zh-TW" w:bidi="zh-TW"/>
        </w:rPr>
      </w:pPr>
      <w:r>
        <w:rPr>
          <w:rFonts w:hint="eastAsia" w:hAnsi="仿宋" w:cs="仿宋"/>
          <w:spacing w:val="6"/>
          <w:szCs w:val="30"/>
          <w:highlight w:val="none"/>
          <w:lang w:val="zh-TW" w:bidi="zh-TW"/>
        </w:rPr>
        <w:t>采用创新的管理模式，委托专业的机构签订合同，以专业化的方式为园区入驻企业提供公共服务平台；严格按照合同相关内容为企业提供服务，保障演示中心正常运转，同时盘活演示中心，提升出租使用的频率；辐射周边社区，提升广告产业园区的品牌影响力。</w:t>
      </w:r>
    </w:p>
    <w:p>
      <w:pPr>
        <w:pStyle w:val="3"/>
        <w:rPr>
          <w:highlight w:val="none"/>
        </w:rPr>
      </w:pPr>
      <w:bookmarkStart w:id="21" w:name="_Toc26682"/>
      <w:bookmarkStart w:id="22" w:name="_Toc31632"/>
      <w:bookmarkStart w:id="23" w:name="_Toc15457"/>
      <w:r>
        <w:rPr>
          <w:rFonts w:hint="eastAsia"/>
          <w:highlight w:val="none"/>
        </w:rPr>
        <w:fldChar w:fldCharType="begin"/>
      </w:r>
      <w:r>
        <w:rPr>
          <w:rFonts w:hint="eastAsia"/>
          <w:highlight w:val="none"/>
        </w:rPr>
        <w:instrText xml:space="preserve"> HYPERLINK \l "_Toc434746189" </w:instrText>
      </w:r>
      <w:r>
        <w:rPr>
          <w:rFonts w:hint="eastAsia"/>
          <w:highlight w:val="none"/>
        </w:rPr>
        <w:fldChar w:fldCharType="separate"/>
      </w:r>
      <w:bookmarkStart w:id="24" w:name="_Toc536428360"/>
      <w:r>
        <w:rPr>
          <w:rFonts w:hint="eastAsia"/>
          <w:highlight w:val="none"/>
        </w:rPr>
        <w:t>（五）</w:t>
      </w:r>
      <w:r>
        <w:rPr>
          <w:rFonts w:hint="eastAsia"/>
          <w:highlight w:val="none"/>
        </w:rPr>
        <w:fldChar w:fldCharType="end"/>
      </w:r>
      <w:r>
        <w:rPr>
          <w:rFonts w:hint="eastAsia"/>
          <w:highlight w:val="none"/>
        </w:rPr>
        <w:t>组织管理情况</w:t>
      </w:r>
      <w:bookmarkEnd w:id="21"/>
      <w:bookmarkEnd w:id="22"/>
      <w:bookmarkEnd w:id="23"/>
      <w:bookmarkEnd w:id="24"/>
    </w:p>
    <w:p>
      <w:pPr>
        <w:spacing w:line="590" w:lineRule="exact"/>
        <w:ind w:firstLine="624" w:firstLineChars="200"/>
        <w:rPr>
          <w:rFonts w:hAnsi="仿宋" w:cs="仿宋"/>
          <w:spacing w:val="6"/>
          <w:kern w:val="2"/>
          <w:szCs w:val="30"/>
          <w:highlight w:val="none"/>
        </w:rPr>
      </w:pPr>
      <w:bookmarkStart w:id="25" w:name="_Toc536428361"/>
      <w:r>
        <w:rPr>
          <w:rFonts w:hint="eastAsia" w:hAnsi="仿宋" w:cs="仿宋"/>
          <w:spacing w:val="6"/>
          <w:kern w:val="2"/>
          <w:szCs w:val="30"/>
          <w:highlight w:val="none"/>
        </w:rPr>
        <w:t>1.职责分工</w:t>
      </w:r>
    </w:p>
    <w:p>
      <w:pPr>
        <w:spacing w:line="590" w:lineRule="exact"/>
        <w:ind w:firstLine="624" w:firstLineChars="200"/>
        <w:rPr>
          <w:rFonts w:hAnsi="仿宋" w:cs="仿宋"/>
          <w:spacing w:val="6"/>
          <w:kern w:val="2"/>
          <w:szCs w:val="30"/>
          <w:highlight w:val="none"/>
        </w:rPr>
      </w:pPr>
      <w:r>
        <w:rPr>
          <w:rFonts w:hint="eastAsia" w:hAnsi="仿宋" w:cs="仿宋"/>
          <w:spacing w:val="6"/>
          <w:kern w:val="2"/>
          <w:szCs w:val="30"/>
          <w:highlight w:val="none"/>
          <w:lang w:val="zh-CN"/>
        </w:rPr>
        <w:t>项目实施部门</w:t>
      </w:r>
      <w:r>
        <w:rPr>
          <w:rFonts w:hint="eastAsia" w:hAnsi="仿宋" w:cs="仿宋"/>
          <w:spacing w:val="6"/>
          <w:kern w:val="2"/>
          <w:szCs w:val="30"/>
          <w:highlight w:val="none"/>
        </w:rPr>
        <w:t>为创新创业服务中心，主要职责为：侧重于推动科技创新专项技术支撑，指导、服务园区企业创新创业，主要包括：搭建创新创业服务平台，组织企业申报扶持资金，制定园区数字经济产业链全景图谱（专项规划、产业链现状图谱、产业资源空间布局、产业链发展规划）；加速产业链式集群，做好产业培育和人才服务全过程帮扶。</w:t>
      </w:r>
    </w:p>
    <w:p>
      <w:pPr>
        <w:spacing w:line="590" w:lineRule="exact"/>
        <w:ind w:firstLine="624" w:firstLineChars="200"/>
        <w:rPr>
          <w:rFonts w:hAnsi="仿宋" w:cs="仿宋"/>
          <w:spacing w:val="6"/>
          <w:kern w:val="2"/>
          <w:szCs w:val="30"/>
          <w:highlight w:val="none"/>
          <w:lang w:val="zh-CN"/>
        </w:rPr>
      </w:pPr>
      <w:r>
        <w:rPr>
          <w:rFonts w:hint="eastAsia" w:hAnsi="仿宋" w:cs="仿宋"/>
          <w:spacing w:val="6"/>
          <w:kern w:val="2"/>
          <w:szCs w:val="30"/>
          <w:highlight w:val="none"/>
        </w:rPr>
        <w:t>该项目主要是双创服务中心</w:t>
      </w:r>
      <w:r>
        <w:rPr>
          <w:rFonts w:hint="eastAsia" w:hAnsi="仿宋" w:cs="仿宋"/>
          <w:spacing w:val="6"/>
          <w:kern w:val="2"/>
          <w:szCs w:val="30"/>
          <w:highlight w:val="none"/>
          <w:lang w:val="zh-CN"/>
        </w:rPr>
        <w:t>在云南五华产业园管委会的指导下，加强资源调配，明确工作目标和任务职责，做好组织协调、考核监督等工作，全面优化园区公共服务平台的功能。</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2.项目管理流程</w:t>
      </w:r>
    </w:p>
    <w:p>
      <w:pPr>
        <w:spacing w:line="590" w:lineRule="exact"/>
        <w:ind w:firstLine="624" w:firstLineChars="200"/>
        <w:rPr>
          <w:rFonts w:hAnsi="仿宋" w:cs="仿宋"/>
          <w:spacing w:val="6"/>
          <w:kern w:val="2"/>
          <w:szCs w:val="30"/>
          <w:highlight w:val="none"/>
        </w:rPr>
      </w:pPr>
      <w:r>
        <w:rPr>
          <w:rFonts w:hint="eastAsia" w:hAnsi="仿宋" w:cs="仿宋"/>
          <w:spacing w:val="6"/>
          <w:kern w:val="2"/>
          <w:szCs w:val="30"/>
          <w:highlight w:val="none"/>
          <w:lang w:val="zh-CN"/>
        </w:rPr>
        <w:t>双创</w:t>
      </w:r>
      <w:r>
        <w:rPr>
          <w:rFonts w:hint="eastAsia" w:hAnsi="仿宋" w:cs="仿宋"/>
          <w:spacing w:val="6"/>
          <w:kern w:val="2"/>
          <w:szCs w:val="30"/>
          <w:highlight w:val="none"/>
        </w:rPr>
        <w:t>服务</w:t>
      </w:r>
      <w:r>
        <w:rPr>
          <w:rFonts w:hint="eastAsia" w:hAnsi="仿宋" w:cs="仿宋"/>
          <w:spacing w:val="6"/>
          <w:kern w:val="2"/>
          <w:szCs w:val="30"/>
          <w:highlight w:val="none"/>
          <w:lang w:val="zh-CN"/>
        </w:rPr>
        <w:t>中心负责场地日常活动的管理和服务的监督，被委托方做好会务服务、场地日常维护、收取场地使用费等相关工作。</w:t>
      </w:r>
      <w:r>
        <w:rPr>
          <w:rFonts w:hint="eastAsia" w:hAnsi="仿宋" w:cs="仿宋"/>
          <w:spacing w:val="6"/>
          <w:kern w:val="2"/>
          <w:szCs w:val="30"/>
          <w:highlight w:val="none"/>
        </w:rPr>
        <w:t>双创服务中心要严格对意识形态领域、活动内容及形式的监管；加强对活动举办场所和人员安全事项的监督。</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3.组织实施</w:t>
      </w:r>
    </w:p>
    <w:p>
      <w:pPr>
        <w:spacing w:line="590" w:lineRule="exact"/>
        <w:ind w:firstLine="624" w:firstLineChars="200"/>
        <w:rPr>
          <w:rFonts w:hAnsi="仿宋" w:cs="仿宋"/>
          <w:spacing w:val="6"/>
          <w:szCs w:val="30"/>
          <w:highlight w:val="none"/>
        </w:rPr>
      </w:pPr>
      <w:r>
        <w:rPr>
          <w:rFonts w:hint="eastAsia" w:hAnsi="仿宋" w:cs="仿宋"/>
          <w:spacing w:val="6"/>
          <w:kern w:val="2"/>
          <w:szCs w:val="30"/>
          <w:highlight w:val="none"/>
        </w:rPr>
        <w:t>项目</w:t>
      </w:r>
      <w:r>
        <w:rPr>
          <w:rFonts w:hint="eastAsia" w:hAnsi="仿宋" w:cs="仿宋"/>
          <w:spacing w:val="6"/>
          <w:kern w:val="2"/>
          <w:szCs w:val="30"/>
          <w:highlight w:val="none"/>
          <w:lang w:val="zh-CN"/>
        </w:rPr>
        <w:t>具体操作流程：企业提出需求申请；双创</w:t>
      </w:r>
      <w:r>
        <w:rPr>
          <w:rFonts w:hint="eastAsia" w:hAnsi="仿宋" w:cs="仿宋"/>
          <w:spacing w:val="6"/>
          <w:kern w:val="2"/>
          <w:szCs w:val="30"/>
          <w:highlight w:val="none"/>
        </w:rPr>
        <w:t>服务</w:t>
      </w:r>
      <w:r>
        <w:rPr>
          <w:rFonts w:hint="eastAsia" w:hAnsi="仿宋" w:cs="仿宋"/>
          <w:spacing w:val="6"/>
          <w:kern w:val="2"/>
          <w:szCs w:val="30"/>
          <w:highlight w:val="none"/>
          <w:lang w:val="zh-CN"/>
        </w:rPr>
        <w:t>中心进行活动审批；被委托方进行会务服务，收取基本场地使用费，完成服务满意度调查问卷及台账的整理和归档。</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4.制度建设</w:t>
      </w:r>
    </w:p>
    <w:p>
      <w:pPr>
        <w:spacing w:line="590" w:lineRule="exact"/>
        <w:ind w:firstLine="624" w:firstLineChars="200"/>
        <w:rPr>
          <w:rFonts w:hAnsi="仿宋" w:cs="仿宋"/>
          <w:spacing w:val="6"/>
          <w:kern w:val="2"/>
          <w:szCs w:val="30"/>
          <w:highlight w:val="none"/>
          <w:lang w:val="zh-CN"/>
        </w:rPr>
      </w:pPr>
      <w:r>
        <w:rPr>
          <w:rFonts w:hint="eastAsia" w:hAnsi="仿宋" w:cs="仿宋"/>
          <w:spacing w:val="6"/>
          <w:kern w:val="2"/>
          <w:szCs w:val="30"/>
          <w:highlight w:val="none"/>
        </w:rPr>
        <w:t>双创服务中心在</w:t>
      </w:r>
      <w:r>
        <w:rPr>
          <w:rFonts w:hint="eastAsia" w:hAnsi="仿宋" w:cs="仿宋"/>
          <w:spacing w:val="6"/>
          <w:kern w:val="2"/>
          <w:szCs w:val="30"/>
          <w:highlight w:val="none"/>
          <w:lang w:val="zh-CN"/>
        </w:rPr>
        <w:t>项目实施过程中，</w:t>
      </w:r>
      <w:r>
        <w:rPr>
          <w:rFonts w:hint="eastAsia" w:hAnsi="仿宋" w:cs="仿宋"/>
          <w:spacing w:val="6"/>
          <w:kern w:val="2"/>
          <w:szCs w:val="30"/>
          <w:highlight w:val="none"/>
        </w:rPr>
        <w:t>严格</w:t>
      </w:r>
      <w:r>
        <w:rPr>
          <w:rFonts w:hint="eastAsia" w:hAnsi="仿宋" w:cs="仿宋"/>
          <w:spacing w:val="6"/>
          <w:kern w:val="2"/>
          <w:szCs w:val="30"/>
          <w:highlight w:val="none"/>
          <w:lang w:val="zh-CN"/>
        </w:rPr>
        <w:t>按照《五华科技产业园管理委员会内部管理制度汇编》《云南五华产业园区管委会贯彻落实 “三重一大”事项集体决策制度的实施细则》《云南五华产业园区管委会主任办公会议规则》</w:t>
      </w:r>
      <w:r>
        <w:rPr>
          <w:rFonts w:hint="eastAsia" w:hAnsi="仿宋" w:cs="仿宋"/>
          <w:spacing w:val="6"/>
          <w:kern w:val="2"/>
          <w:szCs w:val="30"/>
          <w:highlight w:val="none"/>
        </w:rPr>
        <w:t>《云南五华产业园区资金管理办法》等制度规定，明确财政资金使用管理、收支管理、绩效管理、报销审批流程等方面的管理内容，按厉行节约、注重实效的原则，强化对财政资金的使用管理、监督管理，以保障项目资金的安全、有效、合规使用。</w:t>
      </w:r>
    </w:p>
    <w:p>
      <w:pPr>
        <w:spacing w:line="590" w:lineRule="exact"/>
        <w:ind w:firstLine="624" w:firstLineChars="200"/>
        <w:outlineLvl w:val="0"/>
        <w:rPr>
          <w:rStyle w:val="26"/>
          <w:rFonts w:ascii="黑体" w:hAnsi="黑体" w:eastAsia="黑体" w:cs="黑体"/>
          <w:b w:val="0"/>
          <w:bCs w:val="0"/>
          <w:sz w:val="30"/>
          <w:szCs w:val="30"/>
          <w:highlight w:val="none"/>
        </w:rPr>
      </w:pPr>
      <w:bookmarkStart w:id="26" w:name="_Toc28949"/>
      <w:bookmarkStart w:id="27" w:name="_Toc1124"/>
      <w:bookmarkStart w:id="28" w:name="_Toc26687"/>
      <w:r>
        <w:rPr>
          <w:rStyle w:val="26"/>
          <w:rFonts w:hint="eastAsia" w:ascii="黑体" w:hAnsi="黑体" w:eastAsia="黑体" w:cs="黑体"/>
          <w:b w:val="0"/>
          <w:bCs w:val="0"/>
          <w:spacing w:val="6"/>
          <w:sz w:val="30"/>
          <w:szCs w:val="30"/>
          <w:highlight w:val="none"/>
        </w:rPr>
        <w:t>二、</w:t>
      </w:r>
      <w:bookmarkEnd w:id="26"/>
      <w:bookmarkEnd w:id="27"/>
      <w:bookmarkStart w:id="29" w:name="_Toc6642"/>
      <w:bookmarkStart w:id="30" w:name="_Toc2815"/>
      <w:r>
        <w:rPr>
          <w:rStyle w:val="26"/>
          <w:rFonts w:hint="eastAsia" w:ascii="黑体" w:hAnsi="黑体" w:eastAsia="黑体" w:cs="黑体"/>
          <w:b w:val="0"/>
          <w:bCs w:val="0"/>
          <w:sz w:val="30"/>
          <w:szCs w:val="30"/>
          <w:highlight w:val="none"/>
        </w:rPr>
        <w:t>绩效评价工作开展情况</w:t>
      </w:r>
      <w:bookmarkEnd w:id="25"/>
      <w:bookmarkEnd w:id="28"/>
      <w:bookmarkEnd w:id="29"/>
      <w:bookmarkEnd w:id="30"/>
    </w:p>
    <w:p>
      <w:pPr>
        <w:spacing w:line="590" w:lineRule="exact"/>
        <w:ind w:firstLine="624" w:firstLineChars="200"/>
        <w:outlineLvl w:val="1"/>
        <w:rPr>
          <w:rFonts w:ascii="楷体" w:hAnsi="楷体" w:eastAsia="楷体"/>
          <w:bCs/>
          <w:spacing w:val="6"/>
          <w:szCs w:val="30"/>
          <w:highlight w:val="none"/>
        </w:rPr>
      </w:pPr>
      <w:bookmarkStart w:id="31" w:name="_Toc17223"/>
      <w:bookmarkStart w:id="32" w:name="_Toc536428362"/>
      <w:bookmarkStart w:id="33" w:name="_Toc17071"/>
      <w:bookmarkStart w:id="34" w:name="_Toc30499"/>
      <w:r>
        <w:rPr>
          <w:rFonts w:hint="eastAsia" w:ascii="楷体" w:hAnsi="楷体" w:eastAsia="楷体"/>
          <w:bCs/>
          <w:spacing w:val="6"/>
          <w:szCs w:val="30"/>
          <w:highlight w:val="none"/>
        </w:rPr>
        <w:t>（一）</w:t>
      </w:r>
      <w:bookmarkEnd w:id="31"/>
      <w:bookmarkEnd w:id="32"/>
      <w:bookmarkEnd w:id="33"/>
      <w:r>
        <w:rPr>
          <w:rFonts w:hint="eastAsia" w:ascii="楷体" w:hAnsi="楷体" w:eastAsia="楷体"/>
          <w:bCs/>
          <w:spacing w:val="6"/>
          <w:szCs w:val="30"/>
          <w:highlight w:val="none"/>
        </w:rPr>
        <w:t>绩效评价目的、对象和范围</w:t>
      </w:r>
      <w:bookmarkEnd w:id="34"/>
    </w:p>
    <w:p>
      <w:pPr>
        <w:spacing w:line="590" w:lineRule="exact"/>
        <w:ind w:firstLine="624" w:firstLineChars="200"/>
        <w:rPr>
          <w:rFonts w:hAnsi="仿宋" w:cs="仿宋"/>
          <w:spacing w:val="6"/>
          <w:szCs w:val="30"/>
          <w:highlight w:val="none"/>
        </w:rPr>
      </w:pPr>
      <w:bookmarkStart w:id="35" w:name="_Toc536428363"/>
      <w:r>
        <w:rPr>
          <w:rFonts w:hint="eastAsia" w:hAnsi="仿宋" w:cs="仿宋"/>
          <w:spacing w:val="6"/>
          <w:szCs w:val="30"/>
          <w:highlight w:val="none"/>
        </w:rPr>
        <w:t>1.评价目的</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通过绩效评价，增强项目管理部门的责任意识、增强项目执行和管理能力、全面规范财政资金绩效管理，总结以往经验，查找不足，为项目在以后年度的开展提供可行性参考依据。在此基础上，重点分析项目预算编制的合理性、成本支出的真实性和控制有效性，评价财政资金的产出成果、使用效率和效果，为以后年度编制项目预算、选择项目实施主体等提供参考依据。</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2.评价对象</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（1）项目名称：公共服务平台项目</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（2）项目主管部门：创新创业服务中心</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3.评价范围：2023年1月-2023年12月。</w:t>
      </w:r>
    </w:p>
    <w:p>
      <w:pPr>
        <w:spacing w:line="590" w:lineRule="exact"/>
        <w:ind w:firstLine="624" w:firstLineChars="200"/>
        <w:outlineLvl w:val="1"/>
        <w:rPr>
          <w:rFonts w:ascii="楷体" w:hAnsi="楷体" w:eastAsia="楷体"/>
          <w:b/>
          <w:spacing w:val="6"/>
          <w:szCs w:val="30"/>
          <w:highlight w:val="none"/>
        </w:rPr>
      </w:pPr>
      <w:bookmarkStart w:id="36" w:name="_Toc5835"/>
      <w:bookmarkStart w:id="37" w:name="_Toc18774"/>
      <w:bookmarkStart w:id="38" w:name="_Toc14669"/>
      <w:r>
        <w:rPr>
          <w:rFonts w:hint="eastAsia" w:ascii="楷体" w:hAnsi="楷体" w:eastAsia="楷体"/>
          <w:bCs/>
          <w:spacing w:val="6"/>
          <w:szCs w:val="30"/>
          <w:highlight w:val="none"/>
        </w:rPr>
        <w:t>（二）绩效评价</w:t>
      </w:r>
      <w:bookmarkEnd w:id="35"/>
      <w:bookmarkEnd w:id="36"/>
      <w:bookmarkEnd w:id="37"/>
      <w:r>
        <w:rPr>
          <w:rFonts w:hint="eastAsia" w:ascii="楷体" w:hAnsi="楷体" w:eastAsia="楷体"/>
          <w:bCs/>
          <w:spacing w:val="6"/>
          <w:szCs w:val="30"/>
          <w:highlight w:val="none"/>
        </w:rPr>
        <w:t>依据</w:t>
      </w:r>
      <w:bookmarkEnd w:id="38"/>
    </w:p>
    <w:p>
      <w:pPr>
        <w:spacing w:line="590" w:lineRule="exact"/>
        <w:ind w:firstLine="624" w:firstLineChars="200"/>
        <w:rPr>
          <w:rFonts w:hAnsi="仿宋" w:cs="仿宋"/>
          <w:color w:val="auto"/>
          <w:spacing w:val="6"/>
          <w:szCs w:val="30"/>
          <w:highlight w:val="none"/>
        </w:rPr>
      </w:pPr>
      <w:bookmarkStart w:id="39" w:name="_Hlk45982689"/>
      <w:bookmarkStart w:id="40" w:name="_Toc536428364"/>
      <w:r>
        <w:rPr>
          <w:rFonts w:hint="eastAsia" w:hAnsi="仿宋" w:cs="仿宋"/>
          <w:color w:val="auto"/>
          <w:spacing w:val="6"/>
          <w:szCs w:val="30"/>
          <w:highlight w:val="none"/>
        </w:rPr>
        <w:t>1.《云南省财政厅关于印发〈云南省项目支出绩效评价管理办法〉的通知》（云财绩〔2020〕11号）；</w:t>
      </w:r>
    </w:p>
    <w:p>
      <w:pPr>
        <w:spacing w:line="590" w:lineRule="exact"/>
        <w:ind w:firstLine="624" w:firstLineChars="200"/>
        <w:rPr>
          <w:rFonts w:hAnsi="仿宋" w:cs="仿宋"/>
          <w:color w:val="auto"/>
          <w:spacing w:val="6"/>
          <w:szCs w:val="30"/>
          <w:highlight w:val="none"/>
        </w:rPr>
      </w:pPr>
      <w:r>
        <w:rPr>
          <w:rFonts w:hint="eastAsia" w:hAnsi="仿宋" w:cs="仿宋"/>
          <w:color w:val="auto"/>
          <w:spacing w:val="6"/>
          <w:szCs w:val="30"/>
          <w:highlight w:val="none"/>
          <w:lang w:val="en-US" w:eastAsia="zh-CN"/>
        </w:rPr>
        <w:t>2</w:t>
      </w:r>
      <w:r>
        <w:rPr>
          <w:rFonts w:hint="eastAsia" w:hAnsi="仿宋" w:cs="仿宋"/>
          <w:color w:val="auto"/>
          <w:spacing w:val="6"/>
          <w:szCs w:val="30"/>
          <w:highlight w:val="none"/>
        </w:rPr>
        <w:t>.《昆明市</w:t>
      </w:r>
      <w:r>
        <w:rPr>
          <w:rFonts w:hint="eastAsia" w:hAnsi="仿宋" w:cs="仿宋"/>
          <w:color w:val="auto"/>
          <w:spacing w:val="6"/>
          <w:szCs w:val="30"/>
          <w:highlight w:val="none"/>
          <w:lang w:val="en-US" w:eastAsia="zh-CN"/>
        </w:rPr>
        <w:t>财政局</w:t>
      </w:r>
      <w:r>
        <w:rPr>
          <w:rFonts w:hint="eastAsia" w:hAnsi="仿宋" w:cs="仿宋"/>
          <w:color w:val="auto"/>
          <w:spacing w:val="6"/>
          <w:szCs w:val="30"/>
          <w:highlight w:val="none"/>
        </w:rPr>
        <w:t>关于</w:t>
      </w:r>
      <w:r>
        <w:rPr>
          <w:rFonts w:hint="eastAsia" w:hAnsi="仿宋" w:cs="仿宋"/>
          <w:color w:val="auto"/>
          <w:spacing w:val="6"/>
          <w:szCs w:val="30"/>
          <w:highlight w:val="none"/>
          <w:lang w:val="en-US" w:eastAsia="zh-CN"/>
        </w:rPr>
        <w:t>做好2024年</w:t>
      </w:r>
      <w:r>
        <w:rPr>
          <w:rFonts w:hint="eastAsia" w:hAnsi="仿宋" w:cs="仿宋"/>
          <w:color w:val="auto"/>
          <w:spacing w:val="6"/>
          <w:szCs w:val="30"/>
          <w:highlight w:val="none"/>
        </w:rPr>
        <w:t>预算绩效管理</w:t>
      </w:r>
      <w:r>
        <w:rPr>
          <w:rFonts w:hint="eastAsia" w:hAnsi="仿宋" w:cs="仿宋"/>
          <w:color w:val="auto"/>
          <w:spacing w:val="6"/>
          <w:szCs w:val="30"/>
          <w:highlight w:val="none"/>
          <w:lang w:val="en-US" w:eastAsia="zh-CN"/>
        </w:rPr>
        <w:t>工作</w:t>
      </w:r>
      <w:r>
        <w:rPr>
          <w:rFonts w:hint="eastAsia" w:hAnsi="仿宋" w:cs="仿宋"/>
          <w:color w:val="auto"/>
          <w:spacing w:val="6"/>
          <w:szCs w:val="30"/>
          <w:highlight w:val="none"/>
        </w:rPr>
        <w:t>的</w:t>
      </w:r>
      <w:r>
        <w:rPr>
          <w:rFonts w:hint="eastAsia" w:hAnsi="仿宋" w:cs="仿宋"/>
          <w:color w:val="auto"/>
          <w:spacing w:val="6"/>
          <w:szCs w:val="30"/>
          <w:highlight w:val="none"/>
          <w:lang w:val="en-US" w:eastAsia="zh-CN"/>
        </w:rPr>
        <w:t>通知</w:t>
      </w:r>
      <w:r>
        <w:rPr>
          <w:rFonts w:hint="eastAsia" w:hAnsi="仿宋" w:cs="仿宋"/>
          <w:color w:val="auto"/>
          <w:spacing w:val="6"/>
          <w:szCs w:val="30"/>
          <w:highlight w:val="none"/>
        </w:rPr>
        <w:t>》（昆</w:t>
      </w:r>
      <w:r>
        <w:rPr>
          <w:rFonts w:hint="eastAsia" w:hAnsi="仿宋" w:cs="仿宋"/>
          <w:color w:val="auto"/>
          <w:spacing w:val="6"/>
          <w:szCs w:val="30"/>
          <w:highlight w:val="none"/>
          <w:lang w:val="en-US" w:eastAsia="zh-CN"/>
        </w:rPr>
        <w:t>财绩</w:t>
      </w:r>
      <w:r>
        <w:rPr>
          <w:rFonts w:hint="eastAsia" w:hAnsi="仿宋" w:cs="仿宋"/>
          <w:color w:val="auto"/>
          <w:spacing w:val="6"/>
          <w:szCs w:val="30"/>
          <w:highlight w:val="none"/>
        </w:rPr>
        <w:t>〔20</w:t>
      </w:r>
      <w:r>
        <w:rPr>
          <w:rFonts w:hint="eastAsia" w:hAnsi="仿宋" w:cs="仿宋"/>
          <w:color w:val="auto"/>
          <w:spacing w:val="6"/>
          <w:szCs w:val="30"/>
          <w:highlight w:val="none"/>
          <w:lang w:val="en-US" w:eastAsia="zh-CN"/>
        </w:rPr>
        <w:t>24</w:t>
      </w:r>
      <w:r>
        <w:rPr>
          <w:rFonts w:hint="eastAsia" w:hAnsi="仿宋" w:cs="仿宋"/>
          <w:color w:val="auto"/>
          <w:spacing w:val="6"/>
          <w:szCs w:val="30"/>
          <w:highlight w:val="none"/>
        </w:rPr>
        <w:t>〕</w:t>
      </w:r>
      <w:r>
        <w:rPr>
          <w:rFonts w:hint="eastAsia" w:hAnsi="仿宋" w:cs="仿宋"/>
          <w:color w:val="auto"/>
          <w:spacing w:val="6"/>
          <w:szCs w:val="30"/>
          <w:highlight w:val="none"/>
          <w:lang w:val="en-US" w:eastAsia="zh-CN"/>
        </w:rPr>
        <w:t>5</w:t>
      </w:r>
      <w:r>
        <w:rPr>
          <w:rFonts w:hint="eastAsia" w:hAnsi="仿宋" w:cs="仿宋"/>
          <w:color w:val="auto"/>
          <w:spacing w:val="6"/>
          <w:szCs w:val="30"/>
          <w:highlight w:val="none"/>
        </w:rPr>
        <w:t>号）；</w:t>
      </w:r>
    </w:p>
    <w:p>
      <w:pPr>
        <w:spacing w:line="590" w:lineRule="exact"/>
        <w:ind w:firstLine="624" w:firstLineChars="200"/>
        <w:rPr>
          <w:rFonts w:hAnsi="仿宋" w:cs="仿宋"/>
          <w:color w:val="auto"/>
          <w:spacing w:val="6"/>
          <w:szCs w:val="30"/>
          <w:highlight w:val="none"/>
        </w:rPr>
      </w:pPr>
      <w:r>
        <w:rPr>
          <w:rFonts w:hint="eastAsia" w:hAnsi="仿宋" w:cs="仿宋"/>
          <w:color w:val="auto"/>
          <w:spacing w:val="6"/>
          <w:szCs w:val="30"/>
          <w:highlight w:val="none"/>
          <w:lang w:val="en-US" w:eastAsia="zh-CN"/>
        </w:rPr>
        <w:t>3</w:t>
      </w:r>
      <w:r>
        <w:rPr>
          <w:rFonts w:hint="eastAsia" w:hAnsi="仿宋" w:cs="仿宋"/>
          <w:color w:val="auto"/>
          <w:spacing w:val="6"/>
          <w:szCs w:val="30"/>
          <w:highlight w:val="none"/>
        </w:rPr>
        <w:t>.《五华区财政局关于开展2023年度区级预算支出部门绩效评价工作的通知》（五财〔2024〕23号）；</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lang w:val="en-US" w:eastAsia="zh-CN"/>
        </w:rPr>
        <w:t>4</w:t>
      </w:r>
      <w:r>
        <w:rPr>
          <w:rFonts w:hint="eastAsia" w:hAnsi="仿宋" w:cs="仿宋"/>
          <w:spacing w:val="6"/>
          <w:szCs w:val="30"/>
          <w:highlight w:val="none"/>
        </w:rPr>
        <w:t>.项目管理、资金管理、财务管理等制度文件，项目批复文件、资金下达文件、项目验收等其他材料。</w:t>
      </w:r>
    </w:p>
    <w:p>
      <w:pPr>
        <w:spacing w:line="590" w:lineRule="exact"/>
        <w:ind w:firstLine="624" w:firstLineChars="200"/>
        <w:outlineLvl w:val="1"/>
        <w:rPr>
          <w:rFonts w:ascii="楷体" w:hAnsi="楷体" w:eastAsia="楷体"/>
          <w:b/>
          <w:spacing w:val="6"/>
          <w:szCs w:val="30"/>
          <w:highlight w:val="none"/>
        </w:rPr>
      </w:pPr>
      <w:bookmarkStart w:id="41" w:name="_Toc4925"/>
      <w:r>
        <w:rPr>
          <w:rFonts w:hint="eastAsia" w:ascii="楷体" w:hAnsi="楷体" w:eastAsia="楷体"/>
          <w:bCs/>
          <w:spacing w:val="6"/>
          <w:szCs w:val="30"/>
          <w:highlight w:val="none"/>
        </w:rPr>
        <w:t>（三）绩效评价方法</w:t>
      </w:r>
      <w:bookmarkEnd w:id="41"/>
    </w:p>
    <w:p>
      <w:pPr>
        <w:spacing w:line="590" w:lineRule="exact"/>
        <w:ind w:firstLine="624" w:firstLineChars="200"/>
        <w:rPr>
          <w:rFonts w:hAnsi="仿宋" w:cs="宋体"/>
          <w:spacing w:val="6"/>
          <w:szCs w:val="30"/>
          <w:highlight w:val="none"/>
        </w:rPr>
      </w:pPr>
      <w:r>
        <w:rPr>
          <w:rFonts w:hint="eastAsia" w:hAnsi="仿宋" w:cs="宋体"/>
          <w:spacing w:val="6"/>
          <w:szCs w:val="30"/>
          <w:highlight w:val="none"/>
        </w:rPr>
        <w:t>本次预算绩效评价在对收集的各种资料归集、整理、分析的基础上，主要运用审阅资料法、分析比较法、实地考察法、问卷调查、资金抽样等方法，以系统、科学地反映评价项目综合绩效情况。</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1．审阅资料法</w:t>
      </w:r>
    </w:p>
    <w:p>
      <w:pPr>
        <w:pStyle w:val="41"/>
        <w:spacing w:line="590" w:lineRule="exact"/>
        <w:ind w:firstLine="624"/>
        <w:rPr>
          <w:rFonts w:hAnsi="仿宋"/>
          <w:spacing w:val="6"/>
          <w:szCs w:val="30"/>
          <w:highlight w:val="none"/>
        </w:rPr>
      </w:pPr>
      <w:r>
        <w:rPr>
          <w:rFonts w:hint="eastAsia" w:hAnsi="仿宋"/>
          <w:spacing w:val="6"/>
          <w:szCs w:val="30"/>
          <w:highlight w:val="none"/>
        </w:rPr>
        <w:t>详细查阅各类评分依据材料，查阅有关立项申报等资料，项目决策、项目管理、项目绩效等情况。</w:t>
      </w:r>
    </w:p>
    <w:p>
      <w:pPr>
        <w:pStyle w:val="41"/>
        <w:spacing w:line="590" w:lineRule="exact"/>
        <w:ind w:firstLine="624"/>
        <w:rPr>
          <w:rFonts w:hAnsi="仿宋"/>
          <w:spacing w:val="6"/>
          <w:szCs w:val="30"/>
          <w:highlight w:val="none"/>
        </w:rPr>
      </w:pPr>
      <w:r>
        <w:rPr>
          <w:rFonts w:hint="eastAsia" w:hAnsi="仿宋"/>
          <w:spacing w:val="6"/>
          <w:szCs w:val="30"/>
          <w:highlight w:val="none"/>
        </w:rPr>
        <w:t>查阅会计凭证、会计账簿等，检查资金到位情况，资金拨付、支出情况，相关财务、预算、绩效等制度执行情况，是否存在违规现象，对预算执行情况、资金拨付执行情况、资金使用规范情况、主要项目内容完成情况进行检查。</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2．分析比较法</w:t>
      </w:r>
    </w:p>
    <w:p>
      <w:pPr>
        <w:pStyle w:val="41"/>
        <w:spacing w:line="590" w:lineRule="exact"/>
        <w:ind w:firstLine="624"/>
        <w:rPr>
          <w:rFonts w:hAnsi="仿宋"/>
          <w:spacing w:val="6"/>
          <w:szCs w:val="30"/>
          <w:highlight w:val="none"/>
        </w:rPr>
      </w:pPr>
      <w:r>
        <w:rPr>
          <w:rFonts w:hint="eastAsia" w:hAnsi="仿宋"/>
          <w:spacing w:val="6"/>
          <w:szCs w:val="30"/>
          <w:highlight w:val="none"/>
        </w:rPr>
        <w:t>依据项目支出绩效目标，对照项目绩效目标实际完成内容，评价实际实施内容与批复预算的完成情况。依据相关政策文件，评价项目绩效目标是否按照单位管理办法、制度等管理文件执行。依据项目绩效目标资金计划文件和凭证，评价预算资金下拨、到位及使用情况。将项目绩效目标与实施结果对比分析，判断项目绩效目标的完成情况。将项目绩效目标的预期效益与实施效益进行综合分析对比。结合已开展的问卷调查工作，评价项目绩效目标完成情况。</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3．实地考察法</w:t>
      </w:r>
    </w:p>
    <w:p>
      <w:pPr>
        <w:pStyle w:val="41"/>
        <w:spacing w:line="590" w:lineRule="exact"/>
        <w:ind w:firstLine="624"/>
        <w:rPr>
          <w:rFonts w:hAnsi="仿宋"/>
          <w:spacing w:val="6"/>
          <w:szCs w:val="30"/>
          <w:highlight w:val="none"/>
        </w:rPr>
      </w:pPr>
      <w:r>
        <w:rPr>
          <w:rFonts w:hint="eastAsia" w:hAnsi="仿宋"/>
          <w:spacing w:val="6"/>
          <w:szCs w:val="30"/>
          <w:highlight w:val="none"/>
        </w:rPr>
        <w:t>根据分工，采用资料收集、数据填报、案卷研究、实地调研等方式，组织开展实地考察。</w:t>
      </w:r>
    </w:p>
    <w:p>
      <w:pPr>
        <w:pStyle w:val="41"/>
        <w:spacing w:line="590" w:lineRule="exact"/>
        <w:ind w:firstLine="624"/>
        <w:rPr>
          <w:rFonts w:hAnsi="仿宋" w:cs="仿宋"/>
          <w:spacing w:val="6"/>
          <w:szCs w:val="30"/>
          <w:highlight w:val="none"/>
        </w:rPr>
      </w:pPr>
      <w:r>
        <w:rPr>
          <w:rFonts w:hint="eastAsia" w:hAnsi="仿宋" w:cs="仿宋"/>
          <w:spacing w:val="6"/>
          <w:szCs w:val="30"/>
          <w:highlight w:val="none"/>
        </w:rPr>
        <w:t>4.</w:t>
      </w:r>
      <w:r>
        <w:rPr>
          <w:rFonts w:hint="eastAsia" w:hAnsi="仿宋"/>
          <w:spacing w:val="6"/>
          <w:szCs w:val="30"/>
          <w:highlight w:val="none"/>
        </w:rPr>
        <w:t>通过公众问卷或直接对公众进行抽样调查等方式，对财政支出效益进行评判，以评价绩效目标实现程度。适用于无法直接用指标计量其效益的支出，通过选择对应社会公众开展问卷调查从而评判财政支出效益。</w:t>
      </w:r>
    </w:p>
    <w:p>
      <w:pPr>
        <w:pStyle w:val="41"/>
        <w:spacing w:line="590" w:lineRule="exact"/>
        <w:ind w:firstLine="624"/>
        <w:rPr>
          <w:rFonts w:hAnsi="仿宋"/>
          <w:bCs/>
          <w:spacing w:val="6"/>
          <w:szCs w:val="30"/>
          <w:highlight w:val="none"/>
        </w:rPr>
      </w:pPr>
      <w:r>
        <w:rPr>
          <w:rFonts w:hint="eastAsia" w:hAnsi="仿宋" w:cs="仿宋"/>
          <w:spacing w:val="6"/>
          <w:szCs w:val="30"/>
          <w:highlight w:val="none"/>
        </w:rPr>
        <w:t>5.</w:t>
      </w:r>
      <w:r>
        <w:rPr>
          <w:rFonts w:hint="eastAsia" w:hAnsi="仿宋"/>
          <w:bCs/>
          <w:spacing w:val="6"/>
          <w:szCs w:val="30"/>
          <w:highlight w:val="none"/>
        </w:rPr>
        <w:t>资金抽样</w:t>
      </w:r>
    </w:p>
    <w:p>
      <w:pPr>
        <w:pStyle w:val="41"/>
        <w:spacing w:line="590" w:lineRule="exact"/>
        <w:ind w:firstLine="624"/>
        <w:rPr>
          <w:rFonts w:hAnsi="仿宋"/>
          <w:spacing w:val="6"/>
          <w:szCs w:val="30"/>
          <w:highlight w:val="none"/>
        </w:rPr>
      </w:pPr>
      <w:r>
        <w:rPr>
          <w:rFonts w:hint="eastAsia" w:hAnsi="仿宋"/>
          <w:spacing w:val="6"/>
          <w:szCs w:val="30"/>
          <w:highlight w:val="none"/>
        </w:rPr>
        <w:t>项目资金收支情况通过实地调研抽查方式收集，抽查比例应不低于项目收支资金的30%。</w:t>
      </w:r>
    </w:p>
    <w:p>
      <w:pPr>
        <w:spacing w:line="590" w:lineRule="exact"/>
        <w:ind w:firstLine="624" w:firstLineChars="200"/>
        <w:outlineLvl w:val="1"/>
        <w:rPr>
          <w:rFonts w:ascii="楷体" w:hAnsi="楷体" w:eastAsia="楷体"/>
          <w:bCs/>
          <w:spacing w:val="6"/>
          <w:szCs w:val="30"/>
          <w:highlight w:val="none"/>
        </w:rPr>
      </w:pPr>
      <w:bookmarkStart w:id="42" w:name="_Toc7509"/>
      <w:bookmarkStart w:id="43" w:name="_Toc1062"/>
      <w:bookmarkStart w:id="44" w:name="_Toc8431"/>
      <w:r>
        <w:rPr>
          <w:rFonts w:hint="eastAsia" w:ascii="楷体" w:hAnsi="楷体" w:eastAsia="楷体"/>
          <w:bCs/>
          <w:spacing w:val="6"/>
          <w:szCs w:val="30"/>
          <w:highlight w:val="none"/>
        </w:rPr>
        <w:t>（四）绩效评价指标体系</w:t>
      </w:r>
      <w:bookmarkEnd w:id="42"/>
      <w:bookmarkEnd w:id="43"/>
      <w:bookmarkEnd w:id="44"/>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1．指标体系</w:t>
      </w:r>
    </w:p>
    <w:p>
      <w:pPr>
        <w:spacing w:line="590" w:lineRule="exact"/>
        <w:ind w:firstLine="624" w:firstLineChars="200"/>
        <w:rPr>
          <w:rFonts w:hAnsi="仿宋"/>
          <w:spacing w:val="6"/>
          <w:szCs w:val="30"/>
          <w:highlight w:val="none"/>
        </w:rPr>
      </w:pPr>
      <w:r>
        <w:rPr>
          <w:rFonts w:hint="eastAsia" w:hAnsi="仿宋"/>
          <w:spacing w:val="6"/>
          <w:szCs w:val="30"/>
          <w:highlight w:val="none"/>
        </w:rPr>
        <w:t>根据项目立项必要性、投入经济性、绩效目标合理性、实施方案可行性、筹资合规性等原则，本项目支出绩效评价指标体系共有三级指标，一级指标4项（决策、过程、产出、效益），二级指标11项（项目立项、绩效目标、资金投入、资金管理、组织实施、产出数量、产出质量、产出时效、产出成本、社会效益、满意度），三级指标21项。（具体绩效评价指标体系详见附件1）</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2．指标权重</w:t>
      </w:r>
    </w:p>
    <w:p>
      <w:pPr>
        <w:spacing w:line="590" w:lineRule="exact"/>
        <w:ind w:firstLine="624" w:firstLineChars="200"/>
        <w:rPr>
          <w:rFonts w:hAnsi="仿宋"/>
          <w:spacing w:val="6"/>
          <w:szCs w:val="30"/>
          <w:highlight w:val="none"/>
        </w:rPr>
      </w:pPr>
      <w:r>
        <w:rPr>
          <w:rFonts w:hint="eastAsia" w:hAnsi="仿宋"/>
          <w:spacing w:val="6"/>
          <w:szCs w:val="30"/>
          <w:highlight w:val="none"/>
        </w:rPr>
        <w:t>结合项目的实施背景与绩效目标，综合判断各级评价指标对实现绩效目标的关键程度。通过与相关专业人员开展讨论，综合判断二、三级评价指标对实现绩效目标的关键程度，确定二、三级评价指标的分值权重。一级评价指标确定为：决策指标权重为20%；过程指标权重为20%；产出指标权重为30%；效益指标权重为30%。（内容详见附件1）</w:t>
      </w:r>
    </w:p>
    <w:p>
      <w:pPr>
        <w:spacing w:line="590" w:lineRule="exact"/>
        <w:ind w:firstLine="600" w:firstLineChars="200"/>
        <w:rPr>
          <w:rFonts w:hAnsi="仿宋" w:cs="仿宋"/>
          <w:spacing w:val="6"/>
          <w:szCs w:val="30"/>
          <w:highlight w:val="none"/>
        </w:rPr>
      </w:pPr>
      <w:r>
        <w:rPr>
          <w:highlight w:val="none"/>
        </w:rPr>
        <w:fldChar w:fldCharType="begin"/>
      </w:r>
      <w:r>
        <w:rPr>
          <w:highlight w:val="none"/>
        </w:rPr>
        <w:instrText xml:space="preserve"> HYPERLINK \l "_Toc434746189" </w:instrText>
      </w:r>
      <w:r>
        <w:rPr>
          <w:highlight w:val="none"/>
        </w:rPr>
        <w:fldChar w:fldCharType="separate"/>
      </w:r>
      <w:bookmarkStart w:id="45" w:name="_Toc459751089"/>
      <w:bookmarkStart w:id="46" w:name="_Toc460332850"/>
      <w:r>
        <w:rPr>
          <w:rFonts w:hint="eastAsia" w:hAnsi="仿宋" w:cs="仿宋"/>
          <w:spacing w:val="6"/>
          <w:szCs w:val="30"/>
          <w:highlight w:val="none"/>
        </w:rPr>
        <w:t>3．评价标准</w:t>
      </w:r>
      <w:bookmarkEnd w:id="45"/>
      <w:bookmarkEnd w:id="46"/>
      <w:r>
        <w:rPr>
          <w:rFonts w:hint="eastAsia" w:hAnsi="仿宋" w:cs="仿宋"/>
          <w:spacing w:val="6"/>
          <w:szCs w:val="30"/>
          <w:highlight w:val="none"/>
        </w:rPr>
        <w:fldChar w:fldCharType="end"/>
      </w:r>
    </w:p>
    <w:p>
      <w:pPr>
        <w:spacing w:line="590" w:lineRule="exact"/>
        <w:ind w:firstLine="624" w:firstLineChars="200"/>
        <w:rPr>
          <w:rFonts w:hAnsi="仿宋"/>
          <w:spacing w:val="6"/>
          <w:szCs w:val="30"/>
          <w:highlight w:val="none"/>
        </w:rPr>
      </w:pPr>
      <w:r>
        <w:rPr>
          <w:rFonts w:hint="eastAsia" w:hAnsi="仿宋"/>
          <w:spacing w:val="6"/>
          <w:szCs w:val="30"/>
          <w:highlight w:val="none"/>
        </w:rPr>
        <w:t>本次绩效评价采用百分制，对绩效评价结果采取评分与评级相结合的方式，一级指标的分值权重按主管部门要求执行，二、三级指标权重按照设置的指标相关评价内容的重要性原则加以确定。各项指标均需明确评价内容和解释、评价要点、评分标准等。评价人员依据上述内容进行评分。根据最终得分情况，本次评价等级按“优、良、中、差”四级划分，具体为：得分≥90分，评级为：优；80分≤得分＜90分，评级为：良；60分≤得分＜80分，评级为：中；得分＜60分，评级为：差。</w:t>
      </w:r>
    </w:p>
    <w:p>
      <w:pPr>
        <w:spacing w:line="590" w:lineRule="exact"/>
        <w:ind w:firstLine="624" w:firstLineChars="200"/>
        <w:outlineLvl w:val="1"/>
        <w:rPr>
          <w:rFonts w:ascii="楷体" w:hAnsi="楷体" w:eastAsia="楷体"/>
          <w:bCs/>
          <w:spacing w:val="6"/>
          <w:szCs w:val="30"/>
          <w:highlight w:val="none"/>
        </w:rPr>
      </w:pPr>
      <w:bookmarkStart w:id="47" w:name="_Toc14694"/>
      <w:bookmarkStart w:id="48" w:name="_Toc16655"/>
      <w:bookmarkStart w:id="49" w:name="_Toc3007"/>
      <w:r>
        <w:rPr>
          <w:rFonts w:hint="eastAsia" w:ascii="楷体" w:hAnsi="楷体" w:eastAsia="楷体"/>
          <w:bCs/>
          <w:spacing w:val="6"/>
          <w:szCs w:val="30"/>
          <w:highlight w:val="none"/>
        </w:rPr>
        <w:t>（五）绩效评价抽样</w:t>
      </w:r>
      <w:bookmarkEnd w:id="47"/>
      <w:bookmarkEnd w:id="48"/>
      <w:bookmarkEnd w:id="49"/>
    </w:p>
    <w:p>
      <w:pPr>
        <w:tabs>
          <w:tab w:val="left" w:pos="5280"/>
        </w:tabs>
        <w:spacing w:line="590" w:lineRule="exact"/>
        <w:ind w:firstLine="624" w:firstLineChars="200"/>
        <w:rPr>
          <w:rFonts w:hAnsi="仿宋"/>
          <w:spacing w:val="6"/>
          <w:szCs w:val="30"/>
          <w:highlight w:val="none"/>
        </w:rPr>
      </w:pPr>
      <w:r>
        <w:rPr>
          <w:rFonts w:hint="eastAsia" w:hAnsi="仿宋"/>
          <w:spacing w:val="6"/>
          <w:szCs w:val="30"/>
          <w:highlight w:val="none"/>
        </w:rPr>
        <w:t>根据该项目2023年资金使用情况，资金支出总额为13万元，抽查资金为13万元，抽查比例为100%。</w:t>
      </w:r>
      <w:bookmarkEnd w:id="39"/>
      <w:bookmarkEnd w:id="40"/>
      <w:bookmarkStart w:id="50" w:name="_Toc536428366"/>
      <w:r>
        <w:rPr>
          <w:rFonts w:hint="eastAsia" w:hAnsi="仿宋"/>
          <w:spacing w:val="6"/>
          <w:szCs w:val="30"/>
          <w:highlight w:val="none"/>
        </w:rPr>
        <w:t>通过凭证抽查，项目相关资金拨付凭证附件均附有费用报销单、付款回单、发票、合同及会议纪要等共性附件和各项支出个性附件，附件签字及盖章齐全。</w:t>
      </w:r>
    </w:p>
    <w:p>
      <w:pPr>
        <w:spacing w:line="590" w:lineRule="exact"/>
        <w:ind w:firstLine="624" w:firstLineChars="200"/>
        <w:outlineLvl w:val="0"/>
        <w:rPr>
          <w:rStyle w:val="26"/>
          <w:rFonts w:ascii="黑体" w:hAnsi="黑体" w:eastAsia="黑体" w:cs="黑体"/>
          <w:b w:val="0"/>
          <w:bCs w:val="0"/>
          <w:spacing w:val="6"/>
          <w:sz w:val="30"/>
          <w:szCs w:val="30"/>
          <w:highlight w:val="none"/>
        </w:rPr>
      </w:pPr>
      <w:bookmarkStart w:id="51" w:name="_Toc23839"/>
      <w:bookmarkStart w:id="52" w:name="_Toc11373"/>
      <w:bookmarkStart w:id="53" w:name="_Toc1368"/>
      <w:r>
        <w:rPr>
          <w:rStyle w:val="26"/>
          <w:rFonts w:hint="eastAsia" w:ascii="黑体" w:hAnsi="黑体" w:eastAsia="黑体" w:cs="黑体"/>
          <w:b w:val="0"/>
          <w:bCs w:val="0"/>
          <w:spacing w:val="6"/>
          <w:sz w:val="30"/>
          <w:szCs w:val="30"/>
          <w:highlight w:val="none"/>
        </w:rPr>
        <w:t>四、绩效评价结论</w:t>
      </w:r>
      <w:bookmarkEnd w:id="50"/>
      <w:bookmarkEnd w:id="51"/>
      <w:bookmarkEnd w:id="52"/>
      <w:bookmarkEnd w:id="53"/>
    </w:p>
    <w:p>
      <w:pPr>
        <w:spacing w:line="590" w:lineRule="exact"/>
        <w:ind w:firstLine="624" w:firstLineChars="200"/>
        <w:outlineLvl w:val="1"/>
        <w:rPr>
          <w:rFonts w:ascii="楷体" w:hAnsi="楷体" w:eastAsia="楷体"/>
          <w:bCs/>
          <w:spacing w:val="6"/>
          <w:szCs w:val="30"/>
          <w:highlight w:val="none"/>
        </w:rPr>
      </w:pPr>
      <w:bookmarkStart w:id="54" w:name="_Toc536428367"/>
      <w:bookmarkStart w:id="55" w:name="_Toc27043"/>
      <w:bookmarkStart w:id="56" w:name="_Toc2839"/>
      <w:bookmarkStart w:id="57" w:name="_Toc3968"/>
      <w:r>
        <w:rPr>
          <w:rFonts w:hint="eastAsia" w:ascii="楷体" w:hAnsi="楷体" w:eastAsia="楷体"/>
          <w:bCs/>
          <w:spacing w:val="6"/>
          <w:szCs w:val="30"/>
          <w:highlight w:val="none"/>
        </w:rPr>
        <w:t>（一）绩效评价综合结论</w:t>
      </w:r>
      <w:bookmarkEnd w:id="54"/>
      <w:bookmarkEnd w:id="55"/>
      <w:bookmarkEnd w:id="56"/>
      <w:bookmarkEnd w:id="57"/>
    </w:p>
    <w:p>
      <w:pPr>
        <w:spacing w:line="590" w:lineRule="exact"/>
        <w:ind w:firstLine="624" w:firstLineChars="200"/>
        <w:rPr>
          <w:rFonts w:hAnsi="仿宋"/>
          <w:spacing w:val="6"/>
          <w:szCs w:val="30"/>
          <w:highlight w:val="none"/>
        </w:rPr>
      </w:pPr>
      <w:bookmarkStart w:id="58" w:name="_Hlk525314439"/>
      <w:r>
        <w:rPr>
          <w:rFonts w:hint="eastAsia" w:hAnsi="仿宋"/>
          <w:spacing w:val="6"/>
          <w:szCs w:val="30"/>
          <w:highlight w:val="none"/>
        </w:rPr>
        <w:t>公共服务平台项目项目支出绩效评价得分95分，评价等级为“优”。一级指标具体得分情况详见下表：</w:t>
      </w:r>
    </w:p>
    <w:p>
      <w:pPr>
        <w:jc w:val="center"/>
        <w:rPr>
          <w:rFonts w:ascii="黑体" w:hAnsi="黑体" w:eastAsia="黑体"/>
          <w:color w:val="000000" w:themeColor="text1"/>
          <w:spacing w:val="6"/>
          <w:sz w:val="24"/>
          <w:szCs w:val="24"/>
          <w:highlight w:val="none"/>
          <w14:textFill>
            <w14:solidFill>
              <w14:schemeClr w14:val="tx1"/>
            </w14:solidFill>
          </w14:textFill>
        </w:rPr>
      </w:pPr>
      <w:r>
        <w:rPr>
          <w:rFonts w:hint="eastAsia" w:ascii="黑体" w:hAnsi="黑体" w:eastAsia="黑体"/>
          <w:color w:val="000000" w:themeColor="text1"/>
          <w:spacing w:val="6"/>
          <w:sz w:val="24"/>
          <w:szCs w:val="24"/>
          <w:highlight w:val="none"/>
          <w14:textFill>
            <w14:solidFill>
              <w14:schemeClr w14:val="tx1"/>
            </w14:solidFill>
          </w14:textFill>
        </w:rPr>
        <w:t>表2：一级指标具体得分情况表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2367"/>
        <w:gridCol w:w="2364"/>
        <w:gridCol w:w="2221"/>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2" w:hRule="atLeast"/>
          <w:tblHeader/>
          <w:jc w:val="center"/>
        </w:trPr>
        <w:tc>
          <w:tcPr>
            <w:tcW w:w="1321" w:type="pct"/>
            <w:tcBorders>
              <w:top w:val="single" w:color="auto" w:sz="4" w:space="0"/>
            </w:tcBorders>
            <w:vAlign w:val="center"/>
          </w:tcPr>
          <w:p>
            <w:pPr>
              <w:snapToGrid w:val="0"/>
              <w:jc w:val="center"/>
              <w:rPr>
                <w:rFonts w:hAnsi="仿宋"/>
                <w:b/>
                <w:bCs/>
                <w:spacing w:val="6"/>
                <w:sz w:val="21"/>
                <w:highlight w:val="none"/>
              </w:rPr>
            </w:pPr>
            <w:r>
              <w:rPr>
                <w:rFonts w:hint="eastAsia" w:hAnsi="仿宋"/>
                <w:b/>
                <w:bCs/>
                <w:spacing w:val="6"/>
                <w:sz w:val="21"/>
                <w:highlight w:val="none"/>
              </w:rPr>
              <w:t>一级指标</w:t>
            </w:r>
          </w:p>
        </w:tc>
        <w:tc>
          <w:tcPr>
            <w:tcW w:w="1319" w:type="pct"/>
            <w:tcBorders>
              <w:top w:val="single" w:color="auto" w:sz="4" w:space="0"/>
            </w:tcBorders>
            <w:vAlign w:val="center"/>
          </w:tcPr>
          <w:p>
            <w:pPr>
              <w:snapToGrid w:val="0"/>
              <w:jc w:val="center"/>
              <w:rPr>
                <w:rFonts w:hAnsi="仿宋"/>
                <w:b/>
                <w:bCs/>
                <w:spacing w:val="6"/>
                <w:sz w:val="21"/>
                <w:highlight w:val="none"/>
              </w:rPr>
            </w:pPr>
            <w:r>
              <w:rPr>
                <w:rFonts w:hint="eastAsia" w:hAnsi="仿宋"/>
                <w:b/>
                <w:bCs/>
                <w:spacing w:val="6"/>
                <w:sz w:val="21"/>
                <w:highlight w:val="none"/>
              </w:rPr>
              <w:t>指标分值</w:t>
            </w:r>
          </w:p>
        </w:tc>
        <w:tc>
          <w:tcPr>
            <w:tcW w:w="1239" w:type="pct"/>
            <w:tcBorders>
              <w:top w:val="single" w:color="auto" w:sz="4" w:space="0"/>
            </w:tcBorders>
            <w:vAlign w:val="center"/>
          </w:tcPr>
          <w:p>
            <w:pPr>
              <w:snapToGrid w:val="0"/>
              <w:jc w:val="center"/>
              <w:rPr>
                <w:rFonts w:hAnsi="仿宋"/>
                <w:b/>
                <w:bCs/>
                <w:spacing w:val="6"/>
                <w:sz w:val="21"/>
                <w:highlight w:val="none"/>
              </w:rPr>
            </w:pPr>
            <w:r>
              <w:rPr>
                <w:rFonts w:hint="eastAsia" w:hAnsi="仿宋"/>
                <w:b/>
                <w:bCs/>
                <w:spacing w:val="6"/>
                <w:sz w:val="21"/>
                <w:highlight w:val="none"/>
              </w:rPr>
              <w:t>评价得分</w:t>
            </w:r>
          </w:p>
        </w:tc>
        <w:tc>
          <w:tcPr>
            <w:tcW w:w="1119" w:type="pct"/>
            <w:tcBorders>
              <w:top w:val="single" w:color="auto" w:sz="4" w:space="0"/>
            </w:tcBorders>
            <w:vAlign w:val="center"/>
          </w:tcPr>
          <w:p>
            <w:pPr>
              <w:snapToGrid w:val="0"/>
              <w:jc w:val="center"/>
              <w:rPr>
                <w:rFonts w:hAnsi="仿宋"/>
                <w:b/>
                <w:bCs/>
                <w:spacing w:val="6"/>
                <w:sz w:val="21"/>
                <w:highlight w:val="none"/>
              </w:rPr>
            </w:pPr>
            <w:r>
              <w:rPr>
                <w:rFonts w:hint="eastAsia" w:hAnsi="仿宋"/>
                <w:b/>
                <w:bCs/>
                <w:spacing w:val="6"/>
                <w:sz w:val="21"/>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1" w:hRule="atLeast"/>
          <w:tblHeader/>
          <w:jc w:val="center"/>
        </w:trPr>
        <w:tc>
          <w:tcPr>
            <w:tcW w:w="1321" w:type="pct"/>
            <w:vAlign w:val="center"/>
          </w:tcPr>
          <w:p>
            <w:pPr>
              <w:snapToGrid w:val="0"/>
              <w:jc w:val="center"/>
              <w:rPr>
                <w:rFonts w:hAnsi="仿宋"/>
                <w:spacing w:val="6"/>
                <w:sz w:val="21"/>
                <w:highlight w:val="none"/>
              </w:rPr>
            </w:pPr>
            <w:r>
              <w:rPr>
                <w:rFonts w:hint="eastAsia" w:hAnsi="仿宋"/>
                <w:spacing w:val="6"/>
                <w:sz w:val="21"/>
                <w:highlight w:val="none"/>
              </w:rPr>
              <w:t>决策</w:t>
            </w:r>
          </w:p>
        </w:tc>
        <w:tc>
          <w:tcPr>
            <w:tcW w:w="1319" w:type="pct"/>
            <w:vAlign w:val="center"/>
          </w:tcPr>
          <w:p>
            <w:pPr>
              <w:snapToGrid w:val="0"/>
              <w:jc w:val="center"/>
              <w:rPr>
                <w:rFonts w:hAnsi="仿宋"/>
                <w:spacing w:val="6"/>
                <w:sz w:val="21"/>
                <w:highlight w:val="none"/>
              </w:rPr>
            </w:pPr>
            <w:r>
              <w:rPr>
                <w:rFonts w:hint="eastAsia" w:hAnsi="仿宋"/>
                <w:spacing w:val="6"/>
                <w:sz w:val="21"/>
                <w:highlight w:val="none"/>
              </w:rPr>
              <w:t>20.</w:t>
            </w:r>
            <w:r>
              <w:rPr>
                <w:rFonts w:hAnsi="仿宋"/>
                <w:spacing w:val="6"/>
                <w:sz w:val="21"/>
                <w:highlight w:val="none"/>
              </w:rPr>
              <w:t>00</w:t>
            </w:r>
          </w:p>
        </w:tc>
        <w:tc>
          <w:tcPr>
            <w:tcW w:w="1239" w:type="pct"/>
            <w:vAlign w:val="center"/>
          </w:tcPr>
          <w:p>
            <w:pPr>
              <w:snapToGrid w:val="0"/>
              <w:jc w:val="center"/>
              <w:rPr>
                <w:rFonts w:hAnsi="仿宋"/>
                <w:spacing w:val="6"/>
                <w:sz w:val="21"/>
                <w:highlight w:val="none"/>
              </w:rPr>
            </w:pPr>
            <w:r>
              <w:rPr>
                <w:rFonts w:hint="eastAsia" w:hAnsi="仿宋"/>
                <w:spacing w:val="6"/>
                <w:sz w:val="21"/>
                <w:highlight w:val="none"/>
              </w:rPr>
              <w:t>17.00</w:t>
            </w:r>
          </w:p>
        </w:tc>
        <w:tc>
          <w:tcPr>
            <w:tcW w:w="1119" w:type="pct"/>
            <w:vAlign w:val="center"/>
          </w:tcPr>
          <w:p>
            <w:pPr>
              <w:snapToGrid w:val="0"/>
              <w:jc w:val="center"/>
              <w:rPr>
                <w:rFonts w:hAnsi="仿宋"/>
                <w:spacing w:val="6"/>
                <w:sz w:val="21"/>
                <w:highlight w:val="none"/>
              </w:rPr>
            </w:pPr>
            <w:r>
              <w:rPr>
                <w:rFonts w:hint="eastAsia" w:hAnsi="仿宋"/>
                <w:spacing w:val="6"/>
                <w:sz w:val="21"/>
                <w:highlight w:val="none"/>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1" w:hRule="atLeast"/>
          <w:tblHeader/>
          <w:jc w:val="center"/>
        </w:trPr>
        <w:tc>
          <w:tcPr>
            <w:tcW w:w="1321" w:type="pct"/>
            <w:vAlign w:val="center"/>
          </w:tcPr>
          <w:p>
            <w:pPr>
              <w:snapToGrid w:val="0"/>
              <w:jc w:val="center"/>
              <w:rPr>
                <w:rFonts w:hAnsi="仿宋"/>
                <w:spacing w:val="6"/>
                <w:sz w:val="21"/>
                <w:highlight w:val="none"/>
              </w:rPr>
            </w:pPr>
            <w:r>
              <w:rPr>
                <w:rFonts w:hint="eastAsia" w:hAnsi="仿宋"/>
                <w:spacing w:val="6"/>
                <w:sz w:val="21"/>
                <w:highlight w:val="none"/>
              </w:rPr>
              <w:t>过程</w:t>
            </w:r>
          </w:p>
        </w:tc>
        <w:tc>
          <w:tcPr>
            <w:tcW w:w="1319" w:type="pct"/>
            <w:vAlign w:val="center"/>
          </w:tcPr>
          <w:p>
            <w:pPr>
              <w:snapToGrid w:val="0"/>
              <w:jc w:val="center"/>
              <w:rPr>
                <w:rFonts w:hAnsi="仿宋"/>
                <w:spacing w:val="6"/>
                <w:sz w:val="21"/>
                <w:highlight w:val="none"/>
              </w:rPr>
            </w:pPr>
            <w:r>
              <w:rPr>
                <w:rFonts w:hint="eastAsia" w:hAnsi="仿宋"/>
                <w:spacing w:val="6"/>
                <w:sz w:val="21"/>
                <w:highlight w:val="none"/>
              </w:rPr>
              <w:t>20</w:t>
            </w:r>
            <w:r>
              <w:rPr>
                <w:rFonts w:hAnsi="仿宋"/>
                <w:spacing w:val="6"/>
                <w:sz w:val="21"/>
                <w:highlight w:val="none"/>
              </w:rPr>
              <w:t>.00</w:t>
            </w:r>
          </w:p>
        </w:tc>
        <w:tc>
          <w:tcPr>
            <w:tcW w:w="1239" w:type="pct"/>
            <w:vAlign w:val="center"/>
          </w:tcPr>
          <w:p>
            <w:pPr>
              <w:snapToGrid w:val="0"/>
              <w:jc w:val="center"/>
              <w:rPr>
                <w:rFonts w:hAnsi="仿宋"/>
                <w:spacing w:val="6"/>
                <w:sz w:val="21"/>
                <w:highlight w:val="none"/>
              </w:rPr>
            </w:pPr>
            <w:r>
              <w:rPr>
                <w:rFonts w:hint="eastAsia" w:hAnsi="仿宋"/>
                <w:spacing w:val="6"/>
                <w:sz w:val="21"/>
                <w:highlight w:val="none"/>
              </w:rPr>
              <w:t>20.00</w:t>
            </w:r>
          </w:p>
        </w:tc>
        <w:tc>
          <w:tcPr>
            <w:tcW w:w="1119" w:type="pct"/>
            <w:vAlign w:val="center"/>
          </w:tcPr>
          <w:p>
            <w:pPr>
              <w:snapToGrid w:val="0"/>
              <w:jc w:val="center"/>
              <w:rPr>
                <w:rFonts w:hAnsi="仿宋"/>
                <w:spacing w:val="6"/>
                <w:sz w:val="21"/>
                <w:highlight w:val="none"/>
              </w:rPr>
            </w:pPr>
            <w:r>
              <w:rPr>
                <w:rFonts w:hint="eastAsia" w:hAnsi="仿宋"/>
                <w:spacing w:val="6"/>
                <w:sz w:val="21"/>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7" w:hRule="atLeast"/>
          <w:tblHeader/>
          <w:jc w:val="center"/>
        </w:trPr>
        <w:tc>
          <w:tcPr>
            <w:tcW w:w="1321" w:type="pct"/>
            <w:vAlign w:val="center"/>
          </w:tcPr>
          <w:p>
            <w:pPr>
              <w:snapToGrid w:val="0"/>
              <w:jc w:val="center"/>
              <w:rPr>
                <w:rFonts w:hAnsi="仿宋"/>
                <w:spacing w:val="6"/>
                <w:sz w:val="21"/>
                <w:highlight w:val="none"/>
              </w:rPr>
            </w:pPr>
            <w:r>
              <w:rPr>
                <w:rFonts w:hAnsi="仿宋"/>
                <w:spacing w:val="6"/>
                <w:sz w:val="21"/>
                <w:highlight w:val="none"/>
              </w:rPr>
              <w:t>产出</w:t>
            </w:r>
          </w:p>
        </w:tc>
        <w:tc>
          <w:tcPr>
            <w:tcW w:w="1319" w:type="pct"/>
            <w:vAlign w:val="center"/>
          </w:tcPr>
          <w:p>
            <w:pPr>
              <w:snapToGrid w:val="0"/>
              <w:jc w:val="center"/>
              <w:rPr>
                <w:rFonts w:hAnsi="仿宋"/>
                <w:spacing w:val="6"/>
                <w:sz w:val="21"/>
                <w:highlight w:val="none"/>
              </w:rPr>
            </w:pPr>
            <w:r>
              <w:rPr>
                <w:rFonts w:hint="eastAsia" w:hAnsi="仿宋"/>
                <w:spacing w:val="6"/>
                <w:sz w:val="21"/>
                <w:highlight w:val="none"/>
              </w:rPr>
              <w:t>30</w:t>
            </w:r>
            <w:r>
              <w:rPr>
                <w:rFonts w:hAnsi="仿宋"/>
                <w:spacing w:val="6"/>
                <w:sz w:val="21"/>
                <w:highlight w:val="none"/>
              </w:rPr>
              <w:t>.00</w:t>
            </w:r>
          </w:p>
        </w:tc>
        <w:tc>
          <w:tcPr>
            <w:tcW w:w="1239" w:type="pct"/>
            <w:vAlign w:val="center"/>
          </w:tcPr>
          <w:p>
            <w:pPr>
              <w:snapToGrid w:val="0"/>
              <w:jc w:val="center"/>
              <w:rPr>
                <w:rFonts w:hAnsi="仿宋"/>
                <w:spacing w:val="6"/>
                <w:sz w:val="21"/>
                <w:highlight w:val="none"/>
              </w:rPr>
            </w:pPr>
            <w:r>
              <w:rPr>
                <w:rFonts w:hint="eastAsia" w:hAnsi="仿宋"/>
                <w:spacing w:val="6"/>
                <w:sz w:val="21"/>
                <w:highlight w:val="none"/>
              </w:rPr>
              <w:t>28.00</w:t>
            </w:r>
          </w:p>
        </w:tc>
        <w:tc>
          <w:tcPr>
            <w:tcW w:w="1119" w:type="pct"/>
            <w:vAlign w:val="center"/>
          </w:tcPr>
          <w:p>
            <w:pPr>
              <w:snapToGrid w:val="0"/>
              <w:jc w:val="center"/>
              <w:rPr>
                <w:rFonts w:hAnsi="仿宋"/>
                <w:spacing w:val="6"/>
                <w:sz w:val="21"/>
                <w:highlight w:val="none"/>
              </w:rPr>
            </w:pPr>
            <w:r>
              <w:rPr>
                <w:rFonts w:hint="eastAsia" w:hAnsi="仿宋"/>
                <w:spacing w:val="6"/>
                <w:sz w:val="21"/>
                <w:highlight w:val="none"/>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7" w:hRule="atLeast"/>
          <w:tblHeader/>
          <w:jc w:val="center"/>
        </w:trPr>
        <w:tc>
          <w:tcPr>
            <w:tcW w:w="1321" w:type="pct"/>
            <w:vAlign w:val="center"/>
          </w:tcPr>
          <w:p>
            <w:pPr>
              <w:snapToGrid w:val="0"/>
              <w:jc w:val="center"/>
              <w:rPr>
                <w:rFonts w:hAnsi="仿宋"/>
                <w:spacing w:val="6"/>
                <w:sz w:val="21"/>
                <w:highlight w:val="none"/>
              </w:rPr>
            </w:pPr>
            <w:r>
              <w:rPr>
                <w:rFonts w:hAnsi="仿宋"/>
                <w:spacing w:val="6"/>
                <w:sz w:val="21"/>
                <w:highlight w:val="none"/>
              </w:rPr>
              <w:t>效</w:t>
            </w:r>
            <w:r>
              <w:rPr>
                <w:rFonts w:hint="eastAsia" w:hAnsi="仿宋"/>
                <w:spacing w:val="6"/>
                <w:sz w:val="21"/>
                <w:highlight w:val="none"/>
              </w:rPr>
              <w:t>益</w:t>
            </w:r>
          </w:p>
        </w:tc>
        <w:tc>
          <w:tcPr>
            <w:tcW w:w="1319" w:type="pct"/>
            <w:vAlign w:val="center"/>
          </w:tcPr>
          <w:p>
            <w:pPr>
              <w:snapToGrid w:val="0"/>
              <w:jc w:val="center"/>
              <w:rPr>
                <w:rFonts w:hAnsi="仿宋"/>
                <w:spacing w:val="6"/>
                <w:sz w:val="21"/>
                <w:highlight w:val="none"/>
              </w:rPr>
            </w:pPr>
            <w:r>
              <w:rPr>
                <w:rFonts w:hint="eastAsia" w:hAnsi="仿宋"/>
                <w:spacing w:val="6"/>
                <w:sz w:val="21"/>
                <w:highlight w:val="none"/>
              </w:rPr>
              <w:t>30</w:t>
            </w:r>
            <w:r>
              <w:rPr>
                <w:rFonts w:hAnsi="仿宋"/>
                <w:spacing w:val="6"/>
                <w:sz w:val="21"/>
                <w:highlight w:val="none"/>
              </w:rPr>
              <w:t>.00</w:t>
            </w:r>
          </w:p>
        </w:tc>
        <w:tc>
          <w:tcPr>
            <w:tcW w:w="1239" w:type="pct"/>
            <w:vAlign w:val="center"/>
          </w:tcPr>
          <w:p>
            <w:pPr>
              <w:snapToGrid w:val="0"/>
              <w:jc w:val="center"/>
              <w:rPr>
                <w:rFonts w:hAnsi="仿宋"/>
                <w:spacing w:val="6"/>
                <w:sz w:val="21"/>
                <w:highlight w:val="none"/>
              </w:rPr>
            </w:pPr>
            <w:r>
              <w:rPr>
                <w:rFonts w:hint="eastAsia" w:hAnsi="仿宋"/>
                <w:spacing w:val="6"/>
                <w:sz w:val="21"/>
                <w:highlight w:val="none"/>
              </w:rPr>
              <w:t>30.00</w:t>
            </w:r>
          </w:p>
        </w:tc>
        <w:tc>
          <w:tcPr>
            <w:tcW w:w="1119" w:type="pct"/>
            <w:vAlign w:val="center"/>
          </w:tcPr>
          <w:p>
            <w:pPr>
              <w:snapToGrid w:val="0"/>
              <w:jc w:val="center"/>
              <w:rPr>
                <w:rFonts w:hAnsi="仿宋"/>
                <w:spacing w:val="6"/>
                <w:sz w:val="21"/>
                <w:highlight w:val="none"/>
              </w:rPr>
            </w:pPr>
            <w:r>
              <w:rPr>
                <w:rFonts w:hint="eastAsia" w:hAnsi="仿宋"/>
                <w:spacing w:val="6"/>
                <w:sz w:val="21"/>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1" w:hRule="atLeast"/>
          <w:tblHeader/>
          <w:jc w:val="center"/>
        </w:trPr>
        <w:tc>
          <w:tcPr>
            <w:tcW w:w="1321" w:type="pct"/>
            <w:vAlign w:val="center"/>
          </w:tcPr>
          <w:p>
            <w:pPr>
              <w:snapToGrid w:val="0"/>
              <w:jc w:val="center"/>
              <w:rPr>
                <w:rFonts w:hAnsi="仿宋"/>
                <w:b/>
                <w:bCs/>
                <w:spacing w:val="6"/>
                <w:sz w:val="21"/>
                <w:highlight w:val="none"/>
              </w:rPr>
            </w:pPr>
            <w:r>
              <w:rPr>
                <w:rFonts w:hAnsi="仿宋"/>
                <w:b/>
                <w:bCs/>
                <w:spacing w:val="6"/>
                <w:sz w:val="21"/>
                <w:highlight w:val="none"/>
              </w:rPr>
              <w:t>合计</w:t>
            </w:r>
          </w:p>
        </w:tc>
        <w:tc>
          <w:tcPr>
            <w:tcW w:w="1319" w:type="pct"/>
            <w:vAlign w:val="center"/>
          </w:tcPr>
          <w:p>
            <w:pPr>
              <w:snapToGrid w:val="0"/>
              <w:jc w:val="center"/>
              <w:rPr>
                <w:rFonts w:hAnsi="仿宋"/>
                <w:b/>
                <w:bCs/>
                <w:spacing w:val="6"/>
                <w:sz w:val="21"/>
                <w:highlight w:val="none"/>
              </w:rPr>
            </w:pPr>
            <w:r>
              <w:rPr>
                <w:rFonts w:hint="eastAsia" w:hAnsi="仿宋"/>
                <w:b/>
                <w:bCs/>
                <w:spacing w:val="6"/>
                <w:sz w:val="21"/>
                <w:highlight w:val="none"/>
              </w:rPr>
              <w:t>1</w:t>
            </w:r>
            <w:r>
              <w:rPr>
                <w:rFonts w:hAnsi="仿宋"/>
                <w:b/>
                <w:bCs/>
                <w:spacing w:val="6"/>
                <w:sz w:val="21"/>
                <w:highlight w:val="none"/>
              </w:rPr>
              <w:t>00.00</w:t>
            </w:r>
          </w:p>
        </w:tc>
        <w:tc>
          <w:tcPr>
            <w:tcW w:w="1239" w:type="pct"/>
            <w:vAlign w:val="center"/>
          </w:tcPr>
          <w:p>
            <w:pPr>
              <w:snapToGrid w:val="0"/>
              <w:jc w:val="center"/>
              <w:rPr>
                <w:rFonts w:hAnsi="仿宋"/>
                <w:b/>
                <w:bCs/>
                <w:spacing w:val="6"/>
                <w:sz w:val="21"/>
                <w:highlight w:val="none"/>
              </w:rPr>
            </w:pPr>
            <w:r>
              <w:rPr>
                <w:rFonts w:hint="eastAsia" w:hAnsi="仿宋"/>
                <w:b/>
                <w:bCs/>
                <w:spacing w:val="6"/>
                <w:sz w:val="21"/>
                <w:highlight w:val="none"/>
              </w:rPr>
              <w:t>95.00</w:t>
            </w:r>
          </w:p>
        </w:tc>
        <w:tc>
          <w:tcPr>
            <w:tcW w:w="1119" w:type="pct"/>
            <w:vAlign w:val="center"/>
          </w:tcPr>
          <w:p>
            <w:pPr>
              <w:snapToGrid w:val="0"/>
              <w:jc w:val="center"/>
              <w:rPr>
                <w:rFonts w:hAnsi="仿宋"/>
                <w:b/>
                <w:bCs/>
                <w:spacing w:val="6"/>
                <w:sz w:val="21"/>
                <w:highlight w:val="none"/>
              </w:rPr>
            </w:pPr>
            <w:r>
              <w:rPr>
                <w:rFonts w:hint="eastAsia" w:hAnsi="仿宋"/>
                <w:b/>
                <w:bCs/>
                <w:spacing w:val="6"/>
                <w:sz w:val="21"/>
                <w:highlight w:val="none"/>
              </w:rPr>
              <w:t>95%</w:t>
            </w:r>
          </w:p>
        </w:tc>
      </w:tr>
      <w:bookmarkEnd w:id="58"/>
    </w:tbl>
    <w:p>
      <w:pPr>
        <w:spacing w:line="590" w:lineRule="exact"/>
        <w:ind w:firstLine="624" w:firstLineChars="200"/>
        <w:rPr>
          <w:rFonts w:hAnsi="仿宋"/>
          <w:spacing w:val="6"/>
          <w:szCs w:val="30"/>
          <w:highlight w:val="none"/>
        </w:rPr>
      </w:pPr>
      <w:bookmarkStart w:id="59" w:name="_Toc536428368"/>
      <w:r>
        <w:rPr>
          <w:rFonts w:hint="eastAsia" w:hAnsi="仿宋"/>
          <w:spacing w:val="6"/>
          <w:szCs w:val="30"/>
          <w:highlight w:val="none"/>
        </w:rPr>
        <w:t>综合评价结论：五华产业园区管委会双创服务中心公共服务平台项目已实施完成，具有一定实施效果。</w:t>
      </w:r>
    </w:p>
    <w:p>
      <w:pPr>
        <w:spacing w:line="590" w:lineRule="exact"/>
        <w:ind w:firstLine="624" w:firstLineChars="200"/>
        <w:rPr>
          <w:rFonts w:hAnsi="仿宋" w:cs="仿宋"/>
          <w:spacing w:val="6"/>
          <w:szCs w:val="30"/>
          <w:highlight w:val="none"/>
        </w:rPr>
      </w:pPr>
      <w:r>
        <w:rPr>
          <w:rFonts w:hAnsi="仿宋" w:cs="仿宋"/>
          <w:spacing w:val="6"/>
          <w:szCs w:val="30"/>
          <w:highlight w:val="none"/>
        </w:rPr>
        <w:t>1.</w:t>
      </w:r>
      <w:r>
        <w:rPr>
          <w:rFonts w:hint="eastAsia" w:hAnsi="仿宋" w:cs="仿宋"/>
          <w:spacing w:val="6"/>
          <w:szCs w:val="30"/>
          <w:highlight w:val="none"/>
        </w:rPr>
        <w:t>决策部分结论</w:t>
      </w:r>
    </w:p>
    <w:p>
      <w:pPr>
        <w:spacing w:line="590" w:lineRule="exact"/>
        <w:ind w:firstLine="624" w:firstLineChars="200"/>
        <w:rPr>
          <w:rFonts w:hAnsi="仿宋"/>
          <w:spacing w:val="6"/>
          <w:szCs w:val="30"/>
          <w:highlight w:val="none"/>
        </w:rPr>
      </w:pPr>
      <w:r>
        <w:rPr>
          <w:rFonts w:hint="eastAsia" w:hAnsi="仿宋"/>
          <w:spacing w:val="6"/>
          <w:szCs w:val="30"/>
          <w:highlight w:val="none"/>
        </w:rPr>
        <w:t>项目立项依据充分，符合国家法律法规、行业发展规划和政策要求，属于公共财政支持范围。预算申报事过了单位的集体决策，立项程序规范。项目预算编制了实施方案，</w:t>
      </w:r>
      <w:r>
        <w:rPr>
          <w:rFonts w:hint="eastAsia" w:hAnsi="仿宋"/>
          <w:spacing w:val="6"/>
          <w:szCs w:val="30"/>
          <w:highlight w:val="none"/>
          <w:lang w:eastAsia="zh-Hans"/>
        </w:rPr>
        <w:t>预算确定的资金数额与项目实际开展内容相符</w:t>
      </w:r>
      <w:r>
        <w:rPr>
          <w:rFonts w:hint="eastAsia" w:hAnsi="仿宋"/>
          <w:spacing w:val="6"/>
          <w:szCs w:val="30"/>
          <w:highlight w:val="none"/>
        </w:rPr>
        <w:t>。但存在项目绩效目标设置不完整，绩效管理工作有待进一步提升的情况。</w:t>
      </w:r>
    </w:p>
    <w:p>
      <w:pPr>
        <w:spacing w:line="590" w:lineRule="exact"/>
        <w:ind w:firstLine="624" w:firstLineChars="200"/>
        <w:rPr>
          <w:rFonts w:hAnsi="仿宋" w:cs="仿宋"/>
          <w:spacing w:val="6"/>
          <w:szCs w:val="30"/>
          <w:highlight w:val="none"/>
        </w:rPr>
      </w:pPr>
      <w:r>
        <w:rPr>
          <w:rFonts w:hAnsi="仿宋" w:cs="仿宋"/>
          <w:spacing w:val="6"/>
          <w:szCs w:val="30"/>
          <w:highlight w:val="none"/>
        </w:rPr>
        <w:t>2.</w:t>
      </w:r>
      <w:r>
        <w:rPr>
          <w:rFonts w:hint="eastAsia" w:hAnsi="仿宋" w:cs="仿宋"/>
          <w:spacing w:val="6"/>
          <w:szCs w:val="30"/>
          <w:highlight w:val="none"/>
        </w:rPr>
        <w:t>过程部分结论</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项目会计核算符合会计基础工作规范，采购管理符合制度要求、报销审批流程合规，资金到位率、预算执行率达100%。单</w:t>
      </w:r>
      <w:r>
        <w:rPr>
          <w:rFonts w:hint="eastAsia" w:hAnsi="仿宋"/>
          <w:spacing w:val="6"/>
          <w:szCs w:val="30"/>
          <w:highlight w:val="none"/>
        </w:rPr>
        <w:t>位制定了资金管理、会议规则等制度，制度内容基本完善</w:t>
      </w:r>
      <w:r>
        <w:rPr>
          <w:rFonts w:hint="eastAsia" w:hAnsi="仿宋" w:cs="仿宋"/>
          <w:spacing w:val="6"/>
          <w:szCs w:val="30"/>
          <w:highlight w:val="none"/>
        </w:rPr>
        <w:t>能保障项目资金的安全、有效、合规使用。</w:t>
      </w:r>
    </w:p>
    <w:p>
      <w:pPr>
        <w:spacing w:line="590" w:lineRule="exact"/>
        <w:ind w:firstLine="624" w:firstLineChars="200"/>
        <w:rPr>
          <w:rFonts w:hAnsi="仿宋" w:cs="仿宋"/>
          <w:spacing w:val="6"/>
          <w:szCs w:val="30"/>
          <w:highlight w:val="none"/>
        </w:rPr>
      </w:pPr>
      <w:r>
        <w:rPr>
          <w:rFonts w:hAnsi="仿宋" w:cs="仿宋"/>
          <w:spacing w:val="6"/>
          <w:szCs w:val="30"/>
          <w:highlight w:val="none"/>
        </w:rPr>
        <w:t>3.产出部分结论</w:t>
      </w:r>
    </w:p>
    <w:p>
      <w:pPr>
        <w:spacing w:line="590" w:lineRule="exact"/>
        <w:ind w:firstLine="624" w:firstLineChars="200"/>
        <w:rPr>
          <w:rFonts w:asciiTheme="minorEastAsia" w:hAnsiTheme="minorEastAsia" w:cstheme="minorEastAsia"/>
          <w:spacing w:val="6"/>
          <w:sz w:val="28"/>
          <w:szCs w:val="28"/>
          <w:highlight w:val="none"/>
        </w:rPr>
      </w:pPr>
      <w:r>
        <w:rPr>
          <w:rFonts w:hint="eastAsia" w:hAnsi="仿宋" w:cs="仿宋"/>
          <w:spacing w:val="6"/>
          <w:szCs w:val="30"/>
          <w:highlight w:val="none"/>
        </w:rPr>
        <w:t>2023年演示中心使用72次，其中收费活动均按合同要求标准收费；</w:t>
      </w:r>
      <w:r>
        <w:rPr>
          <w:rFonts w:hint="eastAsia" w:hAnsi="仿宋"/>
          <w:spacing w:val="6"/>
          <w:szCs w:val="30"/>
          <w:highlight w:val="none"/>
        </w:rPr>
        <w:t>设施设备正常使用率100%、租赁程序合规率100%、</w:t>
      </w:r>
      <w:r>
        <w:rPr>
          <w:rFonts w:hint="eastAsia" w:hAnsi="仿宋" w:cs="仿宋"/>
          <w:spacing w:val="6"/>
          <w:szCs w:val="30"/>
          <w:highlight w:val="none"/>
        </w:rPr>
        <w:t>项目招标管理合规性100%</w:t>
      </w:r>
      <w:r>
        <w:rPr>
          <w:rFonts w:hint="eastAsia" w:hAnsi="仿宋"/>
          <w:spacing w:val="6"/>
          <w:szCs w:val="30"/>
          <w:highlight w:val="none"/>
        </w:rPr>
        <w:t>。但昆明金鼎物业服务有限公司（服务受托主体））对设备的维护检查未形成台账资料，项目管理规范性有待进一步加强。</w:t>
      </w:r>
    </w:p>
    <w:p>
      <w:pPr>
        <w:spacing w:line="590" w:lineRule="exact"/>
        <w:ind w:firstLine="624" w:firstLineChars="200"/>
        <w:rPr>
          <w:rFonts w:hAnsi="仿宋" w:cs="仿宋"/>
          <w:spacing w:val="6"/>
          <w:szCs w:val="30"/>
          <w:highlight w:val="none"/>
        </w:rPr>
      </w:pPr>
      <w:r>
        <w:rPr>
          <w:rFonts w:hAnsi="仿宋" w:cs="仿宋"/>
          <w:spacing w:val="6"/>
          <w:szCs w:val="30"/>
          <w:highlight w:val="none"/>
        </w:rPr>
        <w:t>4.效益部分结论</w:t>
      </w:r>
    </w:p>
    <w:p>
      <w:pPr>
        <w:pStyle w:val="25"/>
        <w:spacing w:line="590" w:lineRule="exact"/>
        <w:ind w:firstLine="624" w:firstLineChars="200"/>
        <w:rPr>
          <w:rFonts w:hint="default" w:ascii="仿宋" w:hAnsi="仿宋" w:eastAsia="仿宋" w:cs="仿宋"/>
          <w:color w:val="auto"/>
          <w:spacing w:val="6"/>
          <w:kern w:val="30"/>
          <w:sz w:val="30"/>
          <w:szCs w:val="30"/>
          <w:highlight w:val="none"/>
          <w:lang w:eastAsia="zh-Hans"/>
        </w:rPr>
      </w:pPr>
      <w:r>
        <w:rPr>
          <w:rFonts w:ascii="仿宋" w:hAnsi="仿宋" w:eastAsia="仿宋" w:cs="仿宋"/>
          <w:color w:val="auto"/>
          <w:spacing w:val="6"/>
          <w:kern w:val="30"/>
          <w:sz w:val="30"/>
          <w:szCs w:val="30"/>
          <w:highlight w:val="none"/>
        </w:rPr>
        <w:t>通过项目实施，</w:t>
      </w:r>
      <w:r>
        <w:rPr>
          <w:rFonts w:ascii="仿宋" w:hAnsi="仿宋" w:eastAsia="仿宋"/>
          <w:color w:val="auto"/>
          <w:spacing w:val="6"/>
          <w:kern w:val="30"/>
          <w:sz w:val="30"/>
          <w:szCs w:val="30"/>
          <w:highlight w:val="none"/>
        </w:rPr>
        <w:t>为企业提供了多元化服务，有效吸引平台外企业，发挥园区公共服务平台效能的同时进一步提升了广告产业园区的品牌影响力。结</w:t>
      </w:r>
      <w:r>
        <w:rPr>
          <w:rFonts w:ascii="仿宋" w:hAnsi="仿宋" w:eastAsia="仿宋" w:cs="仿宋"/>
          <w:color w:val="auto"/>
          <w:spacing w:val="6"/>
          <w:kern w:val="30"/>
          <w:sz w:val="30"/>
          <w:szCs w:val="30"/>
          <w:highlight w:val="none"/>
        </w:rPr>
        <w:t>合问卷调查情况来看，服务对象满意度较高。</w:t>
      </w:r>
    </w:p>
    <w:p>
      <w:pPr>
        <w:spacing w:line="590" w:lineRule="exact"/>
        <w:ind w:firstLine="624" w:firstLineChars="200"/>
        <w:outlineLvl w:val="1"/>
        <w:rPr>
          <w:rFonts w:ascii="楷体" w:hAnsi="楷体" w:eastAsia="楷体"/>
          <w:bCs/>
          <w:spacing w:val="6"/>
          <w:szCs w:val="30"/>
          <w:highlight w:val="none"/>
        </w:rPr>
      </w:pPr>
      <w:bookmarkStart w:id="60" w:name="_Toc699"/>
      <w:bookmarkStart w:id="61" w:name="_Toc7553"/>
      <w:bookmarkStart w:id="62" w:name="_Toc29463"/>
      <w:r>
        <w:rPr>
          <w:rFonts w:hint="eastAsia" w:ascii="楷体" w:hAnsi="楷体" w:eastAsia="楷体"/>
          <w:bCs/>
          <w:spacing w:val="6"/>
          <w:szCs w:val="30"/>
          <w:highlight w:val="none"/>
        </w:rPr>
        <w:t>（二）绩效目标实现情况</w:t>
      </w:r>
      <w:bookmarkEnd w:id="59"/>
      <w:bookmarkEnd w:id="60"/>
      <w:bookmarkEnd w:id="61"/>
      <w:bookmarkEnd w:id="62"/>
    </w:p>
    <w:p>
      <w:pPr>
        <w:spacing w:line="590" w:lineRule="exact"/>
        <w:ind w:firstLine="624" w:firstLineChars="200"/>
        <w:rPr>
          <w:rFonts w:hAnsi="仿宋"/>
          <w:spacing w:val="6"/>
          <w:szCs w:val="30"/>
          <w:highlight w:val="none"/>
        </w:rPr>
      </w:pPr>
      <w:bookmarkStart w:id="63" w:name="_Toc48228602"/>
      <w:bookmarkStart w:id="64" w:name="_Toc7426"/>
      <w:bookmarkStart w:id="65" w:name="_Toc48228516"/>
      <w:bookmarkStart w:id="66" w:name="_Hlk525314457"/>
      <w:r>
        <w:rPr>
          <w:rFonts w:hint="eastAsia" w:hAnsi="仿宋"/>
          <w:spacing w:val="6"/>
          <w:szCs w:val="30"/>
          <w:highlight w:val="none"/>
        </w:rPr>
        <w:t>根据评价情况，五华产业园区管委会公共服务平台项目支出绩效目标实现情况较好，产出和效益共10项具体绩效指标，10项均实现预期目标。</w:t>
      </w:r>
      <w:bookmarkEnd w:id="63"/>
      <w:bookmarkEnd w:id="64"/>
      <w:bookmarkEnd w:id="65"/>
    </w:p>
    <w:bookmarkEnd w:id="66"/>
    <w:p>
      <w:pPr>
        <w:spacing w:line="590" w:lineRule="exact"/>
        <w:ind w:firstLine="624" w:firstLineChars="200"/>
        <w:outlineLvl w:val="0"/>
        <w:rPr>
          <w:rFonts w:ascii="黑体" w:hAnsi="宋体" w:eastAsia="黑体" w:cs="宋体"/>
          <w:spacing w:val="6"/>
          <w:szCs w:val="30"/>
          <w:highlight w:val="none"/>
        </w:rPr>
      </w:pPr>
      <w:bookmarkStart w:id="67" w:name="_Toc6455"/>
      <w:bookmarkStart w:id="68" w:name="_Toc19135"/>
      <w:bookmarkStart w:id="69" w:name="_Toc7378"/>
      <w:bookmarkStart w:id="70" w:name="_Toc536428369"/>
      <w:r>
        <w:rPr>
          <w:rFonts w:hint="eastAsia" w:ascii="黑体" w:hAnsi="宋体" w:eastAsia="黑体" w:cs="宋体"/>
          <w:spacing w:val="6"/>
          <w:szCs w:val="30"/>
          <w:highlight w:val="none"/>
        </w:rPr>
        <w:t>五、绩效评价情况分析</w:t>
      </w:r>
      <w:bookmarkEnd w:id="67"/>
      <w:bookmarkEnd w:id="68"/>
      <w:bookmarkEnd w:id="69"/>
      <w:bookmarkEnd w:id="70"/>
    </w:p>
    <w:p>
      <w:pPr>
        <w:spacing w:line="590" w:lineRule="exact"/>
        <w:ind w:firstLine="624" w:firstLineChars="200"/>
        <w:outlineLvl w:val="1"/>
        <w:rPr>
          <w:rFonts w:ascii="楷体" w:hAnsi="楷体" w:eastAsia="楷体"/>
          <w:bCs/>
          <w:spacing w:val="6"/>
          <w:szCs w:val="30"/>
          <w:highlight w:val="none"/>
        </w:rPr>
      </w:pPr>
      <w:bookmarkStart w:id="71" w:name="_Toc536428370"/>
      <w:bookmarkStart w:id="72" w:name="_Toc1652"/>
      <w:bookmarkStart w:id="73" w:name="_Toc21863"/>
      <w:bookmarkStart w:id="74" w:name="_Toc5153"/>
      <w:r>
        <w:rPr>
          <w:rFonts w:hint="eastAsia" w:ascii="楷体" w:hAnsi="楷体" w:eastAsia="楷体"/>
          <w:bCs/>
          <w:spacing w:val="6"/>
          <w:szCs w:val="30"/>
          <w:highlight w:val="none"/>
        </w:rPr>
        <w:t>（一）决策情况分析</w:t>
      </w:r>
      <w:bookmarkEnd w:id="71"/>
      <w:bookmarkEnd w:id="72"/>
      <w:bookmarkEnd w:id="73"/>
      <w:bookmarkEnd w:id="74"/>
    </w:p>
    <w:p>
      <w:pPr>
        <w:spacing w:line="590" w:lineRule="exact"/>
        <w:ind w:firstLine="624" w:firstLineChars="200"/>
        <w:rPr>
          <w:rFonts w:hAnsi="仿宋"/>
          <w:spacing w:val="6"/>
          <w:szCs w:val="30"/>
          <w:highlight w:val="none"/>
        </w:rPr>
      </w:pPr>
      <w:r>
        <w:rPr>
          <w:rFonts w:hint="eastAsia" w:hAnsi="仿宋"/>
          <w:spacing w:val="6"/>
          <w:szCs w:val="30"/>
          <w:highlight w:val="none"/>
        </w:rPr>
        <w:t>项目决策包括项目立项、绩效目标和资金投入三方面，该项满分20.00分，综合评价得分为17分，得分率85%。具体分析情况如下：</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1．项目立项</w:t>
      </w:r>
    </w:p>
    <w:p>
      <w:pPr>
        <w:spacing w:line="590" w:lineRule="exact"/>
        <w:ind w:firstLine="624" w:firstLineChars="200"/>
        <w:rPr>
          <w:rFonts w:hAnsi="仿宋"/>
          <w:spacing w:val="6"/>
          <w:szCs w:val="30"/>
          <w:highlight w:val="none"/>
        </w:rPr>
      </w:pPr>
      <w:r>
        <w:rPr>
          <w:rFonts w:hint="eastAsia" w:hAnsi="仿宋"/>
          <w:spacing w:val="6"/>
          <w:szCs w:val="30"/>
          <w:highlight w:val="none"/>
        </w:rPr>
        <w:t>依据《2023年第1次主任办公会会议纪要》中“关于审议五华科技产业园2023年预算方案的请示”项目按照规定的程序申请设立；项目编写了</w:t>
      </w:r>
      <w:r>
        <w:rPr>
          <w:rFonts w:hint="eastAsia" w:hAnsi="仿宋" w:cs="仿宋"/>
          <w:spacing w:val="6"/>
          <w:szCs w:val="30"/>
          <w:highlight w:val="none"/>
          <w:lang w:bidi="zh-TW"/>
        </w:rPr>
        <w:t>《昆明国家广告产业园新媒体演示中心二期委托管理服务方案》并通过了“</w:t>
      </w:r>
      <w:r>
        <w:rPr>
          <w:rFonts w:hint="eastAsia" w:hAnsi="仿宋" w:cs="仿宋"/>
          <w:spacing w:val="6"/>
          <w:szCs w:val="30"/>
          <w:highlight w:val="none"/>
        </w:rPr>
        <w:t>2023年第3次主任办公会会议</w:t>
      </w:r>
      <w:r>
        <w:rPr>
          <w:rFonts w:hint="eastAsia" w:hAnsi="仿宋" w:cs="仿宋"/>
          <w:spacing w:val="6"/>
          <w:szCs w:val="30"/>
          <w:highlight w:val="none"/>
          <w:lang w:bidi="zh-TW"/>
        </w:rPr>
        <w:t>”</w:t>
      </w:r>
      <w:r>
        <w:rPr>
          <w:rFonts w:hint="eastAsia" w:hAnsi="仿宋"/>
          <w:spacing w:val="6"/>
          <w:szCs w:val="30"/>
          <w:highlight w:val="none"/>
        </w:rPr>
        <w:t>项目立项依据文件、材料充分，</w:t>
      </w:r>
      <w:r>
        <w:rPr>
          <w:rFonts w:hint="eastAsia" w:hAnsi="仿宋"/>
          <w:spacing w:val="6"/>
          <w:highlight w:val="none"/>
        </w:rPr>
        <w:t>符合国家法律法规和相关政策的通知，与部门职责密切相关</w:t>
      </w:r>
      <w:r>
        <w:rPr>
          <w:rFonts w:hint="eastAsia" w:hAnsi="仿宋"/>
          <w:spacing w:val="6"/>
          <w:szCs w:val="30"/>
          <w:highlight w:val="none"/>
        </w:rPr>
        <w:t>。</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2．绩效目标</w:t>
      </w:r>
    </w:p>
    <w:p>
      <w:pPr>
        <w:spacing w:line="590" w:lineRule="exact"/>
        <w:ind w:firstLine="624" w:firstLineChars="200"/>
        <w:rPr>
          <w:rFonts w:hAnsi="仿宋"/>
          <w:spacing w:val="6"/>
          <w:szCs w:val="30"/>
          <w:highlight w:val="none"/>
        </w:rPr>
      </w:pPr>
      <w:bookmarkStart w:id="75" w:name="_Toc536428371"/>
      <w:r>
        <w:rPr>
          <w:rFonts w:hint="eastAsia" w:hAnsi="仿宋"/>
          <w:spacing w:val="6"/>
          <w:szCs w:val="30"/>
          <w:highlight w:val="none"/>
        </w:rPr>
        <w:t>项目的申报通过了集体决策，在项目实施方案中对项目实施的总体目标进行了一定描述，但未明确阐述分年度的绩效目标，并规范设置对应绩效指标，项目目标及指标设置规范性有待进一步加强。</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3．资金投入</w:t>
      </w:r>
    </w:p>
    <w:p>
      <w:pPr>
        <w:spacing w:line="590" w:lineRule="exact"/>
        <w:ind w:firstLine="624" w:firstLineChars="200"/>
        <w:rPr>
          <w:rFonts w:hAnsi="仿宋"/>
          <w:spacing w:val="6"/>
          <w:szCs w:val="30"/>
          <w:highlight w:val="none"/>
        </w:rPr>
      </w:pPr>
      <w:r>
        <w:rPr>
          <w:rFonts w:hint="eastAsia" w:hAnsi="仿宋" w:cs="仿宋"/>
          <w:spacing w:val="6"/>
          <w:szCs w:val="30"/>
          <w:highlight w:val="none"/>
          <w:lang w:bidi="zh-TW"/>
        </w:rPr>
        <w:t>通过对第一期演示中心收支明细的情况分析，以上期实际经济活动及其预算基础为依据编制第二期项目经费，</w:t>
      </w:r>
      <w:r>
        <w:rPr>
          <w:rFonts w:hint="eastAsia" w:hAnsi="仿宋"/>
          <w:spacing w:val="6"/>
          <w:szCs w:val="30"/>
          <w:highlight w:val="none"/>
        </w:rPr>
        <w:t>预算编制有历史依据，资金支付按照合同约定支付，预算内容与项目内容匹配，预算额度测算依据充分，预算确定的项目资金量与工作任务相匹配。</w:t>
      </w:r>
    </w:p>
    <w:p>
      <w:pPr>
        <w:spacing w:line="590" w:lineRule="exact"/>
        <w:ind w:firstLine="624" w:firstLineChars="200"/>
        <w:outlineLvl w:val="1"/>
        <w:rPr>
          <w:rFonts w:ascii="楷体" w:hAnsi="楷体" w:eastAsia="楷体"/>
          <w:bCs/>
          <w:spacing w:val="6"/>
          <w:szCs w:val="30"/>
          <w:highlight w:val="none"/>
        </w:rPr>
      </w:pPr>
      <w:bookmarkStart w:id="76" w:name="_Toc28027"/>
      <w:bookmarkStart w:id="77" w:name="_Toc29472"/>
      <w:bookmarkStart w:id="78" w:name="_Toc17314"/>
      <w:r>
        <w:rPr>
          <w:rFonts w:hint="eastAsia" w:ascii="楷体" w:hAnsi="楷体" w:eastAsia="楷体"/>
          <w:bCs/>
          <w:spacing w:val="6"/>
          <w:szCs w:val="30"/>
          <w:highlight w:val="none"/>
        </w:rPr>
        <w:t>（二）过程情况分析</w:t>
      </w:r>
      <w:bookmarkEnd w:id="75"/>
      <w:bookmarkEnd w:id="76"/>
      <w:bookmarkEnd w:id="77"/>
      <w:bookmarkEnd w:id="78"/>
    </w:p>
    <w:p>
      <w:pPr>
        <w:spacing w:line="590" w:lineRule="exact"/>
        <w:ind w:firstLine="624" w:firstLineChars="200"/>
        <w:rPr>
          <w:rFonts w:asciiTheme="minorEastAsia" w:hAnsiTheme="minorEastAsia" w:eastAsiaTheme="minorEastAsia" w:cstheme="minorEastAsia"/>
          <w:spacing w:val="6"/>
          <w:sz w:val="28"/>
          <w:szCs w:val="28"/>
          <w:highlight w:val="none"/>
        </w:rPr>
      </w:pPr>
      <w:r>
        <w:rPr>
          <w:rFonts w:hint="eastAsia" w:hAnsi="仿宋"/>
          <w:spacing w:val="6"/>
          <w:szCs w:val="30"/>
          <w:highlight w:val="none"/>
        </w:rPr>
        <w:t>项目过程包括资金管理和组织实施两方面，该项满分20.00分，综合评价得分为20分，得分率100%。具体分析情况如下：</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1．资金管理</w:t>
      </w:r>
    </w:p>
    <w:p>
      <w:pPr>
        <w:spacing w:line="590" w:lineRule="exact"/>
        <w:ind w:firstLine="624" w:firstLineChars="200"/>
        <w:rPr>
          <w:rFonts w:hAnsi="仿宋"/>
          <w:spacing w:val="6"/>
          <w:szCs w:val="30"/>
          <w:highlight w:val="none"/>
        </w:rPr>
      </w:pPr>
      <w:r>
        <w:rPr>
          <w:rFonts w:hint="eastAsia" w:hAnsi="仿宋"/>
          <w:spacing w:val="6"/>
          <w:szCs w:val="30"/>
          <w:highlight w:val="none"/>
        </w:rPr>
        <w:t>2023年项目资金到位率、执行率均为100%。项目实施过程中主要按照</w:t>
      </w:r>
      <w:r>
        <w:rPr>
          <w:rFonts w:hint="eastAsia" w:hAnsi="仿宋" w:cs="仿宋"/>
          <w:spacing w:val="6"/>
          <w:kern w:val="2"/>
          <w:szCs w:val="30"/>
          <w:highlight w:val="none"/>
          <w:lang w:val="zh-CN"/>
        </w:rPr>
        <w:t>《云南五华产业园区管委会主任办公会议规则》</w:t>
      </w:r>
      <w:r>
        <w:rPr>
          <w:rFonts w:hint="eastAsia" w:hAnsi="仿宋" w:cs="仿宋"/>
          <w:spacing w:val="6"/>
          <w:kern w:val="2"/>
          <w:szCs w:val="30"/>
          <w:highlight w:val="none"/>
        </w:rPr>
        <w:t>《云南五华产业园区资金管理办法》</w:t>
      </w:r>
      <w:r>
        <w:rPr>
          <w:rFonts w:hint="eastAsia" w:hAnsi="仿宋"/>
          <w:spacing w:val="6"/>
          <w:szCs w:val="30"/>
          <w:highlight w:val="none"/>
        </w:rPr>
        <w:t>等执行内部审批流程，资金的拨付有完整的审批程序和手续，会计工作符合会计基础工作规范。</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2．组织实施</w:t>
      </w:r>
    </w:p>
    <w:p>
      <w:pPr>
        <w:spacing w:line="590" w:lineRule="exact"/>
        <w:ind w:firstLine="624" w:firstLineChars="200"/>
        <w:rPr>
          <w:rFonts w:hAnsi="仿宋"/>
          <w:spacing w:val="6"/>
          <w:szCs w:val="30"/>
          <w:highlight w:val="none"/>
        </w:rPr>
      </w:pPr>
      <w:r>
        <w:rPr>
          <w:rFonts w:hint="eastAsia" w:hAnsi="仿宋" w:cs="仿宋"/>
          <w:spacing w:val="6"/>
          <w:szCs w:val="30"/>
          <w:highlight w:val="none"/>
        </w:rPr>
        <w:t>五华产业园区管委会制定了</w:t>
      </w:r>
      <w:r>
        <w:rPr>
          <w:rFonts w:hint="eastAsia" w:hAnsi="仿宋" w:cs="仿宋"/>
          <w:spacing w:val="6"/>
          <w:kern w:val="2"/>
          <w:szCs w:val="30"/>
          <w:highlight w:val="none"/>
          <w:lang w:val="zh-CN"/>
        </w:rPr>
        <w:t>《五华科技产业园管理委员会内部管理制度汇编》《云南五华产业园区管委会贯彻落实 “三重一大”事项集体决策制度的实施细则》《云南五华产业园区管委会主任办公会议规则》</w:t>
      </w:r>
      <w:r>
        <w:rPr>
          <w:rFonts w:hint="eastAsia" w:hAnsi="仿宋" w:cs="仿宋"/>
          <w:spacing w:val="6"/>
          <w:kern w:val="2"/>
          <w:szCs w:val="30"/>
          <w:highlight w:val="none"/>
        </w:rPr>
        <w:t>《云南五华产业园区资金管理办法》</w:t>
      </w:r>
      <w:r>
        <w:rPr>
          <w:rFonts w:hint="eastAsia" w:hAnsi="仿宋" w:cs="仿宋"/>
          <w:spacing w:val="6"/>
          <w:szCs w:val="30"/>
          <w:highlight w:val="none"/>
        </w:rPr>
        <w:t>等管理办法，</w:t>
      </w:r>
      <w:r>
        <w:rPr>
          <w:rFonts w:hint="eastAsia" w:hAnsi="仿宋"/>
          <w:spacing w:val="6"/>
          <w:szCs w:val="30"/>
          <w:highlight w:val="none"/>
        </w:rPr>
        <w:t>对项目开展有一定指导性。项目开展过程中采购制度执行、项目操作流程管理、台账建立等符合</w:t>
      </w:r>
      <w:r>
        <w:rPr>
          <w:rFonts w:hint="eastAsia" w:hAnsi="仿宋" w:cs="仿宋"/>
          <w:spacing w:val="6"/>
          <w:szCs w:val="30"/>
          <w:highlight w:val="none"/>
          <w:lang w:bidi="zh-TW"/>
        </w:rPr>
        <w:t>服务方案及合同内容要求</w:t>
      </w:r>
      <w:r>
        <w:rPr>
          <w:rFonts w:hint="eastAsia" w:hAnsi="仿宋"/>
          <w:spacing w:val="6"/>
          <w:szCs w:val="30"/>
          <w:highlight w:val="none"/>
        </w:rPr>
        <w:t>，制度执行效果良好。</w:t>
      </w:r>
    </w:p>
    <w:p>
      <w:pPr>
        <w:spacing w:line="590" w:lineRule="exact"/>
        <w:ind w:firstLine="624" w:firstLineChars="200"/>
        <w:outlineLvl w:val="1"/>
        <w:rPr>
          <w:rFonts w:ascii="楷体" w:hAnsi="楷体" w:eastAsia="楷体"/>
          <w:bCs/>
          <w:spacing w:val="6"/>
          <w:szCs w:val="30"/>
          <w:highlight w:val="none"/>
        </w:rPr>
      </w:pPr>
      <w:bookmarkStart w:id="79" w:name="_Toc536428372"/>
      <w:bookmarkStart w:id="80" w:name="_Toc23551"/>
      <w:bookmarkStart w:id="81" w:name="_Toc28556"/>
      <w:bookmarkStart w:id="82" w:name="_Toc31910"/>
      <w:r>
        <w:rPr>
          <w:rFonts w:hint="eastAsia" w:ascii="楷体" w:hAnsi="楷体" w:eastAsia="楷体"/>
          <w:bCs/>
          <w:spacing w:val="6"/>
          <w:szCs w:val="30"/>
          <w:highlight w:val="none"/>
        </w:rPr>
        <w:t>（三）产出情况分析</w:t>
      </w:r>
      <w:bookmarkEnd w:id="79"/>
      <w:bookmarkEnd w:id="80"/>
      <w:bookmarkEnd w:id="81"/>
      <w:bookmarkEnd w:id="82"/>
    </w:p>
    <w:p>
      <w:pPr>
        <w:spacing w:line="590" w:lineRule="exact"/>
        <w:ind w:firstLine="624" w:firstLineChars="200"/>
        <w:rPr>
          <w:rFonts w:hAnsi="仿宋"/>
          <w:spacing w:val="6"/>
          <w:szCs w:val="30"/>
          <w:highlight w:val="none"/>
        </w:rPr>
      </w:pPr>
      <w:r>
        <w:rPr>
          <w:rFonts w:hint="eastAsia" w:hAnsi="仿宋"/>
          <w:spacing w:val="6"/>
          <w:szCs w:val="30"/>
          <w:highlight w:val="none"/>
        </w:rPr>
        <w:t>产出指标满分30.00分，包括项目产出数量、产出质量、产出时效、产出成本4个二级指标。此项综合评价得分为28.00分，得分率93%。具体分析情况如下：</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1．产出数量</w:t>
      </w:r>
    </w:p>
    <w:p>
      <w:pPr>
        <w:spacing w:line="590" w:lineRule="exact"/>
        <w:ind w:firstLine="624" w:firstLineChars="200"/>
        <w:rPr>
          <w:rFonts w:hAnsi="仿宋"/>
          <w:spacing w:val="6"/>
          <w:szCs w:val="30"/>
          <w:highlight w:val="none"/>
        </w:rPr>
      </w:pPr>
      <w:r>
        <w:rPr>
          <w:rFonts w:hint="eastAsia" w:hAnsi="仿宋"/>
          <w:spacing w:val="6"/>
          <w:szCs w:val="30"/>
          <w:highlight w:val="none"/>
        </w:rPr>
        <w:t>2023年演示中心使用72次，其中：按照合同规定免费接待五华产业园区管委会活动4次、开展调研58次、提供活动场地服务10次，10次服务均按合同要求标准收费。</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2．产出质量</w:t>
      </w:r>
    </w:p>
    <w:p>
      <w:pPr>
        <w:spacing w:line="590" w:lineRule="exact"/>
        <w:ind w:firstLine="624" w:firstLineChars="200"/>
        <w:rPr>
          <w:rFonts w:asciiTheme="minorEastAsia" w:hAnsiTheme="minorEastAsia" w:cstheme="minorEastAsia"/>
          <w:spacing w:val="6"/>
          <w:sz w:val="28"/>
          <w:szCs w:val="28"/>
          <w:highlight w:val="none"/>
        </w:rPr>
      </w:pPr>
      <w:bookmarkStart w:id="83" w:name="_Toc536428373"/>
      <w:r>
        <w:rPr>
          <w:rFonts w:hint="eastAsia" w:hAnsi="仿宋"/>
          <w:spacing w:val="6"/>
          <w:szCs w:val="30"/>
          <w:highlight w:val="none"/>
        </w:rPr>
        <w:t>根据昆明金鼎物业服务有限公司提供的情况说明，其按照合同约定在服务期内对演示中心内设备进行及时的维护管理，保障设备正常运行，设施设备正常使用率100%；但昆明金鼎物业服务有限公司对设备的维护检查未形成台账资料，项目管理规范性有待进一步加强。</w:t>
      </w:r>
    </w:p>
    <w:p>
      <w:pPr>
        <w:spacing w:line="590" w:lineRule="exact"/>
        <w:ind w:firstLine="624" w:firstLineChars="200"/>
        <w:rPr>
          <w:rFonts w:hAnsi="仿宋"/>
          <w:spacing w:val="6"/>
          <w:szCs w:val="30"/>
          <w:highlight w:val="none"/>
        </w:rPr>
      </w:pPr>
      <w:r>
        <w:rPr>
          <w:rFonts w:hint="eastAsia" w:hAnsi="仿宋"/>
          <w:spacing w:val="6"/>
          <w:szCs w:val="30"/>
          <w:highlight w:val="none"/>
        </w:rPr>
        <w:t>根据双创服务中心提供台账，昆明金鼎物业服务有限公司提供10场会务活动均按合同规定流程填制使用审批表由双创服务中心审批后签署使用协议，服务结束后开展满意度调查并形成台账备查，租赁程序合规率100%；</w:t>
      </w:r>
      <w:r>
        <w:rPr>
          <w:rFonts w:hint="eastAsia" w:hAnsi="仿宋" w:cs="仿宋"/>
          <w:spacing w:val="6"/>
          <w:szCs w:val="30"/>
          <w:highlight w:val="none"/>
        </w:rPr>
        <w:t>项目通过竞争性磋商的采购方式确认委托管理服务主体，过程资料整理成册，项目招标管理合规性100%</w:t>
      </w:r>
      <w:r>
        <w:rPr>
          <w:rFonts w:hint="eastAsia" w:hAnsi="仿宋"/>
          <w:spacing w:val="6"/>
          <w:szCs w:val="30"/>
          <w:highlight w:val="none"/>
        </w:rPr>
        <w:t xml:space="preserve">。     </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3．产出时效</w:t>
      </w:r>
    </w:p>
    <w:p>
      <w:pPr>
        <w:spacing w:line="590" w:lineRule="exact"/>
        <w:ind w:firstLine="624" w:firstLineChars="200"/>
        <w:rPr>
          <w:rFonts w:hAnsi="仿宋"/>
          <w:spacing w:val="6"/>
          <w:szCs w:val="30"/>
          <w:highlight w:val="none"/>
        </w:rPr>
      </w:pPr>
      <w:r>
        <w:rPr>
          <w:rFonts w:hint="eastAsia" w:hAnsi="仿宋"/>
          <w:spacing w:val="6"/>
          <w:szCs w:val="30"/>
          <w:highlight w:val="none"/>
        </w:rPr>
        <w:t>项目于2023年年度内完成，项目时效管理到位。</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4．产出成本</w:t>
      </w:r>
    </w:p>
    <w:p>
      <w:pPr>
        <w:spacing w:line="590" w:lineRule="exact"/>
        <w:ind w:firstLine="624" w:firstLineChars="200"/>
        <w:rPr>
          <w:rFonts w:hAnsi="仿宋"/>
          <w:spacing w:val="6"/>
          <w:szCs w:val="30"/>
          <w:highlight w:val="none"/>
        </w:rPr>
      </w:pPr>
      <w:r>
        <w:rPr>
          <w:rFonts w:hint="eastAsia" w:hAnsi="仿宋"/>
          <w:spacing w:val="6"/>
          <w:szCs w:val="30"/>
          <w:highlight w:val="none"/>
        </w:rPr>
        <w:t>公共服务平台项目2023年应付合同金额13万元，实际支出13万元，该项目成本控制工作到位。</w:t>
      </w:r>
    </w:p>
    <w:p>
      <w:pPr>
        <w:spacing w:line="590" w:lineRule="exact"/>
        <w:ind w:firstLine="624" w:firstLineChars="200"/>
        <w:outlineLvl w:val="1"/>
        <w:rPr>
          <w:rFonts w:ascii="楷体" w:hAnsi="楷体" w:eastAsia="楷体"/>
          <w:bCs/>
          <w:spacing w:val="6"/>
          <w:szCs w:val="30"/>
          <w:highlight w:val="none"/>
        </w:rPr>
      </w:pPr>
      <w:bookmarkStart w:id="84" w:name="_Toc2640"/>
      <w:bookmarkStart w:id="85" w:name="_Toc21553"/>
      <w:bookmarkStart w:id="86" w:name="_Toc10426"/>
      <w:r>
        <w:rPr>
          <w:rFonts w:hint="eastAsia" w:ascii="楷体" w:hAnsi="楷体" w:eastAsia="楷体"/>
          <w:bCs/>
          <w:spacing w:val="6"/>
          <w:szCs w:val="30"/>
          <w:highlight w:val="none"/>
        </w:rPr>
        <w:t>（四）效益情况分析</w:t>
      </w:r>
      <w:bookmarkEnd w:id="83"/>
      <w:bookmarkEnd w:id="84"/>
      <w:bookmarkEnd w:id="85"/>
      <w:bookmarkEnd w:id="86"/>
    </w:p>
    <w:p>
      <w:pPr>
        <w:spacing w:line="590" w:lineRule="exact"/>
        <w:ind w:firstLine="624" w:firstLineChars="200"/>
        <w:rPr>
          <w:rFonts w:hAnsi="仿宋"/>
          <w:spacing w:val="6"/>
          <w:szCs w:val="30"/>
          <w:highlight w:val="none"/>
        </w:rPr>
      </w:pPr>
      <w:r>
        <w:rPr>
          <w:rFonts w:hint="eastAsia" w:hAnsi="仿宋"/>
          <w:spacing w:val="6"/>
          <w:szCs w:val="30"/>
          <w:highlight w:val="none"/>
        </w:rPr>
        <w:t>1.社会效益</w:t>
      </w:r>
    </w:p>
    <w:p>
      <w:pPr>
        <w:spacing w:line="590" w:lineRule="exact"/>
        <w:ind w:firstLine="624" w:firstLineChars="200"/>
        <w:rPr>
          <w:rFonts w:hAnsi="仿宋"/>
          <w:spacing w:val="6"/>
          <w:szCs w:val="30"/>
          <w:highlight w:val="none"/>
        </w:rPr>
      </w:pPr>
      <w:r>
        <w:rPr>
          <w:rFonts w:hint="eastAsia" w:hAnsi="仿宋"/>
          <w:spacing w:val="6"/>
          <w:szCs w:val="30"/>
          <w:highlight w:val="none"/>
        </w:rPr>
        <w:t>效益情况指标满分30.00分，主要为社会效益。此项综合评价得分30.00分，得分率100%。具体分析情况如下：</w:t>
      </w:r>
    </w:p>
    <w:p>
      <w:pPr>
        <w:spacing w:line="590" w:lineRule="exact"/>
        <w:ind w:firstLine="624" w:firstLineChars="200"/>
        <w:rPr>
          <w:rFonts w:hAnsi="仿宋"/>
          <w:spacing w:val="6"/>
          <w:szCs w:val="30"/>
          <w:highlight w:val="none"/>
        </w:rPr>
      </w:pPr>
      <w:r>
        <w:rPr>
          <w:rFonts w:hint="eastAsia" w:hAnsi="仿宋"/>
          <w:spacing w:val="6"/>
          <w:szCs w:val="30"/>
          <w:highlight w:val="none"/>
        </w:rPr>
        <w:t>2023年演示中心使用72次，其中为6家平台外企业提供活动场地服务9次，服务内容包括会议、宣传培训、毕业典礼、动漫展、物品展等，为企业提供多元化服务，有效吸引平台外企业，发挥园区公共服务平台效能的同时进一步提升了广告产业园区的品牌影响力。</w:t>
      </w:r>
    </w:p>
    <w:p>
      <w:pPr>
        <w:spacing w:line="590" w:lineRule="exact"/>
        <w:ind w:firstLine="624" w:firstLineChars="200"/>
        <w:rPr>
          <w:rFonts w:hAnsi="仿宋" w:cs="仿宋"/>
          <w:spacing w:val="6"/>
          <w:szCs w:val="30"/>
          <w:highlight w:val="none"/>
        </w:rPr>
      </w:pPr>
      <w:r>
        <w:rPr>
          <w:rFonts w:hint="eastAsia" w:hAnsi="仿宋" w:cs="仿宋"/>
          <w:spacing w:val="6"/>
          <w:szCs w:val="30"/>
          <w:highlight w:val="none"/>
        </w:rPr>
        <w:t>2．满意度</w:t>
      </w:r>
    </w:p>
    <w:p>
      <w:pPr>
        <w:spacing w:line="590" w:lineRule="exact"/>
        <w:ind w:firstLine="624" w:firstLineChars="200"/>
        <w:rPr>
          <w:rFonts w:hAnsi="仿宋"/>
          <w:spacing w:val="6"/>
          <w:szCs w:val="30"/>
          <w:highlight w:val="none"/>
        </w:rPr>
      </w:pPr>
      <w:r>
        <w:rPr>
          <w:rFonts w:hint="eastAsia" w:hAnsi="仿宋"/>
          <w:spacing w:val="6"/>
          <w:szCs w:val="30"/>
          <w:highlight w:val="none"/>
        </w:rPr>
        <w:t>依据对平台使用企业满意度调查问卷的统计，项目满意度为100%。</w:t>
      </w:r>
    </w:p>
    <w:p>
      <w:pPr>
        <w:spacing w:line="590" w:lineRule="exact"/>
        <w:ind w:firstLine="624" w:firstLineChars="200"/>
        <w:outlineLvl w:val="0"/>
        <w:rPr>
          <w:rFonts w:ascii="黑体" w:hAnsi="宋体" w:eastAsia="黑体" w:cs="宋体"/>
          <w:spacing w:val="6"/>
          <w:szCs w:val="30"/>
          <w:highlight w:val="none"/>
        </w:rPr>
      </w:pPr>
      <w:bookmarkStart w:id="87" w:name="_Toc8648"/>
      <w:bookmarkStart w:id="88" w:name="_Toc22525"/>
      <w:bookmarkStart w:id="89" w:name="_Toc18544"/>
      <w:r>
        <w:rPr>
          <w:rFonts w:hint="eastAsia" w:ascii="黑体" w:hAnsi="宋体" w:eastAsia="黑体" w:cs="宋体"/>
          <w:spacing w:val="6"/>
          <w:szCs w:val="30"/>
          <w:highlight w:val="none"/>
        </w:rPr>
        <w:t>六、主要经验及做法</w:t>
      </w:r>
      <w:bookmarkEnd w:id="87"/>
      <w:bookmarkEnd w:id="88"/>
      <w:bookmarkEnd w:id="89"/>
    </w:p>
    <w:p>
      <w:pPr>
        <w:spacing w:line="590" w:lineRule="exact"/>
        <w:ind w:firstLine="624" w:firstLineChars="200"/>
        <w:rPr>
          <w:rFonts w:hint="default" w:hAnsi="仿宋" w:eastAsia="仿宋"/>
          <w:spacing w:val="6"/>
          <w:szCs w:val="30"/>
          <w:highlight w:val="none"/>
          <w:lang w:val="en-US" w:eastAsia="zh-CN"/>
        </w:rPr>
      </w:pPr>
      <w:bookmarkStart w:id="90" w:name="_Toc21093"/>
      <w:bookmarkStart w:id="91" w:name="_Toc13657"/>
      <w:bookmarkStart w:id="92" w:name="_Toc536428374"/>
      <w:r>
        <w:rPr>
          <w:rFonts w:hint="eastAsia" w:hAnsi="仿宋"/>
          <w:spacing w:val="6"/>
          <w:szCs w:val="30"/>
          <w:highlight w:val="none"/>
          <w:lang w:val="en-US" w:eastAsia="zh-CN"/>
        </w:rPr>
        <w:t>公共平台服务项目2020年开展第一期，2023年第二期项目的开展总结了前期工作经验、开展调研、编制工作方案，并根据二期工作方案签订合同，项目实施过程中对台账收集、管理进行跟进，确保了项目实施效果良好。</w:t>
      </w:r>
    </w:p>
    <w:p>
      <w:pPr>
        <w:spacing w:line="590" w:lineRule="exact"/>
        <w:ind w:firstLine="624" w:firstLineChars="200"/>
        <w:outlineLvl w:val="0"/>
        <w:rPr>
          <w:rFonts w:ascii="黑体" w:hAnsi="黑体" w:eastAsia="黑体" w:cs="宋体"/>
          <w:spacing w:val="6"/>
          <w:highlight w:val="none"/>
        </w:rPr>
      </w:pPr>
      <w:bookmarkStart w:id="93" w:name="_Toc30417"/>
      <w:r>
        <w:rPr>
          <w:rFonts w:hint="eastAsia" w:ascii="黑体" w:hAnsi="黑体" w:eastAsia="黑体" w:cs="宋体"/>
          <w:spacing w:val="6"/>
          <w:highlight w:val="none"/>
        </w:rPr>
        <w:t>七、存在问题</w:t>
      </w:r>
      <w:bookmarkEnd w:id="90"/>
      <w:bookmarkEnd w:id="91"/>
      <w:bookmarkEnd w:id="92"/>
      <w:bookmarkEnd w:id="93"/>
    </w:p>
    <w:p>
      <w:pPr>
        <w:spacing w:line="590" w:lineRule="exact"/>
        <w:ind w:firstLine="624" w:firstLineChars="200"/>
        <w:outlineLvl w:val="1"/>
        <w:rPr>
          <w:rFonts w:ascii="楷体" w:hAnsi="楷体" w:eastAsia="楷体"/>
          <w:bCs/>
          <w:spacing w:val="6"/>
          <w:szCs w:val="30"/>
          <w:highlight w:val="none"/>
        </w:rPr>
      </w:pPr>
      <w:bookmarkStart w:id="94" w:name="_Toc23881"/>
      <w:bookmarkStart w:id="95" w:name="_Hlk525314575"/>
      <w:r>
        <w:rPr>
          <w:rFonts w:hint="eastAsia" w:ascii="楷体" w:hAnsi="楷体" w:eastAsia="楷体"/>
          <w:bCs/>
          <w:spacing w:val="6"/>
          <w:szCs w:val="30"/>
          <w:highlight w:val="none"/>
        </w:rPr>
        <w:t>（一）绩效管理</w:t>
      </w:r>
      <w:r>
        <w:rPr>
          <w:rFonts w:hint="eastAsia" w:ascii="楷体" w:hAnsi="楷体" w:eastAsia="楷体" w:cs="宋体"/>
          <w:spacing w:val="6"/>
          <w:szCs w:val="30"/>
          <w:highlight w:val="none"/>
        </w:rPr>
        <w:t>工作待提升</w:t>
      </w:r>
    </w:p>
    <w:p>
      <w:pPr>
        <w:spacing w:line="590" w:lineRule="exact"/>
        <w:ind w:firstLine="624" w:firstLineChars="200"/>
        <w:rPr>
          <w:rFonts w:hAnsi="仿宋"/>
          <w:spacing w:val="6"/>
          <w:szCs w:val="30"/>
          <w:highlight w:val="none"/>
        </w:rPr>
      </w:pPr>
      <w:r>
        <w:rPr>
          <w:rFonts w:hint="eastAsia" w:hAnsi="仿宋"/>
          <w:spacing w:val="6"/>
          <w:szCs w:val="30"/>
          <w:highlight w:val="none"/>
        </w:rPr>
        <w:t>项目实施方案项目实施方案中对项目实施的总体目标进行了一定描述，但未明确阐述分年度的绩效目标，并规范设置对应绩效指标，项目目标及指标设置规范性有待进一步加强。</w:t>
      </w:r>
    </w:p>
    <w:p>
      <w:pPr>
        <w:spacing w:line="590" w:lineRule="exact"/>
        <w:ind w:firstLine="624" w:firstLineChars="200"/>
        <w:outlineLvl w:val="1"/>
        <w:rPr>
          <w:rFonts w:ascii="楷体" w:hAnsi="楷体" w:eastAsia="楷体"/>
          <w:bCs/>
          <w:spacing w:val="6"/>
          <w:szCs w:val="30"/>
          <w:highlight w:val="none"/>
        </w:rPr>
      </w:pPr>
      <w:r>
        <w:rPr>
          <w:rFonts w:hint="eastAsia" w:ascii="楷体" w:hAnsi="楷体" w:eastAsia="楷体"/>
          <w:bCs/>
          <w:spacing w:val="6"/>
          <w:szCs w:val="30"/>
          <w:highlight w:val="none"/>
        </w:rPr>
        <w:t>（二）项目管理规范性待提升</w:t>
      </w:r>
    </w:p>
    <w:p>
      <w:pPr>
        <w:spacing w:line="590" w:lineRule="exact"/>
        <w:ind w:firstLine="624" w:firstLineChars="200"/>
        <w:rPr>
          <w:rFonts w:ascii="楷体" w:hAnsi="楷体"/>
          <w:bCs/>
          <w:spacing w:val="6"/>
          <w:szCs w:val="30"/>
          <w:highlight w:val="none"/>
        </w:rPr>
      </w:pPr>
      <w:r>
        <w:rPr>
          <w:rFonts w:hint="eastAsia" w:hAnsi="仿宋"/>
          <w:spacing w:val="6"/>
          <w:szCs w:val="30"/>
          <w:highlight w:val="none"/>
        </w:rPr>
        <w:t>昆明金鼎物业服务有限公司对设备的维护检查未形成台账资料</w:t>
      </w:r>
      <w:r>
        <w:rPr>
          <w:rFonts w:hint="eastAsia" w:hAnsi="仿宋" w:cs="仿宋"/>
          <w:spacing w:val="6"/>
          <w:szCs w:val="30"/>
          <w:highlight w:val="none"/>
        </w:rPr>
        <w:t>，</w:t>
      </w:r>
      <w:r>
        <w:rPr>
          <w:rFonts w:hint="eastAsia" w:hAnsi="仿宋"/>
          <w:spacing w:val="6"/>
          <w:szCs w:val="30"/>
          <w:highlight w:val="none"/>
        </w:rPr>
        <w:t>对合同约定受托主体要对演示中心内设备进行及时的维护管理，保障设备正常运行无具体佐证材料，设施设备正常使用率</w:t>
      </w:r>
      <w:r>
        <w:rPr>
          <w:rFonts w:hAnsi="仿宋"/>
          <w:spacing w:val="6"/>
          <w:szCs w:val="30"/>
          <w:highlight w:val="none"/>
        </w:rPr>
        <w:t>无法考核</w:t>
      </w:r>
      <w:r>
        <w:rPr>
          <w:rFonts w:hint="eastAsia" w:hAnsi="仿宋"/>
          <w:spacing w:val="6"/>
          <w:szCs w:val="30"/>
          <w:highlight w:val="none"/>
        </w:rPr>
        <w:t>。</w:t>
      </w:r>
    </w:p>
    <w:p>
      <w:pPr>
        <w:spacing w:line="590" w:lineRule="exact"/>
        <w:ind w:firstLine="624" w:firstLineChars="200"/>
        <w:outlineLvl w:val="0"/>
        <w:rPr>
          <w:rFonts w:ascii="黑体" w:hAnsi="黑体" w:eastAsia="黑体" w:cs="宋体"/>
          <w:spacing w:val="6"/>
          <w:szCs w:val="30"/>
          <w:highlight w:val="none"/>
        </w:rPr>
      </w:pPr>
      <w:r>
        <w:rPr>
          <w:rFonts w:hint="eastAsia" w:ascii="黑体" w:hAnsi="黑体" w:eastAsia="黑体" w:cs="宋体"/>
          <w:spacing w:val="6"/>
          <w:szCs w:val="30"/>
          <w:highlight w:val="none"/>
        </w:rPr>
        <w:t>八、有关建议</w:t>
      </w:r>
      <w:bookmarkEnd w:id="94"/>
    </w:p>
    <w:p>
      <w:pPr>
        <w:ind w:firstLine="624" w:firstLineChars="200"/>
        <w:outlineLvl w:val="1"/>
        <w:rPr>
          <w:rFonts w:ascii="楷体" w:hAnsi="楷体" w:eastAsia="楷体" w:cs="宋体"/>
          <w:spacing w:val="6"/>
          <w:szCs w:val="30"/>
          <w:highlight w:val="none"/>
        </w:rPr>
      </w:pPr>
      <w:bookmarkStart w:id="96" w:name="_Toc143096358"/>
      <w:r>
        <w:rPr>
          <w:rFonts w:hint="eastAsia" w:ascii="楷体" w:hAnsi="楷体" w:eastAsia="楷体" w:cs="宋体"/>
          <w:spacing w:val="6"/>
          <w:szCs w:val="30"/>
          <w:highlight w:val="none"/>
        </w:rPr>
        <w:t>（一）</w:t>
      </w:r>
      <w:bookmarkEnd w:id="96"/>
      <w:r>
        <w:rPr>
          <w:rFonts w:hint="eastAsia" w:ascii="楷体" w:hAnsi="楷体" w:eastAsia="楷体" w:cs="宋体"/>
          <w:spacing w:val="6"/>
          <w:szCs w:val="30"/>
          <w:highlight w:val="none"/>
        </w:rPr>
        <w:t>强化绩效管理意识，提高绩效管理水平</w:t>
      </w:r>
    </w:p>
    <w:p>
      <w:pPr>
        <w:ind w:firstLine="600" w:firstLineChars="200"/>
        <w:rPr>
          <w:rFonts w:hAnsi="仿宋"/>
          <w:szCs w:val="30"/>
          <w:highlight w:val="none"/>
        </w:rPr>
      </w:pPr>
      <w:r>
        <w:rPr>
          <w:rFonts w:hint="eastAsia" w:hAnsi="仿宋"/>
          <w:szCs w:val="30"/>
          <w:highlight w:val="none"/>
        </w:rPr>
        <w:t>项目实施部门在编制项目实施方案时，应按“花钱必问效、无效必问责”的财政资金使用管理要求，完整明确项目的总体绩效目标，充分反映绩效目标的实施成效。并申报年度预算资金时合理设立年度绩效目标，科学设置绩效指标，加强项目的全过程绩效管理工作。</w:t>
      </w:r>
    </w:p>
    <w:p>
      <w:pPr>
        <w:ind w:firstLine="624" w:firstLineChars="200"/>
        <w:outlineLvl w:val="1"/>
        <w:rPr>
          <w:rFonts w:hAnsi="仿宋" w:cstheme="minorEastAsia"/>
          <w:spacing w:val="6"/>
          <w:szCs w:val="30"/>
          <w:highlight w:val="none"/>
        </w:rPr>
      </w:pPr>
      <w:bookmarkStart w:id="97" w:name="_Toc143096360"/>
      <w:r>
        <w:rPr>
          <w:rFonts w:hint="eastAsia" w:ascii="楷体" w:hAnsi="楷体" w:eastAsia="楷体" w:cs="宋体"/>
          <w:spacing w:val="6"/>
          <w:szCs w:val="30"/>
          <w:highlight w:val="none"/>
        </w:rPr>
        <w:t>（二）</w:t>
      </w:r>
      <w:r>
        <w:rPr>
          <w:rFonts w:hint="eastAsia" w:ascii="楷体" w:hAnsi="楷体" w:eastAsia="楷体"/>
          <w:bCs/>
          <w:spacing w:val="6"/>
          <w:szCs w:val="30"/>
          <w:highlight w:val="none"/>
        </w:rPr>
        <w:t>规范项目管理流程，确保项目规范实施</w:t>
      </w:r>
      <w:bookmarkEnd w:id="97"/>
    </w:p>
    <w:p>
      <w:pPr>
        <w:spacing w:line="590" w:lineRule="exact"/>
        <w:ind w:firstLine="626" w:firstLineChars="200"/>
        <w:rPr>
          <w:rFonts w:hAnsi="仿宋"/>
          <w:bCs/>
          <w:spacing w:val="6"/>
          <w:szCs w:val="30"/>
          <w:highlight w:val="none"/>
        </w:rPr>
      </w:pPr>
      <w:r>
        <w:rPr>
          <w:rFonts w:hint="eastAsia" w:hAnsi="仿宋"/>
          <w:b/>
          <w:spacing w:val="6"/>
          <w:szCs w:val="30"/>
          <w:highlight w:val="none"/>
        </w:rPr>
        <w:t>一是</w:t>
      </w:r>
      <w:r>
        <w:rPr>
          <w:rFonts w:hint="eastAsia" w:hAnsi="仿宋"/>
          <w:bCs/>
          <w:spacing w:val="6"/>
          <w:szCs w:val="30"/>
          <w:highlight w:val="none"/>
        </w:rPr>
        <w:t>服务承接主体（</w:t>
      </w:r>
      <w:r>
        <w:rPr>
          <w:rFonts w:hint="eastAsia" w:hAnsi="仿宋"/>
          <w:spacing w:val="6"/>
          <w:szCs w:val="30"/>
          <w:highlight w:val="none"/>
        </w:rPr>
        <w:t>昆明金鼎物业服务有限公司</w:t>
      </w:r>
      <w:r>
        <w:rPr>
          <w:rFonts w:hint="eastAsia" w:hAnsi="仿宋"/>
          <w:bCs/>
          <w:spacing w:val="6"/>
          <w:szCs w:val="30"/>
          <w:highlight w:val="none"/>
        </w:rPr>
        <w:t>）在项目实施过程中要做好受托管理资产的维修维护记录及档案资料管理工作，确保受托管理资产管理到位，各项工作的</w:t>
      </w:r>
      <w:r>
        <w:rPr>
          <w:rFonts w:hint="eastAsia" w:hAnsi="仿宋"/>
          <w:bCs/>
          <w:spacing w:val="6"/>
          <w:szCs w:val="30"/>
          <w:highlight w:val="none"/>
          <w:lang w:val="en-US" w:eastAsia="zh-CN"/>
        </w:rPr>
        <w:t>有</w:t>
      </w:r>
      <w:r>
        <w:rPr>
          <w:rFonts w:hint="eastAsia" w:hAnsi="仿宋"/>
          <w:bCs/>
          <w:spacing w:val="6"/>
          <w:szCs w:val="30"/>
          <w:highlight w:val="none"/>
        </w:rPr>
        <w:t>迹可查。</w:t>
      </w:r>
      <w:r>
        <w:rPr>
          <w:rFonts w:hint="eastAsia" w:hAnsi="仿宋"/>
          <w:b/>
          <w:spacing w:val="6"/>
          <w:szCs w:val="30"/>
          <w:highlight w:val="none"/>
        </w:rPr>
        <w:t>二是</w:t>
      </w:r>
      <w:r>
        <w:rPr>
          <w:rFonts w:hint="eastAsia" w:hAnsi="仿宋"/>
          <w:bCs/>
          <w:spacing w:val="6"/>
          <w:szCs w:val="30"/>
          <w:highlight w:val="none"/>
        </w:rPr>
        <w:t>双创服务中心应加强委托管理国有资产的监管意识，加强相关资产的日常检查与跟踪管理，确保委托管理资产的管理要求与工作流程能有效落实。</w:t>
      </w:r>
    </w:p>
    <w:bookmarkEnd w:id="95"/>
    <w:p>
      <w:pPr>
        <w:spacing w:line="590" w:lineRule="exact"/>
        <w:ind w:firstLine="624" w:firstLineChars="200"/>
        <w:rPr>
          <w:rFonts w:hAnsi="仿宋"/>
          <w:bCs/>
          <w:spacing w:val="6"/>
          <w:szCs w:val="30"/>
          <w:highlight w:val="none"/>
        </w:rPr>
      </w:pPr>
    </w:p>
    <w:sectPr>
      <w:headerReference r:id="rId9" w:type="default"/>
      <w:footerReference r:id="rId11" w:type="default"/>
      <w:headerReference r:id="rId10" w:type="even"/>
      <w:footerReference r:id="rId12" w:type="even"/>
      <w:pgSz w:w="11906" w:h="16838"/>
      <w:pgMar w:top="2098" w:right="1474" w:bottom="1985" w:left="1588" w:header="851" w:footer="1474" w:gutter="0"/>
      <w:pgNumType w:fmt="numberInDash" w:start="1"/>
      <w:cols w:space="425" w:num="1"/>
      <w:docGrid w:type="lines" w:linePitch="579"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9FFB22-C0D7-47CB-900F-36811E6454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1CDADAC5-3D7C-4E2E-B7DE-9AFE183838AB}"/>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3" w:fontKey="{D985418C-6F7F-486C-8F19-EFF98452A9C7}"/>
  </w:font>
  <w:font w:name="楷体">
    <w:panose1 w:val="02010609060101010101"/>
    <w:charset w:val="86"/>
    <w:family w:val="modern"/>
    <w:pitch w:val="default"/>
    <w:sig w:usb0="800002BF" w:usb1="38CF7CFA" w:usb2="00000016" w:usb3="00000000" w:csb0="00040001" w:csb1="00000000"/>
    <w:embedRegular r:id="rId4" w:fontKey="{AE1FF3A2-520F-46E7-A766-5054481DB937}"/>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 w:hAnsi="仿宋" w:eastAsia="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9243782"/>
    </w:sdtPr>
    <w:sdtEndPr>
      <w:rPr>
        <w:rFonts w:ascii="仿宋" w:hAnsi="仿宋" w:eastAsia="仿宋"/>
        <w:sz w:val="28"/>
        <w:szCs w:val="28"/>
      </w:rPr>
    </w:sdtEndPr>
    <w:sdtContent>
      <w:p>
        <w:pPr>
          <w:pStyle w:val="11"/>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771040158"/>
                          </w:sdtPr>
                          <w:sdtEndPr>
                            <w:rPr>
                              <w:rFonts w:ascii="仿宋" w:hAnsi="仿宋" w:eastAsia="仿宋"/>
                              <w:sz w:val="28"/>
                              <w:szCs w:val="28"/>
                            </w:rPr>
                          </w:sdtEndPr>
                          <w:sdtContent>
                            <w:p>
                              <w:pPr>
                                <w:pStyle w:val="11"/>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2</w:t>
                              </w:r>
                              <w:r>
                                <w:rPr>
                                  <w:rFonts w:ascii="仿宋" w:hAnsi="仿宋" w:eastAsia="仿宋"/>
                                  <w:sz w:val="28"/>
                                  <w:szCs w:val="28"/>
                                </w:rPr>
                                <w:fldChar w:fldCharType="end"/>
                              </w:r>
                            </w:p>
                          </w:sdtContent>
                        </w:sdt>
                        <w:p>
                          <w:pPr>
                            <w:pStyle w:val="25"/>
                            <w:rPr>
                              <w:rFonts w:hint="default"/>
                            </w:rPr>
                          </w:pP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cxKj9IAAAAHAQAADwAAAAAAAAABACAAAAAi&#10;AAAAZHJzL2Rvd25yZXYueG1sUEsBAhQAFAAAAAgAh07iQJs8Di3XAQAAswMAAA4AAAAAAAAAAQAg&#10;AAAAIQEAAGRycy9lMm9Eb2MueG1sUEsFBgAAAAAGAAYAWQEAAGoFAAAAAA==&#10;">
              <v:fill on="f" focussize="0,0"/>
              <v:stroke on="f"/>
              <v:imagedata o:title=""/>
              <o:lock v:ext="edit" aspectratio="f"/>
              <v:textbox inset="0mm,0mm,0mm,0mm" style="mso-fit-shape-to-text:t;">
                <w:txbxContent>
                  <w:sdt>
                    <w:sdtPr>
                      <w:id w:val="1771040158"/>
                    </w:sdtPr>
                    <w:sdtEndPr>
                      <w:rPr>
                        <w:rFonts w:ascii="仿宋" w:hAnsi="仿宋" w:eastAsia="仿宋"/>
                        <w:sz w:val="28"/>
                        <w:szCs w:val="28"/>
                      </w:rPr>
                    </w:sdtEndPr>
                    <w:sdtContent>
                      <w:p>
                        <w:pPr>
                          <w:pStyle w:val="11"/>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2</w:t>
                        </w:r>
                        <w:r>
                          <w:rPr>
                            <w:rFonts w:ascii="仿宋" w:hAnsi="仿宋" w:eastAsia="仿宋"/>
                            <w:sz w:val="28"/>
                            <w:szCs w:val="28"/>
                          </w:rPr>
                          <w:fldChar w:fldCharType="end"/>
                        </w:r>
                      </w:p>
                    </w:sdtContent>
                  </w:sdt>
                  <w:p>
                    <w:pPr>
                      <w:pStyle w:val="25"/>
                      <w:rPr>
                        <w:rFonts w:hint="default"/>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posOffset>10795</wp:posOffset>
              </wp:positionH>
              <wp:positionV relativeFrom="paragraph">
                <wp:posOffset>-97155</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wps:txbx>
                    <wps:bodyPr vert="horz" wrap="none" lIns="0" tIns="0" rIns="0" bIns="0" anchor="t" anchorCtr="0">
                      <a:spAutoFit/>
                    </wps:bodyPr>
                  </wps:wsp>
                </a:graphicData>
              </a:graphic>
            </wp:anchor>
          </w:drawing>
        </mc:Choice>
        <mc:Fallback>
          <w:pict>
            <v:shape id="文本框 13" o:spid="_x0000_s1026" o:spt="202" type="#_x0000_t202" style="position:absolute;left:0pt;margin-left:0.85pt;margin-top:-7.65pt;height:144pt;width:144pt;mso-position-horizontal-relative:margin;mso-wrap-style:none;z-index:251660288;mso-width-relative:page;mso-height-relative:page;" filled="f" stroked="f" coordsize="21600,21600" o:gfxdata="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YhykbVAAAACQEAAA8A&#10;AAAAAAAAAQAgAAAAIgAAAGRycy9kb3ducmV2LnhtbFBLAQIUABQAAAAIAIdO4kDG5p3B4QEAALwD&#10;AAAOAAAAAAAAAAEAIAAAACQBAABkcnMvZTJvRG9jLnhtbFBLBQYAAAAABgAGAFkBAAB3BQAAAAA=&#10;">
              <v:fill on="f" focussize="0,0"/>
              <v:stroke on="f"/>
              <v:imagedata o:title=""/>
              <o:lock v:ext="edit" aspectratio="f"/>
              <v:textbox inset="0mm,0mm,0mm,0mm" style="mso-fit-shape-to-text:t;">
                <w:txbxContent>
                  <w:p>
                    <w:pPr>
                      <w:pStyle w:val="11"/>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p>
    <w:pPr>
      <w:pStyle w:val="12"/>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removePersonalInformation/>
  <w:embedTrueTypeFonts/>
  <w:saveSubsetFonts/>
  <w:documentProtection w:enforcement="0"/>
  <w:defaultTabStop w:val="420"/>
  <w:drawingGridHorizontalSpacing w:val="158"/>
  <w:drawingGridVerticalSpacing w:val="57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hNGVkMjdjMWVmOTc5MWNhYzE1YzdkNzRmMzZlNzQifQ=="/>
  </w:docVars>
  <w:rsids>
    <w:rsidRoot w:val="00763D8D"/>
    <w:rsid w:val="0000022B"/>
    <w:rsid w:val="000027B8"/>
    <w:rsid w:val="00003457"/>
    <w:rsid w:val="00005399"/>
    <w:rsid w:val="000053D4"/>
    <w:rsid w:val="00005C8D"/>
    <w:rsid w:val="00006936"/>
    <w:rsid w:val="00006D0D"/>
    <w:rsid w:val="000101DC"/>
    <w:rsid w:val="000109E6"/>
    <w:rsid w:val="00011162"/>
    <w:rsid w:val="00011178"/>
    <w:rsid w:val="00011931"/>
    <w:rsid w:val="00012945"/>
    <w:rsid w:val="000131CE"/>
    <w:rsid w:val="00014ABD"/>
    <w:rsid w:val="000163D2"/>
    <w:rsid w:val="00020A21"/>
    <w:rsid w:val="00021B6D"/>
    <w:rsid w:val="00022FFA"/>
    <w:rsid w:val="00023FF0"/>
    <w:rsid w:val="000271E0"/>
    <w:rsid w:val="000302F4"/>
    <w:rsid w:val="00030543"/>
    <w:rsid w:val="00030BA6"/>
    <w:rsid w:val="00032A27"/>
    <w:rsid w:val="00032BAE"/>
    <w:rsid w:val="00032BDE"/>
    <w:rsid w:val="000377E6"/>
    <w:rsid w:val="00037F46"/>
    <w:rsid w:val="0004014B"/>
    <w:rsid w:val="0004026A"/>
    <w:rsid w:val="00043BCE"/>
    <w:rsid w:val="00044C58"/>
    <w:rsid w:val="00044D7D"/>
    <w:rsid w:val="00044EEC"/>
    <w:rsid w:val="00046291"/>
    <w:rsid w:val="00046463"/>
    <w:rsid w:val="000476AB"/>
    <w:rsid w:val="00047E77"/>
    <w:rsid w:val="00050813"/>
    <w:rsid w:val="00051F52"/>
    <w:rsid w:val="00052EC7"/>
    <w:rsid w:val="000539E9"/>
    <w:rsid w:val="000539F0"/>
    <w:rsid w:val="0005544E"/>
    <w:rsid w:val="00055628"/>
    <w:rsid w:val="0005654F"/>
    <w:rsid w:val="000571A9"/>
    <w:rsid w:val="00057D73"/>
    <w:rsid w:val="000618C4"/>
    <w:rsid w:val="00065536"/>
    <w:rsid w:val="00070934"/>
    <w:rsid w:val="000709D5"/>
    <w:rsid w:val="00071381"/>
    <w:rsid w:val="00073112"/>
    <w:rsid w:val="00073C73"/>
    <w:rsid w:val="00073EB6"/>
    <w:rsid w:val="00074C9C"/>
    <w:rsid w:val="00074D8F"/>
    <w:rsid w:val="00075831"/>
    <w:rsid w:val="00075E6F"/>
    <w:rsid w:val="000761D2"/>
    <w:rsid w:val="00077515"/>
    <w:rsid w:val="0008006D"/>
    <w:rsid w:val="000804E8"/>
    <w:rsid w:val="00081121"/>
    <w:rsid w:val="0008270C"/>
    <w:rsid w:val="0008279A"/>
    <w:rsid w:val="00082DC6"/>
    <w:rsid w:val="00082DCF"/>
    <w:rsid w:val="00084994"/>
    <w:rsid w:val="00087B0B"/>
    <w:rsid w:val="00090A92"/>
    <w:rsid w:val="000910C9"/>
    <w:rsid w:val="000913F5"/>
    <w:rsid w:val="000926D7"/>
    <w:rsid w:val="00093656"/>
    <w:rsid w:val="00093EE8"/>
    <w:rsid w:val="00094547"/>
    <w:rsid w:val="00094E2A"/>
    <w:rsid w:val="00095539"/>
    <w:rsid w:val="0009581E"/>
    <w:rsid w:val="00096248"/>
    <w:rsid w:val="000965E5"/>
    <w:rsid w:val="000A0162"/>
    <w:rsid w:val="000A3762"/>
    <w:rsid w:val="000A3ED9"/>
    <w:rsid w:val="000A4076"/>
    <w:rsid w:val="000A4562"/>
    <w:rsid w:val="000A60AC"/>
    <w:rsid w:val="000A7587"/>
    <w:rsid w:val="000B4950"/>
    <w:rsid w:val="000C04DE"/>
    <w:rsid w:val="000C0984"/>
    <w:rsid w:val="000C0C40"/>
    <w:rsid w:val="000C1909"/>
    <w:rsid w:val="000C3CE0"/>
    <w:rsid w:val="000C4DCD"/>
    <w:rsid w:val="000C5033"/>
    <w:rsid w:val="000C7B26"/>
    <w:rsid w:val="000D1455"/>
    <w:rsid w:val="000D1489"/>
    <w:rsid w:val="000D1837"/>
    <w:rsid w:val="000D1F3A"/>
    <w:rsid w:val="000D71DD"/>
    <w:rsid w:val="000D7241"/>
    <w:rsid w:val="000E018A"/>
    <w:rsid w:val="000E15F5"/>
    <w:rsid w:val="000E21D8"/>
    <w:rsid w:val="000E27BF"/>
    <w:rsid w:val="000E6F75"/>
    <w:rsid w:val="000F1534"/>
    <w:rsid w:val="000F3E60"/>
    <w:rsid w:val="000F46ED"/>
    <w:rsid w:val="000F6595"/>
    <w:rsid w:val="000F6C4B"/>
    <w:rsid w:val="000F725D"/>
    <w:rsid w:val="0010379A"/>
    <w:rsid w:val="00104A41"/>
    <w:rsid w:val="00106A8B"/>
    <w:rsid w:val="00106BD7"/>
    <w:rsid w:val="001075E2"/>
    <w:rsid w:val="001114F0"/>
    <w:rsid w:val="001135DF"/>
    <w:rsid w:val="00114580"/>
    <w:rsid w:val="001146BA"/>
    <w:rsid w:val="00114C97"/>
    <w:rsid w:val="0011575C"/>
    <w:rsid w:val="00116445"/>
    <w:rsid w:val="0011649B"/>
    <w:rsid w:val="001172F4"/>
    <w:rsid w:val="00122361"/>
    <w:rsid w:val="00124FFE"/>
    <w:rsid w:val="00125D9C"/>
    <w:rsid w:val="00126BAF"/>
    <w:rsid w:val="00127CE6"/>
    <w:rsid w:val="001308E4"/>
    <w:rsid w:val="001325B8"/>
    <w:rsid w:val="00135285"/>
    <w:rsid w:val="00140778"/>
    <w:rsid w:val="00141F5B"/>
    <w:rsid w:val="00142242"/>
    <w:rsid w:val="001439E1"/>
    <w:rsid w:val="00147392"/>
    <w:rsid w:val="00147616"/>
    <w:rsid w:val="00147856"/>
    <w:rsid w:val="00147F84"/>
    <w:rsid w:val="00150F3E"/>
    <w:rsid w:val="001513E5"/>
    <w:rsid w:val="00152B2B"/>
    <w:rsid w:val="001537D8"/>
    <w:rsid w:val="00153BC6"/>
    <w:rsid w:val="001543C5"/>
    <w:rsid w:val="00154B21"/>
    <w:rsid w:val="00155A7C"/>
    <w:rsid w:val="00156456"/>
    <w:rsid w:val="00157C43"/>
    <w:rsid w:val="00157E96"/>
    <w:rsid w:val="00161166"/>
    <w:rsid w:val="00162476"/>
    <w:rsid w:val="0016276E"/>
    <w:rsid w:val="0016290B"/>
    <w:rsid w:val="00162B90"/>
    <w:rsid w:val="001644FB"/>
    <w:rsid w:val="00165378"/>
    <w:rsid w:val="00167E57"/>
    <w:rsid w:val="00170EF5"/>
    <w:rsid w:val="001722F7"/>
    <w:rsid w:val="0017244C"/>
    <w:rsid w:val="00173799"/>
    <w:rsid w:val="00175976"/>
    <w:rsid w:val="0017788F"/>
    <w:rsid w:val="00181B15"/>
    <w:rsid w:val="00182613"/>
    <w:rsid w:val="00182C29"/>
    <w:rsid w:val="00182E29"/>
    <w:rsid w:val="001836BB"/>
    <w:rsid w:val="00183D89"/>
    <w:rsid w:val="001844AE"/>
    <w:rsid w:val="00184577"/>
    <w:rsid w:val="0018788E"/>
    <w:rsid w:val="00187B50"/>
    <w:rsid w:val="001905A5"/>
    <w:rsid w:val="00190ABE"/>
    <w:rsid w:val="001921B3"/>
    <w:rsid w:val="00194A16"/>
    <w:rsid w:val="001958E8"/>
    <w:rsid w:val="001A2410"/>
    <w:rsid w:val="001A2D6F"/>
    <w:rsid w:val="001A644B"/>
    <w:rsid w:val="001A77EE"/>
    <w:rsid w:val="001A7B0F"/>
    <w:rsid w:val="001A7E76"/>
    <w:rsid w:val="001B17FE"/>
    <w:rsid w:val="001B1F7F"/>
    <w:rsid w:val="001B41EF"/>
    <w:rsid w:val="001B4784"/>
    <w:rsid w:val="001B5D45"/>
    <w:rsid w:val="001B641B"/>
    <w:rsid w:val="001C0152"/>
    <w:rsid w:val="001C0257"/>
    <w:rsid w:val="001C42B1"/>
    <w:rsid w:val="001C6DED"/>
    <w:rsid w:val="001D064B"/>
    <w:rsid w:val="001D124C"/>
    <w:rsid w:val="001D2FF8"/>
    <w:rsid w:val="001D4181"/>
    <w:rsid w:val="001D4E03"/>
    <w:rsid w:val="001D58D7"/>
    <w:rsid w:val="001E07CC"/>
    <w:rsid w:val="001E1E71"/>
    <w:rsid w:val="001E2589"/>
    <w:rsid w:val="001E410D"/>
    <w:rsid w:val="001E4175"/>
    <w:rsid w:val="001E4B89"/>
    <w:rsid w:val="001E5814"/>
    <w:rsid w:val="001E5AA2"/>
    <w:rsid w:val="001E5C05"/>
    <w:rsid w:val="001E6E29"/>
    <w:rsid w:val="001E713D"/>
    <w:rsid w:val="001F1285"/>
    <w:rsid w:val="001F1844"/>
    <w:rsid w:val="001F1CDD"/>
    <w:rsid w:val="001F1E4B"/>
    <w:rsid w:val="001F3638"/>
    <w:rsid w:val="001F3674"/>
    <w:rsid w:val="001F3E62"/>
    <w:rsid w:val="001F46E7"/>
    <w:rsid w:val="001F4F52"/>
    <w:rsid w:val="001F566D"/>
    <w:rsid w:val="001F6D05"/>
    <w:rsid w:val="001F7633"/>
    <w:rsid w:val="00200263"/>
    <w:rsid w:val="00201C2D"/>
    <w:rsid w:val="00202527"/>
    <w:rsid w:val="00204C5E"/>
    <w:rsid w:val="0021046B"/>
    <w:rsid w:val="002115B2"/>
    <w:rsid w:val="00212FA7"/>
    <w:rsid w:val="002133CB"/>
    <w:rsid w:val="00216273"/>
    <w:rsid w:val="00217869"/>
    <w:rsid w:val="0021797F"/>
    <w:rsid w:val="00217AA8"/>
    <w:rsid w:val="00222473"/>
    <w:rsid w:val="002229E2"/>
    <w:rsid w:val="00223081"/>
    <w:rsid w:val="0022365E"/>
    <w:rsid w:val="00225195"/>
    <w:rsid w:val="002259A4"/>
    <w:rsid w:val="002260C9"/>
    <w:rsid w:val="0022640C"/>
    <w:rsid w:val="00226E95"/>
    <w:rsid w:val="00227678"/>
    <w:rsid w:val="00227EAF"/>
    <w:rsid w:val="00227F65"/>
    <w:rsid w:val="002303C4"/>
    <w:rsid w:val="00230719"/>
    <w:rsid w:val="00230C67"/>
    <w:rsid w:val="002329F4"/>
    <w:rsid w:val="002338F1"/>
    <w:rsid w:val="00234BBC"/>
    <w:rsid w:val="002357D5"/>
    <w:rsid w:val="00235C5D"/>
    <w:rsid w:val="00236080"/>
    <w:rsid w:val="00240414"/>
    <w:rsid w:val="00241688"/>
    <w:rsid w:val="002422DC"/>
    <w:rsid w:val="00243802"/>
    <w:rsid w:val="00243F53"/>
    <w:rsid w:val="00246276"/>
    <w:rsid w:val="00246908"/>
    <w:rsid w:val="00250AF1"/>
    <w:rsid w:val="00251346"/>
    <w:rsid w:val="00252898"/>
    <w:rsid w:val="002532A4"/>
    <w:rsid w:val="00254804"/>
    <w:rsid w:val="00254B91"/>
    <w:rsid w:val="002554E5"/>
    <w:rsid w:val="002567E0"/>
    <w:rsid w:val="00256D4E"/>
    <w:rsid w:val="0026020D"/>
    <w:rsid w:val="002606F4"/>
    <w:rsid w:val="00261A39"/>
    <w:rsid w:val="00263101"/>
    <w:rsid w:val="00264365"/>
    <w:rsid w:val="00264FCD"/>
    <w:rsid w:val="002651C8"/>
    <w:rsid w:val="00265B11"/>
    <w:rsid w:val="00273E72"/>
    <w:rsid w:val="00274648"/>
    <w:rsid w:val="002762C6"/>
    <w:rsid w:val="002777CB"/>
    <w:rsid w:val="00277ACC"/>
    <w:rsid w:val="00280CE7"/>
    <w:rsid w:val="00280DEC"/>
    <w:rsid w:val="00282CC8"/>
    <w:rsid w:val="00283F38"/>
    <w:rsid w:val="00284FD0"/>
    <w:rsid w:val="00285265"/>
    <w:rsid w:val="00290595"/>
    <w:rsid w:val="002917E5"/>
    <w:rsid w:val="0029356B"/>
    <w:rsid w:val="00295BB3"/>
    <w:rsid w:val="002A020A"/>
    <w:rsid w:val="002A1DF7"/>
    <w:rsid w:val="002A5AD2"/>
    <w:rsid w:val="002A6E5D"/>
    <w:rsid w:val="002A6EAA"/>
    <w:rsid w:val="002B11FB"/>
    <w:rsid w:val="002B12B2"/>
    <w:rsid w:val="002B3F00"/>
    <w:rsid w:val="002B7A58"/>
    <w:rsid w:val="002B7B5E"/>
    <w:rsid w:val="002C0876"/>
    <w:rsid w:val="002C46F4"/>
    <w:rsid w:val="002C4851"/>
    <w:rsid w:val="002C555C"/>
    <w:rsid w:val="002C601B"/>
    <w:rsid w:val="002D04B9"/>
    <w:rsid w:val="002D04DD"/>
    <w:rsid w:val="002D1D67"/>
    <w:rsid w:val="002D3C45"/>
    <w:rsid w:val="002D4359"/>
    <w:rsid w:val="002D498A"/>
    <w:rsid w:val="002D5038"/>
    <w:rsid w:val="002D55A2"/>
    <w:rsid w:val="002D5F00"/>
    <w:rsid w:val="002D7C52"/>
    <w:rsid w:val="002E06C9"/>
    <w:rsid w:val="002E1041"/>
    <w:rsid w:val="002E280F"/>
    <w:rsid w:val="002E3B57"/>
    <w:rsid w:val="002E5BDD"/>
    <w:rsid w:val="002E60CA"/>
    <w:rsid w:val="002E7EEF"/>
    <w:rsid w:val="002F1450"/>
    <w:rsid w:val="002F4221"/>
    <w:rsid w:val="002F516E"/>
    <w:rsid w:val="002F59F0"/>
    <w:rsid w:val="002F6548"/>
    <w:rsid w:val="002F7BA8"/>
    <w:rsid w:val="002F7BE7"/>
    <w:rsid w:val="00301B65"/>
    <w:rsid w:val="00301F5D"/>
    <w:rsid w:val="003020B9"/>
    <w:rsid w:val="003031F0"/>
    <w:rsid w:val="00307963"/>
    <w:rsid w:val="00307B63"/>
    <w:rsid w:val="00307EB2"/>
    <w:rsid w:val="0031027A"/>
    <w:rsid w:val="003116BB"/>
    <w:rsid w:val="00313C52"/>
    <w:rsid w:val="00314385"/>
    <w:rsid w:val="00315F55"/>
    <w:rsid w:val="00321FF5"/>
    <w:rsid w:val="00324C99"/>
    <w:rsid w:val="003270CD"/>
    <w:rsid w:val="003305B8"/>
    <w:rsid w:val="0033130B"/>
    <w:rsid w:val="003331BE"/>
    <w:rsid w:val="00333263"/>
    <w:rsid w:val="00333989"/>
    <w:rsid w:val="0033489A"/>
    <w:rsid w:val="003372F6"/>
    <w:rsid w:val="0033762E"/>
    <w:rsid w:val="00340514"/>
    <w:rsid w:val="0034163A"/>
    <w:rsid w:val="00341D24"/>
    <w:rsid w:val="0034304B"/>
    <w:rsid w:val="00344EC8"/>
    <w:rsid w:val="00347135"/>
    <w:rsid w:val="00347579"/>
    <w:rsid w:val="00347950"/>
    <w:rsid w:val="00347FFC"/>
    <w:rsid w:val="00352BE9"/>
    <w:rsid w:val="00353796"/>
    <w:rsid w:val="00353EE5"/>
    <w:rsid w:val="003540DD"/>
    <w:rsid w:val="00355D7A"/>
    <w:rsid w:val="003568A8"/>
    <w:rsid w:val="00357576"/>
    <w:rsid w:val="00357666"/>
    <w:rsid w:val="0035799F"/>
    <w:rsid w:val="0036377A"/>
    <w:rsid w:val="00364396"/>
    <w:rsid w:val="0036565B"/>
    <w:rsid w:val="00365AC6"/>
    <w:rsid w:val="00365B28"/>
    <w:rsid w:val="00365DB8"/>
    <w:rsid w:val="003660F7"/>
    <w:rsid w:val="0037005C"/>
    <w:rsid w:val="00370C14"/>
    <w:rsid w:val="00371BB6"/>
    <w:rsid w:val="00371BF7"/>
    <w:rsid w:val="00371CAA"/>
    <w:rsid w:val="003733DC"/>
    <w:rsid w:val="00375AF4"/>
    <w:rsid w:val="003761AE"/>
    <w:rsid w:val="00376534"/>
    <w:rsid w:val="00376A60"/>
    <w:rsid w:val="00380118"/>
    <w:rsid w:val="003807BD"/>
    <w:rsid w:val="00381538"/>
    <w:rsid w:val="00381A26"/>
    <w:rsid w:val="00381F0D"/>
    <w:rsid w:val="003830DE"/>
    <w:rsid w:val="0038336A"/>
    <w:rsid w:val="00383377"/>
    <w:rsid w:val="00383A8B"/>
    <w:rsid w:val="00383B2E"/>
    <w:rsid w:val="00384495"/>
    <w:rsid w:val="0038789E"/>
    <w:rsid w:val="003915CF"/>
    <w:rsid w:val="00392745"/>
    <w:rsid w:val="00393295"/>
    <w:rsid w:val="00394EE9"/>
    <w:rsid w:val="00396006"/>
    <w:rsid w:val="00396DA8"/>
    <w:rsid w:val="003A039B"/>
    <w:rsid w:val="003A0F88"/>
    <w:rsid w:val="003A202B"/>
    <w:rsid w:val="003A3987"/>
    <w:rsid w:val="003A54E9"/>
    <w:rsid w:val="003A5711"/>
    <w:rsid w:val="003A6AB4"/>
    <w:rsid w:val="003B22C4"/>
    <w:rsid w:val="003B2603"/>
    <w:rsid w:val="003B355C"/>
    <w:rsid w:val="003B50AD"/>
    <w:rsid w:val="003B5FE1"/>
    <w:rsid w:val="003B70F9"/>
    <w:rsid w:val="003B74B5"/>
    <w:rsid w:val="003C2E0A"/>
    <w:rsid w:val="003C4481"/>
    <w:rsid w:val="003C65FB"/>
    <w:rsid w:val="003D0E7C"/>
    <w:rsid w:val="003D112A"/>
    <w:rsid w:val="003D12B5"/>
    <w:rsid w:val="003D2104"/>
    <w:rsid w:val="003D3453"/>
    <w:rsid w:val="003D35C0"/>
    <w:rsid w:val="003D3DD2"/>
    <w:rsid w:val="003D49CE"/>
    <w:rsid w:val="003D4D1B"/>
    <w:rsid w:val="003D4DE1"/>
    <w:rsid w:val="003D6830"/>
    <w:rsid w:val="003D7846"/>
    <w:rsid w:val="003E0E49"/>
    <w:rsid w:val="003E28AB"/>
    <w:rsid w:val="003E2976"/>
    <w:rsid w:val="003E37CD"/>
    <w:rsid w:val="003F1515"/>
    <w:rsid w:val="003F16E7"/>
    <w:rsid w:val="003F283E"/>
    <w:rsid w:val="003F402E"/>
    <w:rsid w:val="003F6354"/>
    <w:rsid w:val="004002C1"/>
    <w:rsid w:val="00400D06"/>
    <w:rsid w:val="00401411"/>
    <w:rsid w:val="0040239B"/>
    <w:rsid w:val="00402CE7"/>
    <w:rsid w:val="0040330F"/>
    <w:rsid w:val="00404BCF"/>
    <w:rsid w:val="00405226"/>
    <w:rsid w:val="00405C75"/>
    <w:rsid w:val="00405E21"/>
    <w:rsid w:val="00406578"/>
    <w:rsid w:val="00406D6A"/>
    <w:rsid w:val="00410716"/>
    <w:rsid w:val="00414F4E"/>
    <w:rsid w:val="004157FC"/>
    <w:rsid w:val="00416914"/>
    <w:rsid w:val="00417C00"/>
    <w:rsid w:val="00420BEC"/>
    <w:rsid w:val="00420EA0"/>
    <w:rsid w:val="004224E8"/>
    <w:rsid w:val="0042251D"/>
    <w:rsid w:val="00422584"/>
    <w:rsid w:val="00425FB2"/>
    <w:rsid w:val="00426FE5"/>
    <w:rsid w:val="00427243"/>
    <w:rsid w:val="004272A6"/>
    <w:rsid w:val="0043072A"/>
    <w:rsid w:val="0043119F"/>
    <w:rsid w:val="00431407"/>
    <w:rsid w:val="00433CAA"/>
    <w:rsid w:val="00436B3B"/>
    <w:rsid w:val="00437980"/>
    <w:rsid w:val="004401ED"/>
    <w:rsid w:val="00440843"/>
    <w:rsid w:val="0044349C"/>
    <w:rsid w:val="00443713"/>
    <w:rsid w:val="004438DB"/>
    <w:rsid w:val="00451CEE"/>
    <w:rsid w:val="0045212B"/>
    <w:rsid w:val="00452585"/>
    <w:rsid w:val="00452895"/>
    <w:rsid w:val="00452990"/>
    <w:rsid w:val="00453319"/>
    <w:rsid w:val="00453D56"/>
    <w:rsid w:val="004542C8"/>
    <w:rsid w:val="004549D1"/>
    <w:rsid w:val="00454E6D"/>
    <w:rsid w:val="0045689F"/>
    <w:rsid w:val="00457099"/>
    <w:rsid w:val="004573B8"/>
    <w:rsid w:val="004600B8"/>
    <w:rsid w:val="00460A3A"/>
    <w:rsid w:val="00460E4C"/>
    <w:rsid w:val="00461551"/>
    <w:rsid w:val="00462343"/>
    <w:rsid w:val="00462672"/>
    <w:rsid w:val="00463559"/>
    <w:rsid w:val="0046428F"/>
    <w:rsid w:val="00464A91"/>
    <w:rsid w:val="00465B8C"/>
    <w:rsid w:val="0046605F"/>
    <w:rsid w:val="004671F2"/>
    <w:rsid w:val="00470423"/>
    <w:rsid w:val="00472258"/>
    <w:rsid w:val="00474787"/>
    <w:rsid w:val="0047641E"/>
    <w:rsid w:val="00476554"/>
    <w:rsid w:val="00477716"/>
    <w:rsid w:val="0048081D"/>
    <w:rsid w:val="0048089A"/>
    <w:rsid w:val="004811D4"/>
    <w:rsid w:val="00481229"/>
    <w:rsid w:val="00481351"/>
    <w:rsid w:val="004823BA"/>
    <w:rsid w:val="004839EA"/>
    <w:rsid w:val="00484612"/>
    <w:rsid w:val="00484A36"/>
    <w:rsid w:val="00484EDA"/>
    <w:rsid w:val="004860CD"/>
    <w:rsid w:val="004866EA"/>
    <w:rsid w:val="00487233"/>
    <w:rsid w:val="004872A3"/>
    <w:rsid w:val="004874D5"/>
    <w:rsid w:val="004905B0"/>
    <w:rsid w:val="00493497"/>
    <w:rsid w:val="004949AC"/>
    <w:rsid w:val="004968A0"/>
    <w:rsid w:val="004A0031"/>
    <w:rsid w:val="004A0A75"/>
    <w:rsid w:val="004A12A5"/>
    <w:rsid w:val="004A30CC"/>
    <w:rsid w:val="004A3DDB"/>
    <w:rsid w:val="004A4700"/>
    <w:rsid w:val="004A49DD"/>
    <w:rsid w:val="004A711A"/>
    <w:rsid w:val="004B0C5F"/>
    <w:rsid w:val="004B0EB4"/>
    <w:rsid w:val="004B34FB"/>
    <w:rsid w:val="004B3AE1"/>
    <w:rsid w:val="004B448D"/>
    <w:rsid w:val="004B6206"/>
    <w:rsid w:val="004C3DAC"/>
    <w:rsid w:val="004C48EE"/>
    <w:rsid w:val="004C51F5"/>
    <w:rsid w:val="004C5CD2"/>
    <w:rsid w:val="004C5D7B"/>
    <w:rsid w:val="004C6565"/>
    <w:rsid w:val="004C6B41"/>
    <w:rsid w:val="004C6BF0"/>
    <w:rsid w:val="004D0987"/>
    <w:rsid w:val="004D0D4D"/>
    <w:rsid w:val="004D206D"/>
    <w:rsid w:val="004D2649"/>
    <w:rsid w:val="004D31B0"/>
    <w:rsid w:val="004D34AD"/>
    <w:rsid w:val="004D5F2D"/>
    <w:rsid w:val="004D678B"/>
    <w:rsid w:val="004E013B"/>
    <w:rsid w:val="004E0906"/>
    <w:rsid w:val="004E095E"/>
    <w:rsid w:val="004E583F"/>
    <w:rsid w:val="004E5873"/>
    <w:rsid w:val="004E5E85"/>
    <w:rsid w:val="004E6FCE"/>
    <w:rsid w:val="004F0288"/>
    <w:rsid w:val="004F0B47"/>
    <w:rsid w:val="004F43AA"/>
    <w:rsid w:val="004F463C"/>
    <w:rsid w:val="004F4716"/>
    <w:rsid w:val="004F47FC"/>
    <w:rsid w:val="004F5DE3"/>
    <w:rsid w:val="004F6CCC"/>
    <w:rsid w:val="004F6DE7"/>
    <w:rsid w:val="004F71F0"/>
    <w:rsid w:val="004F7294"/>
    <w:rsid w:val="0050002D"/>
    <w:rsid w:val="005004FA"/>
    <w:rsid w:val="00500CFD"/>
    <w:rsid w:val="00502D71"/>
    <w:rsid w:val="00502E67"/>
    <w:rsid w:val="005048CD"/>
    <w:rsid w:val="00505E9C"/>
    <w:rsid w:val="005102A2"/>
    <w:rsid w:val="00510BAB"/>
    <w:rsid w:val="005120BB"/>
    <w:rsid w:val="00512139"/>
    <w:rsid w:val="00512582"/>
    <w:rsid w:val="0051366A"/>
    <w:rsid w:val="00514671"/>
    <w:rsid w:val="00515734"/>
    <w:rsid w:val="0051636A"/>
    <w:rsid w:val="005167B1"/>
    <w:rsid w:val="00517B8A"/>
    <w:rsid w:val="00520BDC"/>
    <w:rsid w:val="00522A6C"/>
    <w:rsid w:val="00523F31"/>
    <w:rsid w:val="00524631"/>
    <w:rsid w:val="005256DF"/>
    <w:rsid w:val="00526431"/>
    <w:rsid w:val="00530C61"/>
    <w:rsid w:val="00532B48"/>
    <w:rsid w:val="0053468D"/>
    <w:rsid w:val="00536F5B"/>
    <w:rsid w:val="00537C4F"/>
    <w:rsid w:val="00537FC1"/>
    <w:rsid w:val="00542670"/>
    <w:rsid w:val="00542A3D"/>
    <w:rsid w:val="005444A9"/>
    <w:rsid w:val="00544C47"/>
    <w:rsid w:val="00545001"/>
    <w:rsid w:val="00545084"/>
    <w:rsid w:val="00547244"/>
    <w:rsid w:val="00550937"/>
    <w:rsid w:val="00551BF5"/>
    <w:rsid w:val="0055330D"/>
    <w:rsid w:val="005578D6"/>
    <w:rsid w:val="00557E24"/>
    <w:rsid w:val="00561795"/>
    <w:rsid w:val="00562AE8"/>
    <w:rsid w:val="00562BA8"/>
    <w:rsid w:val="0056376A"/>
    <w:rsid w:val="005639BD"/>
    <w:rsid w:val="00564552"/>
    <w:rsid w:val="00565BC9"/>
    <w:rsid w:val="00566921"/>
    <w:rsid w:val="00567AB3"/>
    <w:rsid w:val="00567AEB"/>
    <w:rsid w:val="00572592"/>
    <w:rsid w:val="00573D8B"/>
    <w:rsid w:val="005750C4"/>
    <w:rsid w:val="00576CB6"/>
    <w:rsid w:val="00576D82"/>
    <w:rsid w:val="00576FBF"/>
    <w:rsid w:val="00577EDE"/>
    <w:rsid w:val="00577FAD"/>
    <w:rsid w:val="00582B55"/>
    <w:rsid w:val="0058517E"/>
    <w:rsid w:val="00585784"/>
    <w:rsid w:val="00587462"/>
    <w:rsid w:val="00587C8D"/>
    <w:rsid w:val="00587CEB"/>
    <w:rsid w:val="0059070A"/>
    <w:rsid w:val="00591EF2"/>
    <w:rsid w:val="00592198"/>
    <w:rsid w:val="005930AB"/>
    <w:rsid w:val="0059320E"/>
    <w:rsid w:val="005953FB"/>
    <w:rsid w:val="00597B52"/>
    <w:rsid w:val="005A2E6F"/>
    <w:rsid w:val="005A3998"/>
    <w:rsid w:val="005A5009"/>
    <w:rsid w:val="005A50E5"/>
    <w:rsid w:val="005A650C"/>
    <w:rsid w:val="005A736F"/>
    <w:rsid w:val="005B0482"/>
    <w:rsid w:val="005B1D79"/>
    <w:rsid w:val="005B3F51"/>
    <w:rsid w:val="005B472A"/>
    <w:rsid w:val="005B4E5D"/>
    <w:rsid w:val="005B6066"/>
    <w:rsid w:val="005B70F0"/>
    <w:rsid w:val="005B78F3"/>
    <w:rsid w:val="005C40D3"/>
    <w:rsid w:val="005C43AF"/>
    <w:rsid w:val="005C6EF1"/>
    <w:rsid w:val="005D06E4"/>
    <w:rsid w:val="005D3438"/>
    <w:rsid w:val="005D34BC"/>
    <w:rsid w:val="005D35DD"/>
    <w:rsid w:val="005D4B33"/>
    <w:rsid w:val="005D77C1"/>
    <w:rsid w:val="005E05E8"/>
    <w:rsid w:val="005E0F3C"/>
    <w:rsid w:val="005E26BE"/>
    <w:rsid w:val="005E4ABD"/>
    <w:rsid w:val="005E52D1"/>
    <w:rsid w:val="005E6172"/>
    <w:rsid w:val="005E78DF"/>
    <w:rsid w:val="005E7D92"/>
    <w:rsid w:val="005E7D9A"/>
    <w:rsid w:val="005F1102"/>
    <w:rsid w:val="005F1D53"/>
    <w:rsid w:val="005F6AEF"/>
    <w:rsid w:val="005F7871"/>
    <w:rsid w:val="00600042"/>
    <w:rsid w:val="0060183B"/>
    <w:rsid w:val="00602B41"/>
    <w:rsid w:val="00605046"/>
    <w:rsid w:val="0060673E"/>
    <w:rsid w:val="00606AA7"/>
    <w:rsid w:val="00610ADB"/>
    <w:rsid w:val="00613763"/>
    <w:rsid w:val="00615033"/>
    <w:rsid w:val="00615771"/>
    <w:rsid w:val="006164D7"/>
    <w:rsid w:val="00616ED9"/>
    <w:rsid w:val="00620526"/>
    <w:rsid w:val="0062056F"/>
    <w:rsid w:val="00620CB9"/>
    <w:rsid w:val="00621602"/>
    <w:rsid w:val="00622A8F"/>
    <w:rsid w:val="00623AF9"/>
    <w:rsid w:val="00624E02"/>
    <w:rsid w:val="006251E6"/>
    <w:rsid w:val="006258DD"/>
    <w:rsid w:val="00626208"/>
    <w:rsid w:val="00627439"/>
    <w:rsid w:val="006323C6"/>
    <w:rsid w:val="0063287F"/>
    <w:rsid w:val="00634466"/>
    <w:rsid w:val="00636016"/>
    <w:rsid w:val="00640388"/>
    <w:rsid w:val="00641EB3"/>
    <w:rsid w:val="006423DF"/>
    <w:rsid w:val="00642EC0"/>
    <w:rsid w:val="00643CC5"/>
    <w:rsid w:val="0064402F"/>
    <w:rsid w:val="0064670B"/>
    <w:rsid w:val="00646B69"/>
    <w:rsid w:val="006479E3"/>
    <w:rsid w:val="00651FEA"/>
    <w:rsid w:val="0065292B"/>
    <w:rsid w:val="0065402A"/>
    <w:rsid w:val="0065445B"/>
    <w:rsid w:val="0065520B"/>
    <w:rsid w:val="00655674"/>
    <w:rsid w:val="00655BCC"/>
    <w:rsid w:val="00656020"/>
    <w:rsid w:val="00656A9A"/>
    <w:rsid w:val="00656F7D"/>
    <w:rsid w:val="006571CA"/>
    <w:rsid w:val="00657FEB"/>
    <w:rsid w:val="006629D4"/>
    <w:rsid w:val="006633E2"/>
    <w:rsid w:val="00663BBB"/>
    <w:rsid w:val="00664092"/>
    <w:rsid w:val="00665263"/>
    <w:rsid w:val="00671269"/>
    <w:rsid w:val="006731F0"/>
    <w:rsid w:val="00674DB5"/>
    <w:rsid w:val="00676397"/>
    <w:rsid w:val="00680DB4"/>
    <w:rsid w:val="00682BA0"/>
    <w:rsid w:val="00682BEB"/>
    <w:rsid w:val="0068432A"/>
    <w:rsid w:val="0068495B"/>
    <w:rsid w:val="006859A8"/>
    <w:rsid w:val="006865FD"/>
    <w:rsid w:val="00687D46"/>
    <w:rsid w:val="0069138E"/>
    <w:rsid w:val="006922F0"/>
    <w:rsid w:val="00693295"/>
    <w:rsid w:val="00694B78"/>
    <w:rsid w:val="00694EAF"/>
    <w:rsid w:val="006960BB"/>
    <w:rsid w:val="006A15CB"/>
    <w:rsid w:val="006A28E5"/>
    <w:rsid w:val="006A2942"/>
    <w:rsid w:val="006A2A32"/>
    <w:rsid w:val="006A44E2"/>
    <w:rsid w:val="006A5995"/>
    <w:rsid w:val="006A5FFB"/>
    <w:rsid w:val="006A6752"/>
    <w:rsid w:val="006A7553"/>
    <w:rsid w:val="006B5BCF"/>
    <w:rsid w:val="006B610A"/>
    <w:rsid w:val="006B655D"/>
    <w:rsid w:val="006B70DE"/>
    <w:rsid w:val="006B7751"/>
    <w:rsid w:val="006C0244"/>
    <w:rsid w:val="006C0E35"/>
    <w:rsid w:val="006C0E7F"/>
    <w:rsid w:val="006C3086"/>
    <w:rsid w:val="006C3603"/>
    <w:rsid w:val="006C4AF5"/>
    <w:rsid w:val="006D012E"/>
    <w:rsid w:val="006D0774"/>
    <w:rsid w:val="006D1593"/>
    <w:rsid w:val="006D2836"/>
    <w:rsid w:val="006E00A6"/>
    <w:rsid w:val="006E1228"/>
    <w:rsid w:val="006E1D1A"/>
    <w:rsid w:val="006E2777"/>
    <w:rsid w:val="006E342B"/>
    <w:rsid w:val="006E36CF"/>
    <w:rsid w:val="006E3A23"/>
    <w:rsid w:val="006E76CA"/>
    <w:rsid w:val="006E79B8"/>
    <w:rsid w:val="006F09DA"/>
    <w:rsid w:val="006F0AF2"/>
    <w:rsid w:val="006F1117"/>
    <w:rsid w:val="006F433D"/>
    <w:rsid w:val="006F73A0"/>
    <w:rsid w:val="007006DA"/>
    <w:rsid w:val="00700714"/>
    <w:rsid w:val="00701599"/>
    <w:rsid w:val="00702B9A"/>
    <w:rsid w:val="00702F2A"/>
    <w:rsid w:val="00703419"/>
    <w:rsid w:val="00704906"/>
    <w:rsid w:val="00704B20"/>
    <w:rsid w:val="0070532D"/>
    <w:rsid w:val="007061AB"/>
    <w:rsid w:val="00706C0E"/>
    <w:rsid w:val="00707272"/>
    <w:rsid w:val="00710E1D"/>
    <w:rsid w:val="00711818"/>
    <w:rsid w:val="00711BD6"/>
    <w:rsid w:val="00712193"/>
    <w:rsid w:val="00712CFB"/>
    <w:rsid w:val="007135FE"/>
    <w:rsid w:val="00716114"/>
    <w:rsid w:val="0071646D"/>
    <w:rsid w:val="00717374"/>
    <w:rsid w:val="00720A18"/>
    <w:rsid w:val="00723885"/>
    <w:rsid w:val="00723AFF"/>
    <w:rsid w:val="007258CC"/>
    <w:rsid w:val="0072647A"/>
    <w:rsid w:val="00727017"/>
    <w:rsid w:val="00727A81"/>
    <w:rsid w:val="007319A2"/>
    <w:rsid w:val="00733D12"/>
    <w:rsid w:val="00733E02"/>
    <w:rsid w:val="00734895"/>
    <w:rsid w:val="0073677A"/>
    <w:rsid w:val="0073725E"/>
    <w:rsid w:val="00740F56"/>
    <w:rsid w:val="00742C61"/>
    <w:rsid w:val="007431B7"/>
    <w:rsid w:val="007467E5"/>
    <w:rsid w:val="00746D9E"/>
    <w:rsid w:val="00746DEF"/>
    <w:rsid w:val="007474F3"/>
    <w:rsid w:val="00747D41"/>
    <w:rsid w:val="007501C0"/>
    <w:rsid w:val="0075085D"/>
    <w:rsid w:val="00751985"/>
    <w:rsid w:val="00752CA1"/>
    <w:rsid w:val="00753514"/>
    <w:rsid w:val="00753F76"/>
    <w:rsid w:val="00754346"/>
    <w:rsid w:val="00754440"/>
    <w:rsid w:val="00755150"/>
    <w:rsid w:val="00760E84"/>
    <w:rsid w:val="0076101F"/>
    <w:rsid w:val="007622C7"/>
    <w:rsid w:val="00762E1C"/>
    <w:rsid w:val="00763316"/>
    <w:rsid w:val="00763658"/>
    <w:rsid w:val="00763D8D"/>
    <w:rsid w:val="00763F0B"/>
    <w:rsid w:val="007655AE"/>
    <w:rsid w:val="00767D03"/>
    <w:rsid w:val="00770AD1"/>
    <w:rsid w:val="00771DBA"/>
    <w:rsid w:val="00773871"/>
    <w:rsid w:val="00774689"/>
    <w:rsid w:val="00775421"/>
    <w:rsid w:val="007773EF"/>
    <w:rsid w:val="00777C73"/>
    <w:rsid w:val="00780354"/>
    <w:rsid w:val="00780EAF"/>
    <w:rsid w:val="00780F68"/>
    <w:rsid w:val="0078256C"/>
    <w:rsid w:val="00783983"/>
    <w:rsid w:val="007852E8"/>
    <w:rsid w:val="007854F1"/>
    <w:rsid w:val="007854FB"/>
    <w:rsid w:val="00785621"/>
    <w:rsid w:val="00786273"/>
    <w:rsid w:val="00786B54"/>
    <w:rsid w:val="00787EEE"/>
    <w:rsid w:val="00790582"/>
    <w:rsid w:val="00790A2A"/>
    <w:rsid w:val="00795130"/>
    <w:rsid w:val="00795893"/>
    <w:rsid w:val="00796558"/>
    <w:rsid w:val="00796A9C"/>
    <w:rsid w:val="007A07CE"/>
    <w:rsid w:val="007A0D31"/>
    <w:rsid w:val="007A1C7C"/>
    <w:rsid w:val="007A2BCD"/>
    <w:rsid w:val="007A3374"/>
    <w:rsid w:val="007A3A0B"/>
    <w:rsid w:val="007A3DD5"/>
    <w:rsid w:val="007A58C0"/>
    <w:rsid w:val="007A6474"/>
    <w:rsid w:val="007A7277"/>
    <w:rsid w:val="007A76F9"/>
    <w:rsid w:val="007B064B"/>
    <w:rsid w:val="007B2D33"/>
    <w:rsid w:val="007B3BB3"/>
    <w:rsid w:val="007B72C4"/>
    <w:rsid w:val="007B7366"/>
    <w:rsid w:val="007C023F"/>
    <w:rsid w:val="007C0E78"/>
    <w:rsid w:val="007C1423"/>
    <w:rsid w:val="007C1A30"/>
    <w:rsid w:val="007C2CA2"/>
    <w:rsid w:val="007C38FA"/>
    <w:rsid w:val="007C3BD4"/>
    <w:rsid w:val="007C3CB2"/>
    <w:rsid w:val="007C617D"/>
    <w:rsid w:val="007C7E73"/>
    <w:rsid w:val="007D051F"/>
    <w:rsid w:val="007D06BB"/>
    <w:rsid w:val="007D089E"/>
    <w:rsid w:val="007D0BBA"/>
    <w:rsid w:val="007D2550"/>
    <w:rsid w:val="007D2738"/>
    <w:rsid w:val="007D3332"/>
    <w:rsid w:val="007D333C"/>
    <w:rsid w:val="007D3590"/>
    <w:rsid w:val="007D4573"/>
    <w:rsid w:val="007D4835"/>
    <w:rsid w:val="007D6583"/>
    <w:rsid w:val="007D778F"/>
    <w:rsid w:val="007E0C35"/>
    <w:rsid w:val="007E0FFD"/>
    <w:rsid w:val="007E18FC"/>
    <w:rsid w:val="007E4182"/>
    <w:rsid w:val="007E494F"/>
    <w:rsid w:val="007E5BBF"/>
    <w:rsid w:val="007E60FF"/>
    <w:rsid w:val="007E612B"/>
    <w:rsid w:val="007E684F"/>
    <w:rsid w:val="007E68BF"/>
    <w:rsid w:val="007E7E7C"/>
    <w:rsid w:val="007F0B94"/>
    <w:rsid w:val="007F1097"/>
    <w:rsid w:val="007F118E"/>
    <w:rsid w:val="007F26DD"/>
    <w:rsid w:val="007F2884"/>
    <w:rsid w:val="007F2CFD"/>
    <w:rsid w:val="007F3052"/>
    <w:rsid w:val="007F3CED"/>
    <w:rsid w:val="007F42D2"/>
    <w:rsid w:val="007F6DB8"/>
    <w:rsid w:val="007F71A8"/>
    <w:rsid w:val="00800D94"/>
    <w:rsid w:val="00801696"/>
    <w:rsid w:val="00803BFA"/>
    <w:rsid w:val="00803FFB"/>
    <w:rsid w:val="008059A9"/>
    <w:rsid w:val="00805C6A"/>
    <w:rsid w:val="00805FBA"/>
    <w:rsid w:val="00807246"/>
    <w:rsid w:val="008114DC"/>
    <w:rsid w:val="008119E5"/>
    <w:rsid w:val="00812AFF"/>
    <w:rsid w:val="00814803"/>
    <w:rsid w:val="00814C48"/>
    <w:rsid w:val="0081545B"/>
    <w:rsid w:val="008204E2"/>
    <w:rsid w:val="00821BEB"/>
    <w:rsid w:val="00822129"/>
    <w:rsid w:val="0082400F"/>
    <w:rsid w:val="0082434B"/>
    <w:rsid w:val="00824479"/>
    <w:rsid w:val="0082521A"/>
    <w:rsid w:val="00832C5F"/>
    <w:rsid w:val="00833991"/>
    <w:rsid w:val="00834B6A"/>
    <w:rsid w:val="00835773"/>
    <w:rsid w:val="00835C53"/>
    <w:rsid w:val="00836180"/>
    <w:rsid w:val="008369B8"/>
    <w:rsid w:val="00837E6A"/>
    <w:rsid w:val="00841974"/>
    <w:rsid w:val="0084288D"/>
    <w:rsid w:val="008429AF"/>
    <w:rsid w:val="008444BD"/>
    <w:rsid w:val="00846B79"/>
    <w:rsid w:val="00850493"/>
    <w:rsid w:val="00851B24"/>
    <w:rsid w:val="00851F54"/>
    <w:rsid w:val="0085241E"/>
    <w:rsid w:val="00852E05"/>
    <w:rsid w:val="00861ADA"/>
    <w:rsid w:val="0086571B"/>
    <w:rsid w:val="00866AB0"/>
    <w:rsid w:val="00867F1E"/>
    <w:rsid w:val="008706CE"/>
    <w:rsid w:val="00870D8D"/>
    <w:rsid w:val="0087131C"/>
    <w:rsid w:val="008735D5"/>
    <w:rsid w:val="00873D83"/>
    <w:rsid w:val="0087487B"/>
    <w:rsid w:val="00877250"/>
    <w:rsid w:val="00877854"/>
    <w:rsid w:val="00881F03"/>
    <w:rsid w:val="00882E11"/>
    <w:rsid w:val="0088407A"/>
    <w:rsid w:val="00884635"/>
    <w:rsid w:val="008859F2"/>
    <w:rsid w:val="00885EF1"/>
    <w:rsid w:val="008861AE"/>
    <w:rsid w:val="008902F2"/>
    <w:rsid w:val="00890F31"/>
    <w:rsid w:val="00892597"/>
    <w:rsid w:val="00894CB7"/>
    <w:rsid w:val="00896267"/>
    <w:rsid w:val="00896DBE"/>
    <w:rsid w:val="00897504"/>
    <w:rsid w:val="008A096F"/>
    <w:rsid w:val="008A1C2D"/>
    <w:rsid w:val="008A277B"/>
    <w:rsid w:val="008A3471"/>
    <w:rsid w:val="008A385B"/>
    <w:rsid w:val="008A5417"/>
    <w:rsid w:val="008A5EF0"/>
    <w:rsid w:val="008A63AB"/>
    <w:rsid w:val="008A7ECA"/>
    <w:rsid w:val="008B035B"/>
    <w:rsid w:val="008B03CA"/>
    <w:rsid w:val="008B2805"/>
    <w:rsid w:val="008B33A2"/>
    <w:rsid w:val="008B4790"/>
    <w:rsid w:val="008B4A0A"/>
    <w:rsid w:val="008B5E45"/>
    <w:rsid w:val="008C134F"/>
    <w:rsid w:val="008C1413"/>
    <w:rsid w:val="008C33C4"/>
    <w:rsid w:val="008C3699"/>
    <w:rsid w:val="008C397F"/>
    <w:rsid w:val="008D007F"/>
    <w:rsid w:val="008D1919"/>
    <w:rsid w:val="008D4019"/>
    <w:rsid w:val="008D5ECA"/>
    <w:rsid w:val="008D63EF"/>
    <w:rsid w:val="008D6C00"/>
    <w:rsid w:val="008D7D2E"/>
    <w:rsid w:val="008E077D"/>
    <w:rsid w:val="008E0FBB"/>
    <w:rsid w:val="008E69D7"/>
    <w:rsid w:val="008E70EF"/>
    <w:rsid w:val="008F0355"/>
    <w:rsid w:val="008F0F5E"/>
    <w:rsid w:val="008F2F92"/>
    <w:rsid w:val="008F689B"/>
    <w:rsid w:val="008F7F26"/>
    <w:rsid w:val="00900087"/>
    <w:rsid w:val="009000F2"/>
    <w:rsid w:val="00900A2B"/>
    <w:rsid w:val="00901D0E"/>
    <w:rsid w:val="009034E6"/>
    <w:rsid w:val="00903C2E"/>
    <w:rsid w:val="009046A9"/>
    <w:rsid w:val="0090678C"/>
    <w:rsid w:val="00907BCB"/>
    <w:rsid w:val="00910011"/>
    <w:rsid w:val="00910CE3"/>
    <w:rsid w:val="00911F27"/>
    <w:rsid w:val="00913F46"/>
    <w:rsid w:val="009141EF"/>
    <w:rsid w:val="00915956"/>
    <w:rsid w:val="00917471"/>
    <w:rsid w:val="00920C27"/>
    <w:rsid w:val="00920E07"/>
    <w:rsid w:val="0092374D"/>
    <w:rsid w:val="00923BAA"/>
    <w:rsid w:val="00923D4B"/>
    <w:rsid w:val="00924970"/>
    <w:rsid w:val="009267F6"/>
    <w:rsid w:val="00926AAE"/>
    <w:rsid w:val="00927463"/>
    <w:rsid w:val="0092757B"/>
    <w:rsid w:val="00927665"/>
    <w:rsid w:val="009305F5"/>
    <w:rsid w:val="009317C0"/>
    <w:rsid w:val="009326BF"/>
    <w:rsid w:val="00932915"/>
    <w:rsid w:val="00932A00"/>
    <w:rsid w:val="0093787B"/>
    <w:rsid w:val="00937BC1"/>
    <w:rsid w:val="00942C8E"/>
    <w:rsid w:val="009431BE"/>
    <w:rsid w:val="0094601E"/>
    <w:rsid w:val="00947A0B"/>
    <w:rsid w:val="0095111A"/>
    <w:rsid w:val="009524F6"/>
    <w:rsid w:val="00954F31"/>
    <w:rsid w:val="00960631"/>
    <w:rsid w:val="009607A3"/>
    <w:rsid w:val="00961330"/>
    <w:rsid w:val="009614AF"/>
    <w:rsid w:val="00961BEE"/>
    <w:rsid w:val="00962676"/>
    <w:rsid w:val="00963095"/>
    <w:rsid w:val="00964371"/>
    <w:rsid w:val="00964F1C"/>
    <w:rsid w:val="00965869"/>
    <w:rsid w:val="009672A4"/>
    <w:rsid w:val="009673F8"/>
    <w:rsid w:val="00970F7F"/>
    <w:rsid w:val="009727B0"/>
    <w:rsid w:val="00973859"/>
    <w:rsid w:val="00973DEF"/>
    <w:rsid w:val="00974A70"/>
    <w:rsid w:val="00974AE4"/>
    <w:rsid w:val="00977F99"/>
    <w:rsid w:val="00983C33"/>
    <w:rsid w:val="00983EB5"/>
    <w:rsid w:val="009900E6"/>
    <w:rsid w:val="00990546"/>
    <w:rsid w:val="00990A55"/>
    <w:rsid w:val="00990F17"/>
    <w:rsid w:val="009912B5"/>
    <w:rsid w:val="00991437"/>
    <w:rsid w:val="009914DC"/>
    <w:rsid w:val="0099212D"/>
    <w:rsid w:val="00992F81"/>
    <w:rsid w:val="00993E30"/>
    <w:rsid w:val="0099403F"/>
    <w:rsid w:val="009A3DA3"/>
    <w:rsid w:val="009A3DE0"/>
    <w:rsid w:val="009A6B9B"/>
    <w:rsid w:val="009A6D57"/>
    <w:rsid w:val="009B0B63"/>
    <w:rsid w:val="009B2564"/>
    <w:rsid w:val="009B4C1C"/>
    <w:rsid w:val="009C07AA"/>
    <w:rsid w:val="009C3ECB"/>
    <w:rsid w:val="009C3F91"/>
    <w:rsid w:val="009C59D3"/>
    <w:rsid w:val="009C5FAB"/>
    <w:rsid w:val="009C6BDC"/>
    <w:rsid w:val="009C6D8D"/>
    <w:rsid w:val="009C7126"/>
    <w:rsid w:val="009D2574"/>
    <w:rsid w:val="009D25F6"/>
    <w:rsid w:val="009D3188"/>
    <w:rsid w:val="009D3B4B"/>
    <w:rsid w:val="009D4D5E"/>
    <w:rsid w:val="009D734D"/>
    <w:rsid w:val="009E0DB9"/>
    <w:rsid w:val="009E56D5"/>
    <w:rsid w:val="009E59DB"/>
    <w:rsid w:val="009E662A"/>
    <w:rsid w:val="009E69CE"/>
    <w:rsid w:val="009E6A63"/>
    <w:rsid w:val="009E7A09"/>
    <w:rsid w:val="009F0910"/>
    <w:rsid w:val="009F17BE"/>
    <w:rsid w:val="009F2679"/>
    <w:rsid w:val="009F41F3"/>
    <w:rsid w:val="009F4BE5"/>
    <w:rsid w:val="00A000D9"/>
    <w:rsid w:val="00A00612"/>
    <w:rsid w:val="00A01602"/>
    <w:rsid w:val="00A01EB1"/>
    <w:rsid w:val="00A02D03"/>
    <w:rsid w:val="00A02E94"/>
    <w:rsid w:val="00A03E69"/>
    <w:rsid w:val="00A057DC"/>
    <w:rsid w:val="00A05EBD"/>
    <w:rsid w:val="00A0725B"/>
    <w:rsid w:val="00A10153"/>
    <w:rsid w:val="00A10467"/>
    <w:rsid w:val="00A10E87"/>
    <w:rsid w:val="00A11E72"/>
    <w:rsid w:val="00A11EC9"/>
    <w:rsid w:val="00A121FB"/>
    <w:rsid w:val="00A12F69"/>
    <w:rsid w:val="00A16E36"/>
    <w:rsid w:val="00A173CE"/>
    <w:rsid w:val="00A17A74"/>
    <w:rsid w:val="00A20BF5"/>
    <w:rsid w:val="00A2196B"/>
    <w:rsid w:val="00A220E4"/>
    <w:rsid w:val="00A2286E"/>
    <w:rsid w:val="00A22A04"/>
    <w:rsid w:val="00A23FCD"/>
    <w:rsid w:val="00A24E49"/>
    <w:rsid w:val="00A25D2E"/>
    <w:rsid w:val="00A25F38"/>
    <w:rsid w:val="00A27411"/>
    <w:rsid w:val="00A27C51"/>
    <w:rsid w:val="00A27F06"/>
    <w:rsid w:val="00A308A7"/>
    <w:rsid w:val="00A31048"/>
    <w:rsid w:val="00A3231B"/>
    <w:rsid w:val="00A33005"/>
    <w:rsid w:val="00A33739"/>
    <w:rsid w:val="00A33E6D"/>
    <w:rsid w:val="00A341B4"/>
    <w:rsid w:val="00A34C99"/>
    <w:rsid w:val="00A35874"/>
    <w:rsid w:val="00A36910"/>
    <w:rsid w:val="00A370A6"/>
    <w:rsid w:val="00A375F1"/>
    <w:rsid w:val="00A40BD7"/>
    <w:rsid w:val="00A41B24"/>
    <w:rsid w:val="00A43DC7"/>
    <w:rsid w:val="00A4406D"/>
    <w:rsid w:val="00A443A8"/>
    <w:rsid w:val="00A444BF"/>
    <w:rsid w:val="00A479FE"/>
    <w:rsid w:val="00A50584"/>
    <w:rsid w:val="00A50F06"/>
    <w:rsid w:val="00A50F7F"/>
    <w:rsid w:val="00A5152D"/>
    <w:rsid w:val="00A52F85"/>
    <w:rsid w:val="00A55021"/>
    <w:rsid w:val="00A55B32"/>
    <w:rsid w:val="00A56F38"/>
    <w:rsid w:val="00A56FEA"/>
    <w:rsid w:val="00A57205"/>
    <w:rsid w:val="00A57387"/>
    <w:rsid w:val="00A57436"/>
    <w:rsid w:val="00A60239"/>
    <w:rsid w:val="00A605F9"/>
    <w:rsid w:val="00A60B8F"/>
    <w:rsid w:val="00A60E45"/>
    <w:rsid w:val="00A61404"/>
    <w:rsid w:val="00A63BA5"/>
    <w:rsid w:val="00A66693"/>
    <w:rsid w:val="00A66D1F"/>
    <w:rsid w:val="00A66EE9"/>
    <w:rsid w:val="00A6714F"/>
    <w:rsid w:val="00A701DE"/>
    <w:rsid w:val="00A7047C"/>
    <w:rsid w:val="00A70D17"/>
    <w:rsid w:val="00A7287F"/>
    <w:rsid w:val="00A73844"/>
    <w:rsid w:val="00A76165"/>
    <w:rsid w:val="00A7692F"/>
    <w:rsid w:val="00A77E6F"/>
    <w:rsid w:val="00A80D20"/>
    <w:rsid w:val="00A81B8E"/>
    <w:rsid w:val="00A83F2E"/>
    <w:rsid w:val="00A84F5B"/>
    <w:rsid w:val="00A8504E"/>
    <w:rsid w:val="00A86EA4"/>
    <w:rsid w:val="00A91A3E"/>
    <w:rsid w:val="00A92139"/>
    <w:rsid w:val="00A92E86"/>
    <w:rsid w:val="00A95E98"/>
    <w:rsid w:val="00A9783A"/>
    <w:rsid w:val="00AA01D4"/>
    <w:rsid w:val="00AA08E7"/>
    <w:rsid w:val="00AA1BA4"/>
    <w:rsid w:val="00AA268A"/>
    <w:rsid w:val="00AA27AA"/>
    <w:rsid w:val="00AA2D96"/>
    <w:rsid w:val="00AA3BF1"/>
    <w:rsid w:val="00AA4921"/>
    <w:rsid w:val="00AA6FA7"/>
    <w:rsid w:val="00AB0EEC"/>
    <w:rsid w:val="00AB2200"/>
    <w:rsid w:val="00AB2A7B"/>
    <w:rsid w:val="00AB312A"/>
    <w:rsid w:val="00AB5741"/>
    <w:rsid w:val="00AB592C"/>
    <w:rsid w:val="00AB5B2F"/>
    <w:rsid w:val="00AB6F83"/>
    <w:rsid w:val="00AB72EE"/>
    <w:rsid w:val="00AB738C"/>
    <w:rsid w:val="00AB7A64"/>
    <w:rsid w:val="00AC240E"/>
    <w:rsid w:val="00AC2906"/>
    <w:rsid w:val="00AC318C"/>
    <w:rsid w:val="00AC371A"/>
    <w:rsid w:val="00AC3F10"/>
    <w:rsid w:val="00AC4034"/>
    <w:rsid w:val="00AC42D0"/>
    <w:rsid w:val="00AC5A44"/>
    <w:rsid w:val="00AC627A"/>
    <w:rsid w:val="00AC66C5"/>
    <w:rsid w:val="00AC7848"/>
    <w:rsid w:val="00AD0B32"/>
    <w:rsid w:val="00AD3233"/>
    <w:rsid w:val="00AD37C3"/>
    <w:rsid w:val="00AD619D"/>
    <w:rsid w:val="00AD6605"/>
    <w:rsid w:val="00AD6A64"/>
    <w:rsid w:val="00AD6AB3"/>
    <w:rsid w:val="00AD6DA0"/>
    <w:rsid w:val="00AD712B"/>
    <w:rsid w:val="00AD7516"/>
    <w:rsid w:val="00AE0A63"/>
    <w:rsid w:val="00AE1D02"/>
    <w:rsid w:val="00AE1EF8"/>
    <w:rsid w:val="00AE4716"/>
    <w:rsid w:val="00AE4EBF"/>
    <w:rsid w:val="00AE603D"/>
    <w:rsid w:val="00AE6608"/>
    <w:rsid w:val="00AF0B62"/>
    <w:rsid w:val="00AF52F9"/>
    <w:rsid w:val="00AF735A"/>
    <w:rsid w:val="00B020FB"/>
    <w:rsid w:val="00B0311B"/>
    <w:rsid w:val="00B04DC9"/>
    <w:rsid w:val="00B053C9"/>
    <w:rsid w:val="00B0556F"/>
    <w:rsid w:val="00B06A9C"/>
    <w:rsid w:val="00B078DD"/>
    <w:rsid w:val="00B07B88"/>
    <w:rsid w:val="00B101FD"/>
    <w:rsid w:val="00B10C1D"/>
    <w:rsid w:val="00B10DE1"/>
    <w:rsid w:val="00B143F1"/>
    <w:rsid w:val="00B14BFB"/>
    <w:rsid w:val="00B17897"/>
    <w:rsid w:val="00B24E4D"/>
    <w:rsid w:val="00B2516C"/>
    <w:rsid w:val="00B2587E"/>
    <w:rsid w:val="00B300AD"/>
    <w:rsid w:val="00B327D2"/>
    <w:rsid w:val="00B32C0E"/>
    <w:rsid w:val="00B334BF"/>
    <w:rsid w:val="00B358FF"/>
    <w:rsid w:val="00B35B22"/>
    <w:rsid w:val="00B36265"/>
    <w:rsid w:val="00B3686F"/>
    <w:rsid w:val="00B4084B"/>
    <w:rsid w:val="00B416BE"/>
    <w:rsid w:val="00B43373"/>
    <w:rsid w:val="00B45B74"/>
    <w:rsid w:val="00B47818"/>
    <w:rsid w:val="00B512A8"/>
    <w:rsid w:val="00B51D99"/>
    <w:rsid w:val="00B5205E"/>
    <w:rsid w:val="00B53412"/>
    <w:rsid w:val="00B547DA"/>
    <w:rsid w:val="00B54DC6"/>
    <w:rsid w:val="00B55B57"/>
    <w:rsid w:val="00B567D7"/>
    <w:rsid w:val="00B57693"/>
    <w:rsid w:val="00B61B4E"/>
    <w:rsid w:val="00B62085"/>
    <w:rsid w:val="00B65447"/>
    <w:rsid w:val="00B7061C"/>
    <w:rsid w:val="00B70DE9"/>
    <w:rsid w:val="00B74E74"/>
    <w:rsid w:val="00B8186C"/>
    <w:rsid w:val="00B81BD8"/>
    <w:rsid w:val="00B84899"/>
    <w:rsid w:val="00B8495F"/>
    <w:rsid w:val="00B85A63"/>
    <w:rsid w:val="00B873B5"/>
    <w:rsid w:val="00B87961"/>
    <w:rsid w:val="00B87E41"/>
    <w:rsid w:val="00B93260"/>
    <w:rsid w:val="00B93F28"/>
    <w:rsid w:val="00B955E1"/>
    <w:rsid w:val="00B9711E"/>
    <w:rsid w:val="00B972CB"/>
    <w:rsid w:val="00BA0FD9"/>
    <w:rsid w:val="00BA1A34"/>
    <w:rsid w:val="00BA3D96"/>
    <w:rsid w:val="00BA40D9"/>
    <w:rsid w:val="00BB0BA8"/>
    <w:rsid w:val="00BB0FE5"/>
    <w:rsid w:val="00BB19B2"/>
    <w:rsid w:val="00BB2CE1"/>
    <w:rsid w:val="00BB37A8"/>
    <w:rsid w:val="00BB5C44"/>
    <w:rsid w:val="00BB6206"/>
    <w:rsid w:val="00BC0810"/>
    <w:rsid w:val="00BC0CAC"/>
    <w:rsid w:val="00BC3D27"/>
    <w:rsid w:val="00BC3DF2"/>
    <w:rsid w:val="00BC66F9"/>
    <w:rsid w:val="00BC6820"/>
    <w:rsid w:val="00BC6C03"/>
    <w:rsid w:val="00BC6F02"/>
    <w:rsid w:val="00BC6F77"/>
    <w:rsid w:val="00BC7198"/>
    <w:rsid w:val="00BD09C2"/>
    <w:rsid w:val="00BD1031"/>
    <w:rsid w:val="00BD1FA4"/>
    <w:rsid w:val="00BD1FBB"/>
    <w:rsid w:val="00BD20CF"/>
    <w:rsid w:val="00BD455D"/>
    <w:rsid w:val="00BD590A"/>
    <w:rsid w:val="00BD76C9"/>
    <w:rsid w:val="00BD7980"/>
    <w:rsid w:val="00BE0166"/>
    <w:rsid w:val="00BE0DE7"/>
    <w:rsid w:val="00BE2CD8"/>
    <w:rsid w:val="00BE2E79"/>
    <w:rsid w:val="00BE36D4"/>
    <w:rsid w:val="00BE7EED"/>
    <w:rsid w:val="00BF018E"/>
    <w:rsid w:val="00BF18AB"/>
    <w:rsid w:val="00BF212F"/>
    <w:rsid w:val="00BF373E"/>
    <w:rsid w:val="00BF43FA"/>
    <w:rsid w:val="00BF652B"/>
    <w:rsid w:val="00C04385"/>
    <w:rsid w:val="00C045BB"/>
    <w:rsid w:val="00C05482"/>
    <w:rsid w:val="00C05591"/>
    <w:rsid w:val="00C06CB9"/>
    <w:rsid w:val="00C11651"/>
    <w:rsid w:val="00C12472"/>
    <w:rsid w:val="00C127E3"/>
    <w:rsid w:val="00C12993"/>
    <w:rsid w:val="00C12B5E"/>
    <w:rsid w:val="00C12DF0"/>
    <w:rsid w:val="00C14194"/>
    <w:rsid w:val="00C1562E"/>
    <w:rsid w:val="00C15C47"/>
    <w:rsid w:val="00C16E81"/>
    <w:rsid w:val="00C175CA"/>
    <w:rsid w:val="00C208C5"/>
    <w:rsid w:val="00C20FD7"/>
    <w:rsid w:val="00C21C6A"/>
    <w:rsid w:val="00C226BA"/>
    <w:rsid w:val="00C22DF6"/>
    <w:rsid w:val="00C234DE"/>
    <w:rsid w:val="00C2537A"/>
    <w:rsid w:val="00C258D2"/>
    <w:rsid w:val="00C25D38"/>
    <w:rsid w:val="00C2773D"/>
    <w:rsid w:val="00C3203F"/>
    <w:rsid w:val="00C322A8"/>
    <w:rsid w:val="00C33633"/>
    <w:rsid w:val="00C33649"/>
    <w:rsid w:val="00C33D52"/>
    <w:rsid w:val="00C342E1"/>
    <w:rsid w:val="00C377A0"/>
    <w:rsid w:val="00C4004E"/>
    <w:rsid w:val="00C40B0E"/>
    <w:rsid w:val="00C40CCE"/>
    <w:rsid w:val="00C41346"/>
    <w:rsid w:val="00C417B2"/>
    <w:rsid w:val="00C41BF7"/>
    <w:rsid w:val="00C4210A"/>
    <w:rsid w:val="00C43BD6"/>
    <w:rsid w:val="00C45B16"/>
    <w:rsid w:val="00C45EBD"/>
    <w:rsid w:val="00C466DC"/>
    <w:rsid w:val="00C468DC"/>
    <w:rsid w:val="00C47B12"/>
    <w:rsid w:val="00C50681"/>
    <w:rsid w:val="00C51697"/>
    <w:rsid w:val="00C51BE9"/>
    <w:rsid w:val="00C51FB2"/>
    <w:rsid w:val="00C534CE"/>
    <w:rsid w:val="00C5415C"/>
    <w:rsid w:val="00C541D9"/>
    <w:rsid w:val="00C54FAA"/>
    <w:rsid w:val="00C61347"/>
    <w:rsid w:val="00C616B7"/>
    <w:rsid w:val="00C616C7"/>
    <w:rsid w:val="00C62410"/>
    <w:rsid w:val="00C625BA"/>
    <w:rsid w:val="00C62615"/>
    <w:rsid w:val="00C632AB"/>
    <w:rsid w:val="00C6335B"/>
    <w:rsid w:val="00C63F3D"/>
    <w:rsid w:val="00C645D0"/>
    <w:rsid w:val="00C648E8"/>
    <w:rsid w:val="00C64970"/>
    <w:rsid w:val="00C65119"/>
    <w:rsid w:val="00C67B4F"/>
    <w:rsid w:val="00C70C47"/>
    <w:rsid w:val="00C71AC0"/>
    <w:rsid w:val="00C71B20"/>
    <w:rsid w:val="00C72787"/>
    <w:rsid w:val="00C7706B"/>
    <w:rsid w:val="00C80442"/>
    <w:rsid w:val="00C80468"/>
    <w:rsid w:val="00C81276"/>
    <w:rsid w:val="00C81770"/>
    <w:rsid w:val="00C82510"/>
    <w:rsid w:val="00C83288"/>
    <w:rsid w:val="00C835EC"/>
    <w:rsid w:val="00C83A49"/>
    <w:rsid w:val="00C846E1"/>
    <w:rsid w:val="00C861AA"/>
    <w:rsid w:val="00C90211"/>
    <w:rsid w:val="00C90783"/>
    <w:rsid w:val="00C90BDA"/>
    <w:rsid w:val="00C90EBA"/>
    <w:rsid w:val="00C95C0B"/>
    <w:rsid w:val="00C9647E"/>
    <w:rsid w:val="00CA0927"/>
    <w:rsid w:val="00CA0E05"/>
    <w:rsid w:val="00CA1DEA"/>
    <w:rsid w:val="00CA2575"/>
    <w:rsid w:val="00CA3F8E"/>
    <w:rsid w:val="00CA4623"/>
    <w:rsid w:val="00CA4B6A"/>
    <w:rsid w:val="00CA4E0C"/>
    <w:rsid w:val="00CA7973"/>
    <w:rsid w:val="00CA7A9C"/>
    <w:rsid w:val="00CB007D"/>
    <w:rsid w:val="00CB0544"/>
    <w:rsid w:val="00CB09C7"/>
    <w:rsid w:val="00CB0AE0"/>
    <w:rsid w:val="00CB140F"/>
    <w:rsid w:val="00CC1977"/>
    <w:rsid w:val="00CC1F56"/>
    <w:rsid w:val="00CC2185"/>
    <w:rsid w:val="00CC28DD"/>
    <w:rsid w:val="00CC407A"/>
    <w:rsid w:val="00CC4601"/>
    <w:rsid w:val="00CC75A2"/>
    <w:rsid w:val="00CD03F0"/>
    <w:rsid w:val="00CD0A75"/>
    <w:rsid w:val="00CD2162"/>
    <w:rsid w:val="00CD49EF"/>
    <w:rsid w:val="00CE0348"/>
    <w:rsid w:val="00CE05B8"/>
    <w:rsid w:val="00CE2630"/>
    <w:rsid w:val="00CE423E"/>
    <w:rsid w:val="00CE4C8E"/>
    <w:rsid w:val="00CE67AF"/>
    <w:rsid w:val="00CE6FE3"/>
    <w:rsid w:val="00CE73C4"/>
    <w:rsid w:val="00CE7CA6"/>
    <w:rsid w:val="00CF1409"/>
    <w:rsid w:val="00CF22B9"/>
    <w:rsid w:val="00CF3AB2"/>
    <w:rsid w:val="00CF6442"/>
    <w:rsid w:val="00D0148C"/>
    <w:rsid w:val="00D02747"/>
    <w:rsid w:val="00D029A4"/>
    <w:rsid w:val="00D03FFF"/>
    <w:rsid w:val="00D05D2B"/>
    <w:rsid w:val="00D107B7"/>
    <w:rsid w:val="00D1120B"/>
    <w:rsid w:val="00D118C5"/>
    <w:rsid w:val="00D11B8A"/>
    <w:rsid w:val="00D12C9C"/>
    <w:rsid w:val="00D13ECE"/>
    <w:rsid w:val="00D14664"/>
    <w:rsid w:val="00D146DA"/>
    <w:rsid w:val="00D16310"/>
    <w:rsid w:val="00D175D4"/>
    <w:rsid w:val="00D210C6"/>
    <w:rsid w:val="00D226A0"/>
    <w:rsid w:val="00D231A8"/>
    <w:rsid w:val="00D2491E"/>
    <w:rsid w:val="00D27175"/>
    <w:rsid w:val="00D271CA"/>
    <w:rsid w:val="00D304CE"/>
    <w:rsid w:val="00D3079B"/>
    <w:rsid w:val="00D30F40"/>
    <w:rsid w:val="00D3157C"/>
    <w:rsid w:val="00D3167F"/>
    <w:rsid w:val="00D32626"/>
    <w:rsid w:val="00D32974"/>
    <w:rsid w:val="00D33D96"/>
    <w:rsid w:val="00D33F16"/>
    <w:rsid w:val="00D35671"/>
    <w:rsid w:val="00D362D3"/>
    <w:rsid w:val="00D364E5"/>
    <w:rsid w:val="00D36DF1"/>
    <w:rsid w:val="00D37658"/>
    <w:rsid w:val="00D41184"/>
    <w:rsid w:val="00D41B8D"/>
    <w:rsid w:val="00D41D5C"/>
    <w:rsid w:val="00D42666"/>
    <w:rsid w:val="00D428E9"/>
    <w:rsid w:val="00D434B3"/>
    <w:rsid w:val="00D47CF4"/>
    <w:rsid w:val="00D51380"/>
    <w:rsid w:val="00D5212F"/>
    <w:rsid w:val="00D52D57"/>
    <w:rsid w:val="00D52EB8"/>
    <w:rsid w:val="00D53012"/>
    <w:rsid w:val="00D543E3"/>
    <w:rsid w:val="00D557FA"/>
    <w:rsid w:val="00D56D8A"/>
    <w:rsid w:val="00D6208B"/>
    <w:rsid w:val="00D621E8"/>
    <w:rsid w:val="00D6323D"/>
    <w:rsid w:val="00D634A8"/>
    <w:rsid w:val="00D64390"/>
    <w:rsid w:val="00D65736"/>
    <w:rsid w:val="00D6587B"/>
    <w:rsid w:val="00D66511"/>
    <w:rsid w:val="00D66C49"/>
    <w:rsid w:val="00D67916"/>
    <w:rsid w:val="00D70277"/>
    <w:rsid w:val="00D7082A"/>
    <w:rsid w:val="00D71B6A"/>
    <w:rsid w:val="00D75B39"/>
    <w:rsid w:val="00D76498"/>
    <w:rsid w:val="00D76ADD"/>
    <w:rsid w:val="00D80666"/>
    <w:rsid w:val="00D83EAC"/>
    <w:rsid w:val="00D85DDD"/>
    <w:rsid w:val="00D86780"/>
    <w:rsid w:val="00D86E4E"/>
    <w:rsid w:val="00D878B0"/>
    <w:rsid w:val="00D903A5"/>
    <w:rsid w:val="00D94156"/>
    <w:rsid w:val="00D94173"/>
    <w:rsid w:val="00D94439"/>
    <w:rsid w:val="00D96146"/>
    <w:rsid w:val="00D97561"/>
    <w:rsid w:val="00D97FE1"/>
    <w:rsid w:val="00DA02CA"/>
    <w:rsid w:val="00DA15E3"/>
    <w:rsid w:val="00DA5BF2"/>
    <w:rsid w:val="00DB1039"/>
    <w:rsid w:val="00DB2AE9"/>
    <w:rsid w:val="00DB4813"/>
    <w:rsid w:val="00DB6228"/>
    <w:rsid w:val="00DB7D86"/>
    <w:rsid w:val="00DC0E10"/>
    <w:rsid w:val="00DC1484"/>
    <w:rsid w:val="00DC5F49"/>
    <w:rsid w:val="00DC6208"/>
    <w:rsid w:val="00DC77D8"/>
    <w:rsid w:val="00DC7BEC"/>
    <w:rsid w:val="00DD3F0E"/>
    <w:rsid w:val="00DD41D5"/>
    <w:rsid w:val="00DD6398"/>
    <w:rsid w:val="00DE073C"/>
    <w:rsid w:val="00DE16E9"/>
    <w:rsid w:val="00DE195F"/>
    <w:rsid w:val="00DE4365"/>
    <w:rsid w:val="00DE4C6F"/>
    <w:rsid w:val="00DE65EC"/>
    <w:rsid w:val="00DE73AD"/>
    <w:rsid w:val="00DE7B84"/>
    <w:rsid w:val="00DF0D97"/>
    <w:rsid w:val="00DF3765"/>
    <w:rsid w:val="00DF5554"/>
    <w:rsid w:val="00DF631C"/>
    <w:rsid w:val="00DF6436"/>
    <w:rsid w:val="00E00656"/>
    <w:rsid w:val="00E01B46"/>
    <w:rsid w:val="00E05F95"/>
    <w:rsid w:val="00E05FF0"/>
    <w:rsid w:val="00E06324"/>
    <w:rsid w:val="00E06846"/>
    <w:rsid w:val="00E075A1"/>
    <w:rsid w:val="00E109B2"/>
    <w:rsid w:val="00E115BC"/>
    <w:rsid w:val="00E115E0"/>
    <w:rsid w:val="00E11C47"/>
    <w:rsid w:val="00E123C5"/>
    <w:rsid w:val="00E1394C"/>
    <w:rsid w:val="00E1400B"/>
    <w:rsid w:val="00E16905"/>
    <w:rsid w:val="00E17B51"/>
    <w:rsid w:val="00E2249A"/>
    <w:rsid w:val="00E2474A"/>
    <w:rsid w:val="00E25FD7"/>
    <w:rsid w:val="00E2608D"/>
    <w:rsid w:val="00E271BE"/>
    <w:rsid w:val="00E30C20"/>
    <w:rsid w:val="00E30E91"/>
    <w:rsid w:val="00E30EBB"/>
    <w:rsid w:val="00E32B5E"/>
    <w:rsid w:val="00E32D74"/>
    <w:rsid w:val="00E33420"/>
    <w:rsid w:val="00E3371F"/>
    <w:rsid w:val="00E33D2F"/>
    <w:rsid w:val="00E35D4E"/>
    <w:rsid w:val="00E363D3"/>
    <w:rsid w:val="00E3659D"/>
    <w:rsid w:val="00E366C3"/>
    <w:rsid w:val="00E41E7A"/>
    <w:rsid w:val="00E4272F"/>
    <w:rsid w:val="00E42DBB"/>
    <w:rsid w:val="00E42FD5"/>
    <w:rsid w:val="00E43F0E"/>
    <w:rsid w:val="00E47412"/>
    <w:rsid w:val="00E503CA"/>
    <w:rsid w:val="00E50577"/>
    <w:rsid w:val="00E54103"/>
    <w:rsid w:val="00E57717"/>
    <w:rsid w:val="00E6040B"/>
    <w:rsid w:val="00E610C7"/>
    <w:rsid w:val="00E66C39"/>
    <w:rsid w:val="00E67AC7"/>
    <w:rsid w:val="00E7031A"/>
    <w:rsid w:val="00E70CC7"/>
    <w:rsid w:val="00E720C8"/>
    <w:rsid w:val="00E727B4"/>
    <w:rsid w:val="00E72ABE"/>
    <w:rsid w:val="00E7400E"/>
    <w:rsid w:val="00E758B8"/>
    <w:rsid w:val="00E773A0"/>
    <w:rsid w:val="00E776F8"/>
    <w:rsid w:val="00E77F0E"/>
    <w:rsid w:val="00E81B23"/>
    <w:rsid w:val="00E82285"/>
    <w:rsid w:val="00E839B2"/>
    <w:rsid w:val="00E85022"/>
    <w:rsid w:val="00E851EA"/>
    <w:rsid w:val="00E85235"/>
    <w:rsid w:val="00E86332"/>
    <w:rsid w:val="00E87814"/>
    <w:rsid w:val="00E91702"/>
    <w:rsid w:val="00E93343"/>
    <w:rsid w:val="00E9493D"/>
    <w:rsid w:val="00E94FD8"/>
    <w:rsid w:val="00E95D8A"/>
    <w:rsid w:val="00E96140"/>
    <w:rsid w:val="00E972F5"/>
    <w:rsid w:val="00EA18B5"/>
    <w:rsid w:val="00EA48FC"/>
    <w:rsid w:val="00EA69C3"/>
    <w:rsid w:val="00EA7027"/>
    <w:rsid w:val="00EB0D59"/>
    <w:rsid w:val="00EB17BE"/>
    <w:rsid w:val="00EB2203"/>
    <w:rsid w:val="00EB3CD1"/>
    <w:rsid w:val="00EB3FD4"/>
    <w:rsid w:val="00EB3FE1"/>
    <w:rsid w:val="00EB48E1"/>
    <w:rsid w:val="00EB4A8E"/>
    <w:rsid w:val="00EB4EAC"/>
    <w:rsid w:val="00EB5501"/>
    <w:rsid w:val="00EB75FE"/>
    <w:rsid w:val="00EC031D"/>
    <w:rsid w:val="00EC0A39"/>
    <w:rsid w:val="00EC0BE6"/>
    <w:rsid w:val="00EC0C81"/>
    <w:rsid w:val="00EC12EE"/>
    <w:rsid w:val="00EC2985"/>
    <w:rsid w:val="00EC29DE"/>
    <w:rsid w:val="00EC33B7"/>
    <w:rsid w:val="00EC366B"/>
    <w:rsid w:val="00EC47F6"/>
    <w:rsid w:val="00EC5738"/>
    <w:rsid w:val="00EC5A7F"/>
    <w:rsid w:val="00EC5BA4"/>
    <w:rsid w:val="00EC5F9E"/>
    <w:rsid w:val="00ED01CD"/>
    <w:rsid w:val="00ED063F"/>
    <w:rsid w:val="00ED0BAF"/>
    <w:rsid w:val="00ED1A5B"/>
    <w:rsid w:val="00ED35A6"/>
    <w:rsid w:val="00ED3A1C"/>
    <w:rsid w:val="00ED3C2F"/>
    <w:rsid w:val="00ED7CDD"/>
    <w:rsid w:val="00ED7FF2"/>
    <w:rsid w:val="00EE1060"/>
    <w:rsid w:val="00EE1387"/>
    <w:rsid w:val="00EE41A1"/>
    <w:rsid w:val="00EE4E8E"/>
    <w:rsid w:val="00EE5A4D"/>
    <w:rsid w:val="00EE7F07"/>
    <w:rsid w:val="00EF18F6"/>
    <w:rsid w:val="00EF60D4"/>
    <w:rsid w:val="00EF6694"/>
    <w:rsid w:val="00EF6E58"/>
    <w:rsid w:val="00F00DC9"/>
    <w:rsid w:val="00F020CF"/>
    <w:rsid w:val="00F03A6F"/>
    <w:rsid w:val="00F04ED7"/>
    <w:rsid w:val="00F06ABC"/>
    <w:rsid w:val="00F078B5"/>
    <w:rsid w:val="00F12E05"/>
    <w:rsid w:val="00F1348F"/>
    <w:rsid w:val="00F13F50"/>
    <w:rsid w:val="00F15CE1"/>
    <w:rsid w:val="00F15F42"/>
    <w:rsid w:val="00F1642E"/>
    <w:rsid w:val="00F1677C"/>
    <w:rsid w:val="00F17587"/>
    <w:rsid w:val="00F17E9A"/>
    <w:rsid w:val="00F2014D"/>
    <w:rsid w:val="00F22E84"/>
    <w:rsid w:val="00F22F60"/>
    <w:rsid w:val="00F24F9C"/>
    <w:rsid w:val="00F25F7F"/>
    <w:rsid w:val="00F26474"/>
    <w:rsid w:val="00F30AB9"/>
    <w:rsid w:val="00F361CB"/>
    <w:rsid w:val="00F3751F"/>
    <w:rsid w:val="00F41839"/>
    <w:rsid w:val="00F42D51"/>
    <w:rsid w:val="00F434E1"/>
    <w:rsid w:val="00F44830"/>
    <w:rsid w:val="00F448F4"/>
    <w:rsid w:val="00F44BDC"/>
    <w:rsid w:val="00F46A34"/>
    <w:rsid w:val="00F4746C"/>
    <w:rsid w:val="00F4771D"/>
    <w:rsid w:val="00F47780"/>
    <w:rsid w:val="00F478BA"/>
    <w:rsid w:val="00F50FEA"/>
    <w:rsid w:val="00F51A53"/>
    <w:rsid w:val="00F52C04"/>
    <w:rsid w:val="00F5345E"/>
    <w:rsid w:val="00F53597"/>
    <w:rsid w:val="00F538BB"/>
    <w:rsid w:val="00F54189"/>
    <w:rsid w:val="00F56C74"/>
    <w:rsid w:val="00F57207"/>
    <w:rsid w:val="00F5747F"/>
    <w:rsid w:val="00F57533"/>
    <w:rsid w:val="00F606DB"/>
    <w:rsid w:val="00F60E6E"/>
    <w:rsid w:val="00F61444"/>
    <w:rsid w:val="00F61E51"/>
    <w:rsid w:val="00F63A66"/>
    <w:rsid w:val="00F644D9"/>
    <w:rsid w:val="00F656A9"/>
    <w:rsid w:val="00F65867"/>
    <w:rsid w:val="00F663B5"/>
    <w:rsid w:val="00F66DF8"/>
    <w:rsid w:val="00F67ECF"/>
    <w:rsid w:val="00F67F48"/>
    <w:rsid w:val="00F70120"/>
    <w:rsid w:val="00F705AC"/>
    <w:rsid w:val="00F72138"/>
    <w:rsid w:val="00F73E58"/>
    <w:rsid w:val="00F744C3"/>
    <w:rsid w:val="00F74539"/>
    <w:rsid w:val="00F75608"/>
    <w:rsid w:val="00F76083"/>
    <w:rsid w:val="00F80AFB"/>
    <w:rsid w:val="00F842CC"/>
    <w:rsid w:val="00F84EEC"/>
    <w:rsid w:val="00F8543D"/>
    <w:rsid w:val="00F86C2F"/>
    <w:rsid w:val="00F9086D"/>
    <w:rsid w:val="00F908C4"/>
    <w:rsid w:val="00F918C6"/>
    <w:rsid w:val="00F92247"/>
    <w:rsid w:val="00F93649"/>
    <w:rsid w:val="00F9496E"/>
    <w:rsid w:val="00F96741"/>
    <w:rsid w:val="00F971EB"/>
    <w:rsid w:val="00F97732"/>
    <w:rsid w:val="00FA0274"/>
    <w:rsid w:val="00FA1205"/>
    <w:rsid w:val="00FA211A"/>
    <w:rsid w:val="00FA215F"/>
    <w:rsid w:val="00FA390E"/>
    <w:rsid w:val="00FA3A5D"/>
    <w:rsid w:val="00FA3B80"/>
    <w:rsid w:val="00FA45F9"/>
    <w:rsid w:val="00FA5054"/>
    <w:rsid w:val="00FA5383"/>
    <w:rsid w:val="00FA6FA2"/>
    <w:rsid w:val="00FA7A55"/>
    <w:rsid w:val="00FB1764"/>
    <w:rsid w:val="00FB256E"/>
    <w:rsid w:val="00FB2FD5"/>
    <w:rsid w:val="00FB4DEE"/>
    <w:rsid w:val="00FB5172"/>
    <w:rsid w:val="00FB5D2B"/>
    <w:rsid w:val="00FB698D"/>
    <w:rsid w:val="00FC0283"/>
    <w:rsid w:val="00FC076E"/>
    <w:rsid w:val="00FC106E"/>
    <w:rsid w:val="00FC11EF"/>
    <w:rsid w:val="00FC24B4"/>
    <w:rsid w:val="00FC2B68"/>
    <w:rsid w:val="00FC49E1"/>
    <w:rsid w:val="00FC6CD0"/>
    <w:rsid w:val="00FD1537"/>
    <w:rsid w:val="00FD4A27"/>
    <w:rsid w:val="00FD4AA1"/>
    <w:rsid w:val="00FD4C76"/>
    <w:rsid w:val="00FD6DF4"/>
    <w:rsid w:val="00FD7AFE"/>
    <w:rsid w:val="00FE0ABD"/>
    <w:rsid w:val="00FE12EB"/>
    <w:rsid w:val="00FE1A58"/>
    <w:rsid w:val="00FE2736"/>
    <w:rsid w:val="00FE2D4E"/>
    <w:rsid w:val="00FE3AFA"/>
    <w:rsid w:val="00FE4F17"/>
    <w:rsid w:val="00FE6D8D"/>
    <w:rsid w:val="00FF0D60"/>
    <w:rsid w:val="00FF1348"/>
    <w:rsid w:val="00FF3434"/>
    <w:rsid w:val="00FF362B"/>
    <w:rsid w:val="00FF475B"/>
    <w:rsid w:val="00FF6E89"/>
    <w:rsid w:val="00FF7325"/>
    <w:rsid w:val="012114BC"/>
    <w:rsid w:val="01253B48"/>
    <w:rsid w:val="01457AA0"/>
    <w:rsid w:val="0159126E"/>
    <w:rsid w:val="016E2F6B"/>
    <w:rsid w:val="01F8115A"/>
    <w:rsid w:val="02071F10"/>
    <w:rsid w:val="022C1D33"/>
    <w:rsid w:val="025F34C4"/>
    <w:rsid w:val="02D54924"/>
    <w:rsid w:val="0303160E"/>
    <w:rsid w:val="031B62B7"/>
    <w:rsid w:val="033C3A61"/>
    <w:rsid w:val="034D4E02"/>
    <w:rsid w:val="037B3BA2"/>
    <w:rsid w:val="038F1046"/>
    <w:rsid w:val="03C46C2A"/>
    <w:rsid w:val="03CA507A"/>
    <w:rsid w:val="03D22E35"/>
    <w:rsid w:val="03DD7F34"/>
    <w:rsid w:val="03EA3CBC"/>
    <w:rsid w:val="041374AC"/>
    <w:rsid w:val="045671A7"/>
    <w:rsid w:val="04642403"/>
    <w:rsid w:val="04B66A2B"/>
    <w:rsid w:val="04D741E0"/>
    <w:rsid w:val="05045825"/>
    <w:rsid w:val="052F0166"/>
    <w:rsid w:val="05392C0B"/>
    <w:rsid w:val="055A4685"/>
    <w:rsid w:val="05E546BF"/>
    <w:rsid w:val="061E4834"/>
    <w:rsid w:val="062777E6"/>
    <w:rsid w:val="063C3C0E"/>
    <w:rsid w:val="065338B0"/>
    <w:rsid w:val="06587898"/>
    <w:rsid w:val="06594FBB"/>
    <w:rsid w:val="065A27B6"/>
    <w:rsid w:val="06704931"/>
    <w:rsid w:val="067F586E"/>
    <w:rsid w:val="06A12600"/>
    <w:rsid w:val="06BB2AE8"/>
    <w:rsid w:val="06E27093"/>
    <w:rsid w:val="06FC2DC7"/>
    <w:rsid w:val="07013BDD"/>
    <w:rsid w:val="07320597"/>
    <w:rsid w:val="07381C9C"/>
    <w:rsid w:val="07382C26"/>
    <w:rsid w:val="0776753F"/>
    <w:rsid w:val="078C04F6"/>
    <w:rsid w:val="07941102"/>
    <w:rsid w:val="0798411C"/>
    <w:rsid w:val="07C97503"/>
    <w:rsid w:val="07D426F5"/>
    <w:rsid w:val="08040DBC"/>
    <w:rsid w:val="081E4FBF"/>
    <w:rsid w:val="08325F32"/>
    <w:rsid w:val="083640B7"/>
    <w:rsid w:val="0874698D"/>
    <w:rsid w:val="08791D90"/>
    <w:rsid w:val="087A716B"/>
    <w:rsid w:val="088A5722"/>
    <w:rsid w:val="08A94889"/>
    <w:rsid w:val="08AA372B"/>
    <w:rsid w:val="09062D17"/>
    <w:rsid w:val="09412D13"/>
    <w:rsid w:val="094E5430"/>
    <w:rsid w:val="095C19C2"/>
    <w:rsid w:val="09631E2D"/>
    <w:rsid w:val="09A03052"/>
    <w:rsid w:val="09A6701A"/>
    <w:rsid w:val="09E323FF"/>
    <w:rsid w:val="09F94F12"/>
    <w:rsid w:val="0A165F4E"/>
    <w:rsid w:val="0A1E4E03"/>
    <w:rsid w:val="0A2148F3"/>
    <w:rsid w:val="0A4D3DED"/>
    <w:rsid w:val="0A56047D"/>
    <w:rsid w:val="0A7A0616"/>
    <w:rsid w:val="0A974FB2"/>
    <w:rsid w:val="0AC0410C"/>
    <w:rsid w:val="0AD347E3"/>
    <w:rsid w:val="0ADC6BEC"/>
    <w:rsid w:val="0B000223"/>
    <w:rsid w:val="0B0218E5"/>
    <w:rsid w:val="0B24469B"/>
    <w:rsid w:val="0B283233"/>
    <w:rsid w:val="0B884017"/>
    <w:rsid w:val="0BAD0502"/>
    <w:rsid w:val="0BD44AC3"/>
    <w:rsid w:val="0C0E4FAD"/>
    <w:rsid w:val="0C190369"/>
    <w:rsid w:val="0C691833"/>
    <w:rsid w:val="0C767494"/>
    <w:rsid w:val="0C797725"/>
    <w:rsid w:val="0CB5783D"/>
    <w:rsid w:val="0CC91B1E"/>
    <w:rsid w:val="0CCD31E0"/>
    <w:rsid w:val="0D301CF4"/>
    <w:rsid w:val="0D43439C"/>
    <w:rsid w:val="0D4D14FF"/>
    <w:rsid w:val="0D504096"/>
    <w:rsid w:val="0D591226"/>
    <w:rsid w:val="0D604992"/>
    <w:rsid w:val="0D793BD3"/>
    <w:rsid w:val="0D8F42A0"/>
    <w:rsid w:val="0DD6286F"/>
    <w:rsid w:val="0E4532A6"/>
    <w:rsid w:val="0E45624A"/>
    <w:rsid w:val="0E4C56C5"/>
    <w:rsid w:val="0E54285E"/>
    <w:rsid w:val="0E5A03D3"/>
    <w:rsid w:val="0E5E14CC"/>
    <w:rsid w:val="0E9A3CDB"/>
    <w:rsid w:val="0E9D5FED"/>
    <w:rsid w:val="0EEE306B"/>
    <w:rsid w:val="0F053E80"/>
    <w:rsid w:val="0F307AB2"/>
    <w:rsid w:val="0F345416"/>
    <w:rsid w:val="0F437B1F"/>
    <w:rsid w:val="0F4C3579"/>
    <w:rsid w:val="0F50648D"/>
    <w:rsid w:val="0F5337A0"/>
    <w:rsid w:val="0F5357CA"/>
    <w:rsid w:val="0F683FEE"/>
    <w:rsid w:val="0F6D4D62"/>
    <w:rsid w:val="0FB32A13"/>
    <w:rsid w:val="0FD348E1"/>
    <w:rsid w:val="0FFE623B"/>
    <w:rsid w:val="10060813"/>
    <w:rsid w:val="104F3E0C"/>
    <w:rsid w:val="10505F32"/>
    <w:rsid w:val="106B68C8"/>
    <w:rsid w:val="10816748"/>
    <w:rsid w:val="10A831F4"/>
    <w:rsid w:val="10AE4496"/>
    <w:rsid w:val="1145640B"/>
    <w:rsid w:val="114A7AFA"/>
    <w:rsid w:val="118D2E39"/>
    <w:rsid w:val="11AC476B"/>
    <w:rsid w:val="11EA5710"/>
    <w:rsid w:val="120314AE"/>
    <w:rsid w:val="121413A7"/>
    <w:rsid w:val="12422DE9"/>
    <w:rsid w:val="12437AFC"/>
    <w:rsid w:val="1254573F"/>
    <w:rsid w:val="129643C8"/>
    <w:rsid w:val="12BF098A"/>
    <w:rsid w:val="12C7704B"/>
    <w:rsid w:val="12D152D7"/>
    <w:rsid w:val="12E070F9"/>
    <w:rsid w:val="12EC39DE"/>
    <w:rsid w:val="130D1795"/>
    <w:rsid w:val="13183D25"/>
    <w:rsid w:val="133E25E8"/>
    <w:rsid w:val="136C00D3"/>
    <w:rsid w:val="13826402"/>
    <w:rsid w:val="139D148E"/>
    <w:rsid w:val="13AA1C9A"/>
    <w:rsid w:val="13C26686"/>
    <w:rsid w:val="13C442BF"/>
    <w:rsid w:val="14151BB9"/>
    <w:rsid w:val="14184FF7"/>
    <w:rsid w:val="143856AA"/>
    <w:rsid w:val="14465B43"/>
    <w:rsid w:val="14551D69"/>
    <w:rsid w:val="14C67A38"/>
    <w:rsid w:val="14E83F31"/>
    <w:rsid w:val="14F90FE5"/>
    <w:rsid w:val="153E27FD"/>
    <w:rsid w:val="1544354F"/>
    <w:rsid w:val="15562A34"/>
    <w:rsid w:val="15BD2070"/>
    <w:rsid w:val="15E41770"/>
    <w:rsid w:val="16316E94"/>
    <w:rsid w:val="163F4C34"/>
    <w:rsid w:val="16471596"/>
    <w:rsid w:val="16693BBB"/>
    <w:rsid w:val="16996A2D"/>
    <w:rsid w:val="16B9038D"/>
    <w:rsid w:val="16DB4C05"/>
    <w:rsid w:val="16F35CBF"/>
    <w:rsid w:val="171526A5"/>
    <w:rsid w:val="174B5B9E"/>
    <w:rsid w:val="176A0509"/>
    <w:rsid w:val="17914E66"/>
    <w:rsid w:val="17AC0A28"/>
    <w:rsid w:val="17C60BD2"/>
    <w:rsid w:val="183E0A4C"/>
    <w:rsid w:val="188B219C"/>
    <w:rsid w:val="18A173D2"/>
    <w:rsid w:val="18BD0BB9"/>
    <w:rsid w:val="18DC50AC"/>
    <w:rsid w:val="18FA44C6"/>
    <w:rsid w:val="19037A40"/>
    <w:rsid w:val="190F4BB8"/>
    <w:rsid w:val="192D6241"/>
    <w:rsid w:val="194D1959"/>
    <w:rsid w:val="1966062A"/>
    <w:rsid w:val="197741F1"/>
    <w:rsid w:val="19CF2395"/>
    <w:rsid w:val="19DC526F"/>
    <w:rsid w:val="1A0A1C49"/>
    <w:rsid w:val="1A4F2DB6"/>
    <w:rsid w:val="1A6B61C1"/>
    <w:rsid w:val="1A967143"/>
    <w:rsid w:val="1AA260A5"/>
    <w:rsid w:val="1AB8095B"/>
    <w:rsid w:val="1ADF676A"/>
    <w:rsid w:val="1AEA1586"/>
    <w:rsid w:val="1B33291D"/>
    <w:rsid w:val="1B4C088D"/>
    <w:rsid w:val="1B637819"/>
    <w:rsid w:val="1B641A07"/>
    <w:rsid w:val="1BA92945"/>
    <w:rsid w:val="1BAB04C0"/>
    <w:rsid w:val="1BC33DB2"/>
    <w:rsid w:val="1BC7124B"/>
    <w:rsid w:val="1BC8731E"/>
    <w:rsid w:val="1BE23885"/>
    <w:rsid w:val="1BE62985"/>
    <w:rsid w:val="1BE7396C"/>
    <w:rsid w:val="1C613D5E"/>
    <w:rsid w:val="1C6C2C92"/>
    <w:rsid w:val="1C9523D4"/>
    <w:rsid w:val="1C9C05F3"/>
    <w:rsid w:val="1CC248EF"/>
    <w:rsid w:val="1CD51C99"/>
    <w:rsid w:val="1D097B94"/>
    <w:rsid w:val="1D181B85"/>
    <w:rsid w:val="1D1F04A4"/>
    <w:rsid w:val="1D2A6A11"/>
    <w:rsid w:val="1D421CEF"/>
    <w:rsid w:val="1D825D48"/>
    <w:rsid w:val="1D911AE3"/>
    <w:rsid w:val="1DA96600"/>
    <w:rsid w:val="1E401F76"/>
    <w:rsid w:val="1E760799"/>
    <w:rsid w:val="1E834FB4"/>
    <w:rsid w:val="1EA24404"/>
    <w:rsid w:val="1ED02718"/>
    <w:rsid w:val="1EE06FE5"/>
    <w:rsid w:val="1F082189"/>
    <w:rsid w:val="1F1D17AC"/>
    <w:rsid w:val="1F2E40EC"/>
    <w:rsid w:val="1F4153C3"/>
    <w:rsid w:val="1F4B4494"/>
    <w:rsid w:val="1F6468C7"/>
    <w:rsid w:val="1F715824"/>
    <w:rsid w:val="1F936C51"/>
    <w:rsid w:val="1FE8747D"/>
    <w:rsid w:val="1FF26C41"/>
    <w:rsid w:val="201822AE"/>
    <w:rsid w:val="2026631F"/>
    <w:rsid w:val="20455A6C"/>
    <w:rsid w:val="204809D3"/>
    <w:rsid w:val="207672EF"/>
    <w:rsid w:val="2085717B"/>
    <w:rsid w:val="20C31E08"/>
    <w:rsid w:val="20E25415"/>
    <w:rsid w:val="20ED21CF"/>
    <w:rsid w:val="211A4FB9"/>
    <w:rsid w:val="217630C8"/>
    <w:rsid w:val="218F6AD7"/>
    <w:rsid w:val="219525B8"/>
    <w:rsid w:val="21F11323"/>
    <w:rsid w:val="220B0B8D"/>
    <w:rsid w:val="225A67A1"/>
    <w:rsid w:val="2265586D"/>
    <w:rsid w:val="226D1BA7"/>
    <w:rsid w:val="226F0499"/>
    <w:rsid w:val="228C576E"/>
    <w:rsid w:val="22A04AF7"/>
    <w:rsid w:val="22B30375"/>
    <w:rsid w:val="22CB70E1"/>
    <w:rsid w:val="22D65801"/>
    <w:rsid w:val="22DE0239"/>
    <w:rsid w:val="23166B67"/>
    <w:rsid w:val="23381652"/>
    <w:rsid w:val="23823A51"/>
    <w:rsid w:val="238B0811"/>
    <w:rsid w:val="23B65E16"/>
    <w:rsid w:val="23F76D18"/>
    <w:rsid w:val="23FF1E0A"/>
    <w:rsid w:val="240E3764"/>
    <w:rsid w:val="242738E4"/>
    <w:rsid w:val="24794353"/>
    <w:rsid w:val="24BD7BD4"/>
    <w:rsid w:val="24E45016"/>
    <w:rsid w:val="24FA615D"/>
    <w:rsid w:val="24FB56A5"/>
    <w:rsid w:val="250D5433"/>
    <w:rsid w:val="25202814"/>
    <w:rsid w:val="252B42A2"/>
    <w:rsid w:val="252D4D9F"/>
    <w:rsid w:val="255F3C5F"/>
    <w:rsid w:val="257C6931"/>
    <w:rsid w:val="260A0F57"/>
    <w:rsid w:val="2634237E"/>
    <w:rsid w:val="26800F75"/>
    <w:rsid w:val="26814333"/>
    <w:rsid w:val="26942845"/>
    <w:rsid w:val="26CF2FF0"/>
    <w:rsid w:val="26F31699"/>
    <w:rsid w:val="27005865"/>
    <w:rsid w:val="270C3779"/>
    <w:rsid w:val="270C4509"/>
    <w:rsid w:val="271F6EEA"/>
    <w:rsid w:val="276A6636"/>
    <w:rsid w:val="276F6846"/>
    <w:rsid w:val="27FA52BE"/>
    <w:rsid w:val="27FD2CCF"/>
    <w:rsid w:val="280729D7"/>
    <w:rsid w:val="28237639"/>
    <w:rsid w:val="282E2A25"/>
    <w:rsid w:val="28395B43"/>
    <w:rsid w:val="28395C86"/>
    <w:rsid w:val="284B1061"/>
    <w:rsid w:val="28595C3D"/>
    <w:rsid w:val="286B1102"/>
    <w:rsid w:val="28781E4D"/>
    <w:rsid w:val="287E4827"/>
    <w:rsid w:val="28847A77"/>
    <w:rsid w:val="28AB5C33"/>
    <w:rsid w:val="28BD7277"/>
    <w:rsid w:val="28D30224"/>
    <w:rsid w:val="291D3752"/>
    <w:rsid w:val="29211FA8"/>
    <w:rsid w:val="294511AB"/>
    <w:rsid w:val="297C64FE"/>
    <w:rsid w:val="2987431B"/>
    <w:rsid w:val="299D3B3E"/>
    <w:rsid w:val="29D97D23"/>
    <w:rsid w:val="29FC1285"/>
    <w:rsid w:val="2A5A171A"/>
    <w:rsid w:val="2AC05D36"/>
    <w:rsid w:val="2ACB7241"/>
    <w:rsid w:val="2AEF4093"/>
    <w:rsid w:val="2AF05EF0"/>
    <w:rsid w:val="2AF25618"/>
    <w:rsid w:val="2B14246C"/>
    <w:rsid w:val="2BAD7CFC"/>
    <w:rsid w:val="2BDD6E12"/>
    <w:rsid w:val="2BDE4FB1"/>
    <w:rsid w:val="2C061DB2"/>
    <w:rsid w:val="2C1A203F"/>
    <w:rsid w:val="2C4D23FF"/>
    <w:rsid w:val="2C58157D"/>
    <w:rsid w:val="2C5C4B14"/>
    <w:rsid w:val="2C6D2895"/>
    <w:rsid w:val="2CB441B7"/>
    <w:rsid w:val="2CD04D6B"/>
    <w:rsid w:val="2CE1615C"/>
    <w:rsid w:val="2D5B3AF4"/>
    <w:rsid w:val="2D780009"/>
    <w:rsid w:val="2D7E3C87"/>
    <w:rsid w:val="2D8B6059"/>
    <w:rsid w:val="2DA941C7"/>
    <w:rsid w:val="2DF857E7"/>
    <w:rsid w:val="2E112405"/>
    <w:rsid w:val="2E131767"/>
    <w:rsid w:val="2E173103"/>
    <w:rsid w:val="2E1C50FE"/>
    <w:rsid w:val="2E3305CD"/>
    <w:rsid w:val="2E5842B1"/>
    <w:rsid w:val="2E6764C9"/>
    <w:rsid w:val="2E6D4D14"/>
    <w:rsid w:val="2E8773B2"/>
    <w:rsid w:val="2E945F44"/>
    <w:rsid w:val="2E9F0E2E"/>
    <w:rsid w:val="2ECB2EFB"/>
    <w:rsid w:val="2F083808"/>
    <w:rsid w:val="2F0F6874"/>
    <w:rsid w:val="2F1F1A24"/>
    <w:rsid w:val="2F2A7D08"/>
    <w:rsid w:val="2F4D1D9D"/>
    <w:rsid w:val="2F545D5E"/>
    <w:rsid w:val="2F977252"/>
    <w:rsid w:val="2FA05BA5"/>
    <w:rsid w:val="2FB84171"/>
    <w:rsid w:val="2FE813FF"/>
    <w:rsid w:val="301E5B84"/>
    <w:rsid w:val="302556FE"/>
    <w:rsid w:val="302E66E2"/>
    <w:rsid w:val="303E02A3"/>
    <w:rsid w:val="3042622C"/>
    <w:rsid w:val="30580118"/>
    <w:rsid w:val="305A1808"/>
    <w:rsid w:val="30676C54"/>
    <w:rsid w:val="3088164A"/>
    <w:rsid w:val="31161A4A"/>
    <w:rsid w:val="3143321D"/>
    <w:rsid w:val="3149122A"/>
    <w:rsid w:val="31A013F2"/>
    <w:rsid w:val="31A67308"/>
    <w:rsid w:val="31D36B71"/>
    <w:rsid w:val="31E3230A"/>
    <w:rsid w:val="31F11D76"/>
    <w:rsid w:val="323C7F83"/>
    <w:rsid w:val="32543990"/>
    <w:rsid w:val="3257092B"/>
    <w:rsid w:val="327446C9"/>
    <w:rsid w:val="32762D01"/>
    <w:rsid w:val="328E7CBF"/>
    <w:rsid w:val="32990E2E"/>
    <w:rsid w:val="32E766E5"/>
    <w:rsid w:val="33093FF2"/>
    <w:rsid w:val="331035D3"/>
    <w:rsid w:val="331C1B02"/>
    <w:rsid w:val="33361367"/>
    <w:rsid w:val="333E33C9"/>
    <w:rsid w:val="336E5CC5"/>
    <w:rsid w:val="338F301C"/>
    <w:rsid w:val="339A10EE"/>
    <w:rsid w:val="33B45D0C"/>
    <w:rsid w:val="33EA7AC3"/>
    <w:rsid w:val="33ED675C"/>
    <w:rsid w:val="341605B0"/>
    <w:rsid w:val="341F1950"/>
    <w:rsid w:val="342F758C"/>
    <w:rsid w:val="347E5ED8"/>
    <w:rsid w:val="348713E5"/>
    <w:rsid w:val="349A2AB8"/>
    <w:rsid w:val="34D50630"/>
    <w:rsid w:val="34D819EE"/>
    <w:rsid w:val="3504442F"/>
    <w:rsid w:val="35152E75"/>
    <w:rsid w:val="35190E28"/>
    <w:rsid w:val="35302189"/>
    <w:rsid w:val="35342790"/>
    <w:rsid w:val="354B5054"/>
    <w:rsid w:val="35E102CC"/>
    <w:rsid w:val="35FF46A1"/>
    <w:rsid w:val="36492328"/>
    <w:rsid w:val="364A32AA"/>
    <w:rsid w:val="36591F03"/>
    <w:rsid w:val="366827CD"/>
    <w:rsid w:val="36A165F4"/>
    <w:rsid w:val="36BA67BA"/>
    <w:rsid w:val="36E524B4"/>
    <w:rsid w:val="37523F40"/>
    <w:rsid w:val="3756577A"/>
    <w:rsid w:val="37932FB3"/>
    <w:rsid w:val="37FC4DE7"/>
    <w:rsid w:val="383019F2"/>
    <w:rsid w:val="3837515E"/>
    <w:rsid w:val="384C0988"/>
    <w:rsid w:val="38836E09"/>
    <w:rsid w:val="388B3E9B"/>
    <w:rsid w:val="38AC0A5D"/>
    <w:rsid w:val="38BB0283"/>
    <w:rsid w:val="38BE10AA"/>
    <w:rsid w:val="38DA0C1B"/>
    <w:rsid w:val="390809D8"/>
    <w:rsid w:val="39226E2A"/>
    <w:rsid w:val="392A43AE"/>
    <w:rsid w:val="399505FE"/>
    <w:rsid w:val="39D87CA7"/>
    <w:rsid w:val="39E62997"/>
    <w:rsid w:val="3A4854BF"/>
    <w:rsid w:val="3A6C3210"/>
    <w:rsid w:val="3A704B3D"/>
    <w:rsid w:val="3A8A02A9"/>
    <w:rsid w:val="3A9307FA"/>
    <w:rsid w:val="3A9710C0"/>
    <w:rsid w:val="3AA3154F"/>
    <w:rsid w:val="3AA9564F"/>
    <w:rsid w:val="3AB37600"/>
    <w:rsid w:val="3AD32285"/>
    <w:rsid w:val="3AD60C5E"/>
    <w:rsid w:val="3AD9278E"/>
    <w:rsid w:val="3ADB44C6"/>
    <w:rsid w:val="3B31626A"/>
    <w:rsid w:val="3B620744"/>
    <w:rsid w:val="3B6C30CC"/>
    <w:rsid w:val="3B901F24"/>
    <w:rsid w:val="3BB80289"/>
    <w:rsid w:val="3BBA40DC"/>
    <w:rsid w:val="3BC66EC3"/>
    <w:rsid w:val="3BC9638C"/>
    <w:rsid w:val="3C0416AE"/>
    <w:rsid w:val="3C2D68BD"/>
    <w:rsid w:val="3C3E2F5F"/>
    <w:rsid w:val="3C590EB4"/>
    <w:rsid w:val="3C6127A9"/>
    <w:rsid w:val="3CAB1C76"/>
    <w:rsid w:val="3CC64D02"/>
    <w:rsid w:val="3D0535AB"/>
    <w:rsid w:val="3D233E3A"/>
    <w:rsid w:val="3D7C2E18"/>
    <w:rsid w:val="3D874491"/>
    <w:rsid w:val="3D904E36"/>
    <w:rsid w:val="3D972092"/>
    <w:rsid w:val="3DAC5AD8"/>
    <w:rsid w:val="3DBB53B2"/>
    <w:rsid w:val="3DC81239"/>
    <w:rsid w:val="3DDD2A22"/>
    <w:rsid w:val="3E104487"/>
    <w:rsid w:val="3E18333B"/>
    <w:rsid w:val="3E285C74"/>
    <w:rsid w:val="3E9D219C"/>
    <w:rsid w:val="3EF14302"/>
    <w:rsid w:val="3F33161D"/>
    <w:rsid w:val="3F5022E8"/>
    <w:rsid w:val="3F653DC5"/>
    <w:rsid w:val="3F963A29"/>
    <w:rsid w:val="3F9D5090"/>
    <w:rsid w:val="3FD85E5B"/>
    <w:rsid w:val="3FF26AA5"/>
    <w:rsid w:val="40162482"/>
    <w:rsid w:val="403F546D"/>
    <w:rsid w:val="40652C92"/>
    <w:rsid w:val="40751F29"/>
    <w:rsid w:val="40871F4E"/>
    <w:rsid w:val="40E55E64"/>
    <w:rsid w:val="414432AC"/>
    <w:rsid w:val="41525FDD"/>
    <w:rsid w:val="41771C40"/>
    <w:rsid w:val="419F07BD"/>
    <w:rsid w:val="41B037C7"/>
    <w:rsid w:val="41E1274D"/>
    <w:rsid w:val="42360B4D"/>
    <w:rsid w:val="42772F86"/>
    <w:rsid w:val="428B0BD4"/>
    <w:rsid w:val="42AF7882"/>
    <w:rsid w:val="42B26A6D"/>
    <w:rsid w:val="42E34324"/>
    <w:rsid w:val="43151B79"/>
    <w:rsid w:val="43554E78"/>
    <w:rsid w:val="437B23A2"/>
    <w:rsid w:val="437C611B"/>
    <w:rsid w:val="43A15B81"/>
    <w:rsid w:val="44882599"/>
    <w:rsid w:val="448A278A"/>
    <w:rsid w:val="44B37E8E"/>
    <w:rsid w:val="450F1536"/>
    <w:rsid w:val="451474E6"/>
    <w:rsid w:val="45357999"/>
    <w:rsid w:val="45636017"/>
    <w:rsid w:val="4579725D"/>
    <w:rsid w:val="458E6825"/>
    <w:rsid w:val="45B130F2"/>
    <w:rsid w:val="45CC032D"/>
    <w:rsid w:val="45D40490"/>
    <w:rsid w:val="46052E01"/>
    <w:rsid w:val="460B4558"/>
    <w:rsid w:val="463158E2"/>
    <w:rsid w:val="4675073E"/>
    <w:rsid w:val="46AE0CE1"/>
    <w:rsid w:val="46C55DCC"/>
    <w:rsid w:val="46C6468B"/>
    <w:rsid w:val="46F844A0"/>
    <w:rsid w:val="4796435D"/>
    <w:rsid w:val="479737EA"/>
    <w:rsid w:val="47A71452"/>
    <w:rsid w:val="47AC6A0C"/>
    <w:rsid w:val="47B57CFD"/>
    <w:rsid w:val="47B61E19"/>
    <w:rsid w:val="47EF0BFA"/>
    <w:rsid w:val="47F02BAE"/>
    <w:rsid w:val="48000204"/>
    <w:rsid w:val="48117779"/>
    <w:rsid w:val="482C4604"/>
    <w:rsid w:val="48394AF3"/>
    <w:rsid w:val="48656FDA"/>
    <w:rsid w:val="486F3408"/>
    <w:rsid w:val="489363E0"/>
    <w:rsid w:val="48CE0FEE"/>
    <w:rsid w:val="48E625BA"/>
    <w:rsid w:val="49680762"/>
    <w:rsid w:val="497B498D"/>
    <w:rsid w:val="498741DD"/>
    <w:rsid w:val="49AA6974"/>
    <w:rsid w:val="4A066ACF"/>
    <w:rsid w:val="4A17094B"/>
    <w:rsid w:val="4A1D136F"/>
    <w:rsid w:val="4A503956"/>
    <w:rsid w:val="4A7879BC"/>
    <w:rsid w:val="4A930919"/>
    <w:rsid w:val="4A9345D2"/>
    <w:rsid w:val="4AAD4DBB"/>
    <w:rsid w:val="4AC726A3"/>
    <w:rsid w:val="4AD44F71"/>
    <w:rsid w:val="4AF45105"/>
    <w:rsid w:val="4B1C090F"/>
    <w:rsid w:val="4B21126D"/>
    <w:rsid w:val="4B212A60"/>
    <w:rsid w:val="4B5C0504"/>
    <w:rsid w:val="4B6A4307"/>
    <w:rsid w:val="4B710E6B"/>
    <w:rsid w:val="4B86222C"/>
    <w:rsid w:val="4BB15646"/>
    <w:rsid w:val="4BBC58A8"/>
    <w:rsid w:val="4C101089"/>
    <w:rsid w:val="4C1330E1"/>
    <w:rsid w:val="4C192CD2"/>
    <w:rsid w:val="4C6F2720"/>
    <w:rsid w:val="4C9927FD"/>
    <w:rsid w:val="4CB22BAD"/>
    <w:rsid w:val="4CB63993"/>
    <w:rsid w:val="4CB712E5"/>
    <w:rsid w:val="4CBB5F06"/>
    <w:rsid w:val="4D0D684A"/>
    <w:rsid w:val="4D216D85"/>
    <w:rsid w:val="4D371F22"/>
    <w:rsid w:val="4D471771"/>
    <w:rsid w:val="4DA150FD"/>
    <w:rsid w:val="4DB16BCF"/>
    <w:rsid w:val="4DFE1CAA"/>
    <w:rsid w:val="4E041759"/>
    <w:rsid w:val="4E372793"/>
    <w:rsid w:val="4E3F594B"/>
    <w:rsid w:val="4E4F6A21"/>
    <w:rsid w:val="4E710602"/>
    <w:rsid w:val="4E851E5A"/>
    <w:rsid w:val="4EB27566"/>
    <w:rsid w:val="4ECA0682"/>
    <w:rsid w:val="4ECF2AAF"/>
    <w:rsid w:val="4EE83DB2"/>
    <w:rsid w:val="4EEC3B99"/>
    <w:rsid w:val="4EEE25C2"/>
    <w:rsid w:val="4F3B206D"/>
    <w:rsid w:val="4F4B29BC"/>
    <w:rsid w:val="4F7B197C"/>
    <w:rsid w:val="4F8E7CCF"/>
    <w:rsid w:val="4FBB5BC4"/>
    <w:rsid w:val="4FF16F4A"/>
    <w:rsid w:val="500B3467"/>
    <w:rsid w:val="5083111D"/>
    <w:rsid w:val="5087317B"/>
    <w:rsid w:val="50BF112F"/>
    <w:rsid w:val="50CC5B60"/>
    <w:rsid w:val="51073F83"/>
    <w:rsid w:val="510D305A"/>
    <w:rsid w:val="512F169C"/>
    <w:rsid w:val="51361FFF"/>
    <w:rsid w:val="516A2291"/>
    <w:rsid w:val="518C66BB"/>
    <w:rsid w:val="519311FF"/>
    <w:rsid w:val="51B44571"/>
    <w:rsid w:val="51CB034F"/>
    <w:rsid w:val="51D15871"/>
    <w:rsid w:val="51D75590"/>
    <w:rsid w:val="51F1018F"/>
    <w:rsid w:val="52186144"/>
    <w:rsid w:val="526E2371"/>
    <w:rsid w:val="527B66D4"/>
    <w:rsid w:val="52A721FE"/>
    <w:rsid w:val="52B63FDB"/>
    <w:rsid w:val="52BF2017"/>
    <w:rsid w:val="52CE623F"/>
    <w:rsid w:val="52E0692B"/>
    <w:rsid w:val="52E404EC"/>
    <w:rsid w:val="52FB705C"/>
    <w:rsid w:val="532C16C9"/>
    <w:rsid w:val="5344264A"/>
    <w:rsid w:val="535373DE"/>
    <w:rsid w:val="536F2AC2"/>
    <w:rsid w:val="537B019D"/>
    <w:rsid w:val="538C5750"/>
    <w:rsid w:val="53963229"/>
    <w:rsid w:val="53E6108E"/>
    <w:rsid w:val="53EC4C09"/>
    <w:rsid w:val="5401761A"/>
    <w:rsid w:val="54164B7D"/>
    <w:rsid w:val="5435659E"/>
    <w:rsid w:val="54360B2D"/>
    <w:rsid w:val="543814D6"/>
    <w:rsid w:val="54391A4E"/>
    <w:rsid w:val="544D24DB"/>
    <w:rsid w:val="54522687"/>
    <w:rsid w:val="5468535F"/>
    <w:rsid w:val="54932949"/>
    <w:rsid w:val="54BF662B"/>
    <w:rsid w:val="54CA13DC"/>
    <w:rsid w:val="54EC5A2D"/>
    <w:rsid w:val="552C154A"/>
    <w:rsid w:val="555A0ADE"/>
    <w:rsid w:val="55DA070F"/>
    <w:rsid w:val="55FD3275"/>
    <w:rsid w:val="5654502C"/>
    <w:rsid w:val="56570752"/>
    <w:rsid w:val="565E30D5"/>
    <w:rsid w:val="567236DD"/>
    <w:rsid w:val="56A619D5"/>
    <w:rsid w:val="56B23D9D"/>
    <w:rsid w:val="56B278F4"/>
    <w:rsid w:val="56FE65EF"/>
    <w:rsid w:val="57154464"/>
    <w:rsid w:val="572040DA"/>
    <w:rsid w:val="57BC5084"/>
    <w:rsid w:val="57BE4AFC"/>
    <w:rsid w:val="57CD0D9F"/>
    <w:rsid w:val="581001F8"/>
    <w:rsid w:val="58614458"/>
    <w:rsid w:val="58642193"/>
    <w:rsid w:val="586A0386"/>
    <w:rsid w:val="586F5269"/>
    <w:rsid w:val="587F7AD1"/>
    <w:rsid w:val="588A3F4C"/>
    <w:rsid w:val="58BF73FD"/>
    <w:rsid w:val="58D67E00"/>
    <w:rsid w:val="58DE0ED5"/>
    <w:rsid w:val="58F837B2"/>
    <w:rsid w:val="58FC7366"/>
    <w:rsid w:val="59544026"/>
    <w:rsid w:val="59626041"/>
    <w:rsid w:val="596423C7"/>
    <w:rsid w:val="599C2C1B"/>
    <w:rsid w:val="59A41BED"/>
    <w:rsid w:val="59CF376B"/>
    <w:rsid w:val="59E135B0"/>
    <w:rsid w:val="59E56370"/>
    <w:rsid w:val="5A187016"/>
    <w:rsid w:val="5A236803"/>
    <w:rsid w:val="5A5930A4"/>
    <w:rsid w:val="5A727807"/>
    <w:rsid w:val="5A806656"/>
    <w:rsid w:val="5AA224B3"/>
    <w:rsid w:val="5AA91870"/>
    <w:rsid w:val="5AA977CD"/>
    <w:rsid w:val="5AAA29AA"/>
    <w:rsid w:val="5AAD1AD0"/>
    <w:rsid w:val="5B0A3369"/>
    <w:rsid w:val="5B1B408E"/>
    <w:rsid w:val="5B327D57"/>
    <w:rsid w:val="5B5B514F"/>
    <w:rsid w:val="5B6D3007"/>
    <w:rsid w:val="5B6E0452"/>
    <w:rsid w:val="5B88228A"/>
    <w:rsid w:val="5BC528FD"/>
    <w:rsid w:val="5BDE1D43"/>
    <w:rsid w:val="5C702236"/>
    <w:rsid w:val="5C8825AC"/>
    <w:rsid w:val="5C8D02B6"/>
    <w:rsid w:val="5C8D428A"/>
    <w:rsid w:val="5C956BDB"/>
    <w:rsid w:val="5CA73DB1"/>
    <w:rsid w:val="5CAC5C5B"/>
    <w:rsid w:val="5CB639CD"/>
    <w:rsid w:val="5CD73DB7"/>
    <w:rsid w:val="5CE46C53"/>
    <w:rsid w:val="5D2B4EC5"/>
    <w:rsid w:val="5D51311C"/>
    <w:rsid w:val="5D941B38"/>
    <w:rsid w:val="5DBD5DEF"/>
    <w:rsid w:val="5DC06558"/>
    <w:rsid w:val="5DF61829"/>
    <w:rsid w:val="5E084D23"/>
    <w:rsid w:val="5E0866FB"/>
    <w:rsid w:val="5E3B2A02"/>
    <w:rsid w:val="5E594EF7"/>
    <w:rsid w:val="5E73332D"/>
    <w:rsid w:val="5E8C325E"/>
    <w:rsid w:val="5EE06220"/>
    <w:rsid w:val="5EF534F9"/>
    <w:rsid w:val="5EFE15E5"/>
    <w:rsid w:val="5F0A5BC9"/>
    <w:rsid w:val="5F0C399A"/>
    <w:rsid w:val="5F3D09FC"/>
    <w:rsid w:val="5F431DD8"/>
    <w:rsid w:val="5FF25886"/>
    <w:rsid w:val="5FF7504F"/>
    <w:rsid w:val="60052C89"/>
    <w:rsid w:val="60246514"/>
    <w:rsid w:val="60284D9B"/>
    <w:rsid w:val="602A0F80"/>
    <w:rsid w:val="602B5F47"/>
    <w:rsid w:val="60682EE7"/>
    <w:rsid w:val="607C6F9E"/>
    <w:rsid w:val="608A011F"/>
    <w:rsid w:val="608A65DF"/>
    <w:rsid w:val="608A6FBA"/>
    <w:rsid w:val="609A4836"/>
    <w:rsid w:val="609F7044"/>
    <w:rsid w:val="60AF0DEC"/>
    <w:rsid w:val="60B766E2"/>
    <w:rsid w:val="60C2740B"/>
    <w:rsid w:val="60CA43E3"/>
    <w:rsid w:val="60CF22A7"/>
    <w:rsid w:val="60D26FB6"/>
    <w:rsid w:val="60E201B6"/>
    <w:rsid w:val="611B07C2"/>
    <w:rsid w:val="61386B7E"/>
    <w:rsid w:val="614839B2"/>
    <w:rsid w:val="615F62F2"/>
    <w:rsid w:val="61800219"/>
    <w:rsid w:val="61813433"/>
    <w:rsid w:val="61835121"/>
    <w:rsid w:val="61975456"/>
    <w:rsid w:val="619F2EFF"/>
    <w:rsid w:val="61E37639"/>
    <w:rsid w:val="61ED6709"/>
    <w:rsid w:val="620C3034"/>
    <w:rsid w:val="62195750"/>
    <w:rsid w:val="623205C0"/>
    <w:rsid w:val="623C143F"/>
    <w:rsid w:val="627025A0"/>
    <w:rsid w:val="62B17737"/>
    <w:rsid w:val="62FA10DE"/>
    <w:rsid w:val="631216E3"/>
    <w:rsid w:val="632E0B2E"/>
    <w:rsid w:val="633A18E2"/>
    <w:rsid w:val="635E16A0"/>
    <w:rsid w:val="637951B0"/>
    <w:rsid w:val="638C2BE6"/>
    <w:rsid w:val="63A728E8"/>
    <w:rsid w:val="63B42EFD"/>
    <w:rsid w:val="63B9446C"/>
    <w:rsid w:val="63C773B1"/>
    <w:rsid w:val="63CB688D"/>
    <w:rsid w:val="64611B2B"/>
    <w:rsid w:val="64694B64"/>
    <w:rsid w:val="6472739A"/>
    <w:rsid w:val="6479609B"/>
    <w:rsid w:val="64844334"/>
    <w:rsid w:val="64A3498E"/>
    <w:rsid w:val="64AF50D8"/>
    <w:rsid w:val="64CD45D0"/>
    <w:rsid w:val="64D409E7"/>
    <w:rsid w:val="64E150E0"/>
    <w:rsid w:val="651D5558"/>
    <w:rsid w:val="652523AA"/>
    <w:rsid w:val="652A1EC5"/>
    <w:rsid w:val="655A7BE7"/>
    <w:rsid w:val="657447EF"/>
    <w:rsid w:val="658D31EF"/>
    <w:rsid w:val="65CB640A"/>
    <w:rsid w:val="65CB6D62"/>
    <w:rsid w:val="65CE7DBA"/>
    <w:rsid w:val="65DF27E8"/>
    <w:rsid w:val="65F34046"/>
    <w:rsid w:val="668B4FC6"/>
    <w:rsid w:val="66C543BA"/>
    <w:rsid w:val="66DE03DC"/>
    <w:rsid w:val="66F10D78"/>
    <w:rsid w:val="671C09BE"/>
    <w:rsid w:val="672A399A"/>
    <w:rsid w:val="672C2146"/>
    <w:rsid w:val="672C66B8"/>
    <w:rsid w:val="67430FAB"/>
    <w:rsid w:val="675D0FFE"/>
    <w:rsid w:val="6791059F"/>
    <w:rsid w:val="67E027B4"/>
    <w:rsid w:val="67E160C4"/>
    <w:rsid w:val="682136C6"/>
    <w:rsid w:val="682B55C1"/>
    <w:rsid w:val="68437083"/>
    <w:rsid w:val="687A2633"/>
    <w:rsid w:val="68984D56"/>
    <w:rsid w:val="68B5383A"/>
    <w:rsid w:val="68BB30BE"/>
    <w:rsid w:val="68CB0526"/>
    <w:rsid w:val="68FA3806"/>
    <w:rsid w:val="693B5FAC"/>
    <w:rsid w:val="6942558D"/>
    <w:rsid w:val="694C593F"/>
    <w:rsid w:val="695E2F53"/>
    <w:rsid w:val="698C3D84"/>
    <w:rsid w:val="69B04887"/>
    <w:rsid w:val="69E11836"/>
    <w:rsid w:val="6A06042E"/>
    <w:rsid w:val="6A3B1886"/>
    <w:rsid w:val="6A4F08B0"/>
    <w:rsid w:val="6A576E16"/>
    <w:rsid w:val="6A5D659B"/>
    <w:rsid w:val="6A8B6AC0"/>
    <w:rsid w:val="6AC124E1"/>
    <w:rsid w:val="6B2C01FD"/>
    <w:rsid w:val="6B39651C"/>
    <w:rsid w:val="6B615D5C"/>
    <w:rsid w:val="6B685053"/>
    <w:rsid w:val="6BAB00EF"/>
    <w:rsid w:val="6BC02799"/>
    <w:rsid w:val="6BD90B2B"/>
    <w:rsid w:val="6BD93845"/>
    <w:rsid w:val="6BDA1AD3"/>
    <w:rsid w:val="6BEC126D"/>
    <w:rsid w:val="6C0A3486"/>
    <w:rsid w:val="6C0A7EB8"/>
    <w:rsid w:val="6C2C6080"/>
    <w:rsid w:val="6C5B0BFD"/>
    <w:rsid w:val="6C7931ED"/>
    <w:rsid w:val="6CA7492C"/>
    <w:rsid w:val="6CA770F1"/>
    <w:rsid w:val="6CC360D3"/>
    <w:rsid w:val="6CCC7916"/>
    <w:rsid w:val="6D412292"/>
    <w:rsid w:val="6DAB0CEA"/>
    <w:rsid w:val="6DC833D7"/>
    <w:rsid w:val="6DEC0305"/>
    <w:rsid w:val="6DFE2EC2"/>
    <w:rsid w:val="6E045B37"/>
    <w:rsid w:val="6E810905"/>
    <w:rsid w:val="6E8B3390"/>
    <w:rsid w:val="6EC111C0"/>
    <w:rsid w:val="6EE90351"/>
    <w:rsid w:val="6F103A37"/>
    <w:rsid w:val="6F3925B4"/>
    <w:rsid w:val="6F556342"/>
    <w:rsid w:val="6F5A2F04"/>
    <w:rsid w:val="6F727655"/>
    <w:rsid w:val="6F9145EA"/>
    <w:rsid w:val="6F943363"/>
    <w:rsid w:val="6FEA24DA"/>
    <w:rsid w:val="701E7B12"/>
    <w:rsid w:val="70201366"/>
    <w:rsid w:val="7020414E"/>
    <w:rsid w:val="70230AC0"/>
    <w:rsid w:val="703435FE"/>
    <w:rsid w:val="703674CE"/>
    <w:rsid w:val="707D4039"/>
    <w:rsid w:val="709D579F"/>
    <w:rsid w:val="70BA38D7"/>
    <w:rsid w:val="70BE3DF0"/>
    <w:rsid w:val="70DE7E63"/>
    <w:rsid w:val="71082FEA"/>
    <w:rsid w:val="7113780F"/>
    <w:rsid w:val="715C16A4"/>
    <w:rsid w:val="71924BD7"/>
    <w:rsid w:val="719335C3"/>
    <w:rsid w:val="71940950"/>
    <w:rsid w:val="719D702D"/>
    <w:rsid w:val="71C802AC"/>
    <w:rsid w:val="71CE5726"/>
    <w:rsid w:val="724034DA"/>
    <w:rsid w:val="72590E6E"/>
    <w:rsid w:val="728A0953"/>
    <w:rsid w:val="72B72CAF"/>
    <w:rsid w:val="72BA7719"/>
    <w:rsid w:val="72EE2B17"/>
    <w:rsid w:val="72F23B14"/>
    <w:rsid w:val="72F607E6"/>
    <w:rsid w:val="7300372D"/>
    <w:rsid w:val="732D4E49"/>
    <w:rsid w:val="733E2E2C"/>
    <w:rsid w:val="73444035"/>
    <w:rsid w:val="739C40BD"/>
    <w:rsid w:val="739E5AC9"/>
    <w:rsid w:val="73A4210F"/>
    <w:rsid w:val="73A955F2"/>
    <w:rsid w:val="73BC3532"/>
    <w:rsid w:val="74226443"/>
    <w:rsid w:val="74272FFD"/>
    <w:rsid w:val="743D46BA"/>
    <w:rsid w:val="74510D7A"/>
    <w:rsid w:val="7487284B"/>
    <w:rsid w:val="74A67203"/>
    <w:rsid w:val="74C96B62"/>
    <w:rsid w:val="74EC55DA"/>
    <w:rsid w:val="74F34745"/>
    <w:rsid w:val="757676CC"/>
    <w:rsid w:val="758D0C5A"/>
    <w:rsid w:val="75CE7ADC"/>
    <w:rsid w:val="75FF0362"/>
    <w:rsid w:val="762144F8"/>
    <w:rsid w:val="7633343A"/>
    <w:rsid w:val="76594A67"/>
    <w:rsid w:val="766E5C13"/>
    <w:rsid w:val="7685658D"/>
    <w:rsid w:val="76A70C0F"/>
    <w:rsid w:val="76FE12E9"/>
    <w:rsid w:val="775562AF"/>
    <w:rsid w:val="775F555C"/>
    <w:rsid w:val="779378B9"/>
    <w:rsid w:val="77B653A8"/>
    <w:rsid w:val="77DA1306"/>
    <w:rsid w:val="77E075DE"/>
    <w:rsid w:val="77EB0598"/>
    <w:rsid w:val="77EB6F3E"/>
    <w:rsid w:val="78007910"/>
    <w:rsid w:val="78017FA0"/>
    <w:rsid w:val="781A073A"/>
    <w:rsid w:val="783614EC"/>
    <w:rsid w:val="783F06F9"/>
    <w:rsid w:val="789E4790"/>
    <w:rsid w:val="78AE233B"/>
    <w:rsid w:val="78D257C4"/>
    <w:rsid w:val="79235543"/>
    <w:rsid w:val="793F48BF"/>
    <w:rsid w:val="7945303A"/>
    <w:rsid w:val="795D51F6"/>
    <w:rsid w:val="79746B75"/>
    <w:rsid w:val="79874756"/>
    <w:rsid w:val="79BD43E7"/>
    <w:rsid w:val="79C90590"/>
    <w:rsid w:val="79D62662"/>
    <w:rsid w:val="7A1421CE"/>
    <w:rsid w:val="7A356A48"/>
    <w:rsid w:val="7A412C14"/>
    <w:rsid w:val="7A7465F3"/>
    <w:rsid w:val="7A7529D3"/>
    <w:rsid w:val="7A943DE6"/>
    <w:rsid w:val="7AB428D3"/>
    <w:rsid w:val="7ABA009D"/>
    <w:rsid w:val="7ABF7A38"/>
    <w:rsid w:val="7AC4171B"/>
    <w:rsid w:val="7AC7031E"/>
    <w:rsid w:val="7AD26045"/>
    <w:rsid w:val="7AEF0EAA"/>
    <w:rsid w:val="7AF41614"/>
    <w:rsid w:val="7B080F17"/>
    <w:rsid w:val="7B1F7358"/>
    <w:rsid w:val="7B2431D6"/>
    <w:rsid w:val="7B545701"/>
    <w:rsid w:val="7B7054D0"/>
    <w:rsid w:val="7BA5672C"/>
    <w:rsid w:val="7C187139"/>
    <w:rsid w:val="7C1C4A56"/>
    <w:rsid w:val="7C232FFC"/>
    <w:rsid w:val="7C3F5662"/>
    <w:rsid w:val="7C5036C5"/>
    <w:rsid w:val="7C5F1B82"/>
    <w:rsid w:val="7C603FB2"/>
    <w:rsid w:val="7C846B8A"/>
    <w:rsid w:val="7CA01288"/>
    <w:rsid w:val="7CA872B9"/>
    <w:rsid w:val="7CA9353E"/>
    <w:rsid w:val="7CC66140"/>
    <w:rsid w:val="7CEF7C27"/>
    <w:rsid w:val="7CF17FFD"/>
    <w:rsid w:val="7D010C58"/>
    <w:rsid w:val="7D052027"/>
    <w:rsid w:val="7D0C2E32"/>
    <w:rsid w:val="7D123B1F"/>
    <w:rsid w:val="7D136906"/>
    <w:rsid w:val="7D380F5D"/>
    <w:rsid w:val="7D502D5B"/>
    <w:rsid w:val="7D761469"/>
    <w:rsid w:val="7DD722F0"/>
    <w:rsid w:val="7DFB5361"/>
    <w:rsid w:val="7E0150C3"/>
    <w:rsid w:val="7E0F216B"/>
    <w:rsid w:val="7E226BA0"/>
    <w:rsid w:val="7E3F39F1"/>
    <w:rsid w:val="7E3F447E"/>
    <w:rsid w:val="7E5A6A7D"/>
    <w:rsid w:val="7E7B05E0"/>
    <w:rsid w:val="7E7C4C45"/>
    <w:rsid w:val="7E933D3D"/>
    <w:rsid w:val="7EAF1D64"/>
    <w:rsid w:val="7EE56466"/>
    <w:rsid w:val="7EF157B2"/>
    <w:rsid w:val="7F6C2F0C"/>
    <w:rsid w:val="7FB623D9"/>
    <w:rsid w:val="7FC47A35"/>
    <w:rsid w:val="7FDF17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 w:hAnsi="Times New Roman" w:eastAsia="仿宋" w:cs="Times New Roman"/>
      <w:kern w:val="30"/>
      <w:sz w:val="30"/>
      <w:szCs w:val="21"/>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kern w:val="44"/>
      <w:sz w:val="44"/>
      <w:szCs w:val="44"/>
    </w:rPr>
  </w:style>
  <w:style w:type="paragraph" w:styleId="3">
    <w:name w:val="heading 2"/>
    <w:basedOn w:val="1"/>
    <w:next w:val="1"/>
    <w:link w:val="27"/>
    <w:autoRedefine/>
    <w:qFormat/>
    <w:uiPriority w:val="99"/>
    <w:pPr>
      <w:keepNext/>
      <w:keepLines/>
      <w:spacing w:line="590" w:lineRule="exact"/>
      <w:outlineLvl w:val="1"/>
    </w:pPr>
    <w:rPr>
      <w:rFonts w:ascii="Cambria" w:hAnsi="Cambria"/>
      <w:bCs/>
      <w:kern w:val="0"/>
      <w:sz w:val="32"/>
      <w:szCs w:val="32"/>
    </w:rPr>
  </w:style>
  <w:style w:type="paragraph" w:styleId="4">
    <w:name w:val="heading 3"/>
    <w:basedOn w:val="1"/>
    <w:next w:val="1"/>
    <w:link w:val="28"/>
    <w:autoRedefine/>
    <w:qFormat/>
    <w:uiPriority w:val="99"/>
    <w:pPr>
      <w:keepNext/>
      <w:keepLines/>
      <w:spacing w:before="260" w:after="260" w:line="416" w:lineRule="auto"/>
      <w:outlineLvl w:val="2"/>
    </w:pPr>
    <w:rPr>
      <w:b/>
      <w:bCs/>
      <w:kern w:val="0"/>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Document Map"/>
    <w:basedOn w:val="1"/>
    <w:link w:val="34"/>
    <w:autoRedefine/>
    <w:unhideWhenUsed/>
    <w:qFormat/>
    <w:uiPriority w:val="99"/>
    <w:rPr>
      <w:rFonts w:ascii="宋体"/>
      <w:sz w:val="18"/>
      <w:szCs w:val="18"/>
    </w:rPr>
  </w:style>
  <w:style w:type="paragraph" w:styleId="7">
    <w:name w:val="annotation text"/>
    <w:basedOn w:val="1"/>
    <w:link w:val="32"/>
    <w:autoRedefine/>
    <w:unhideWhenUsed/>
    <w:qFormat/>
    <w:uiPriority w:val="99"/>
    <w:pPr>
      <w:jc w:val="left"/>
    </w:pPr>
  </w:style>
  <w:style w:type="paragraph" w:styleId="8">
    <w:name w:val="Body Text"/>
    <w:basedOn w:val="1"/>
    <w:link w:val="39"/>
    <w:autoRedefine/>
    <w:qFormat/>
    <w:uiPriority w:val="1"/>
    <w:pPr>
      <w:ind w:left="119"/>
      <w:jc w:val="left"/>
    </w:pPr>
    <w:rPr>
      <w:rFonts w:ascii="仿宋_GB2312" w:hAnsi="仿宋_GB2312" w:eastAsia="仿宋_GB2312" w:cstheme="minorBidi"/>
      <w:kern w:val="0"/>
      <w:szCs w:val="30"/>
      <w:lang w:eastAsia="en-US"/>
    </w:rPr>
  </w:style>
  <w:style w:type="paragraph" w:styleId="9">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0">
    <w:name w:val="Balloon Text"/>
    <w:basedOn w:val="1"/>
    <w:link w:val="31"/>
    <w:autoRedefine/>
    <w:unhideWhenUsed/>
    <w:qFormat/>
    <w:uiPriority w:val="99"/>
    <w:rPr>
      <w:sz w:val="18"/>
      <w:szCs w:val="18"/>
    </w:rPr>
  </w:style>
  <w:style w:type="paragraph" w:styleId="11">
    <w:name w:val="footer"/>
    <w:basedOn w:val="1"/>
    <w:link w:val="3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autoRedefine/>
    <w:unhideWhenUsed/>
    <w:qFormat/>
    <w:uiPriority w:val="39"/>
    <w:pPr>
      <w:widowControl/>
      <w:tabs>
        <w:tab w:val="right" w:leader="dot" w:pos="8789"/>
      </w:tabs>
      <w:spacing w:line="440" w:lineRule="exact"/>
      <w:jc w:val="right"/>
    </w:pPr>
    <w:rPr>
      <w:rFonts w:asciiTheme="minorHAnsi" w:hAnsiTheme="minorHAnsi" w:eastAsiaTheme="minorEastAsia"/>
      <w:kern w:val="0"/>
      <w:sz w:val="22"/>
      <w:szCs w:val="22"/>
    </w:rPr>
  </w:style>
  <w:style w:type="paragraph" w:styleId="14">
    <w:name w:val="toc 2"/>
    <w:basedOn w:val="1"/>
    <w:next w:val="1"/>
    <w:autoRedefine/>
    <w:unhideWhenUsed/>
    <w:qFormat/>
    <w:uiPriority w:val="39"/>
    <w:pPr>
      <w:widowControl/>
      <w:tabs>
        <w:tab w:val="right" w:leader="dot" w:pos="8789"/>
      </w:tabs>
      <w:spacing w:line="400" w:lineRule="exact"/>
      <w:ind w:right="-85" w:rightChars="-27"/>
    </w:pPr>
    <w:rPr>
      <w:rFonts w:ascii="仿宋_GB2312" w:eastAsia="仿宋_GB2312" w:hAnsiTheme="minorHAnsi"/>
      <w:b/>
      <w:bCs/>
      <w:kern w:val="0"/>
      <w:sz w:val="24"/>
      <w:szCs w:val="24"/>
      <w:lang w:val="zh-CN"/>
    </w:rPr>
  </w:style>
  <w:style w:type="paragraph" w:styleId="1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16">
    <w:name w:val="Normal (Web)"/>
    <w:basedOn w:val="1"/>
    <w:autoRedefine/>
    <w:qFormat/>
    <w:uiPriority w:val="0"/>
    <w:pPr>
      <w:spacing w:beforeAutospacing="1" w:afterAutospacing="1"/>
      <w:jc w:val="left"/>
    </w:pPr>
    <w:rPr>
      <w:kern w:val="0"/>
      <w:sz w:val="24"/>
    </w:rPr>
  </w:style>
  <w:style w:type="paragraph" w:styleId="17">
    <w:name w:val="Title"/>
    <w:basedOn w:val="1"/>
    <w:next w:val="1"/>
    <w:autoRedefine/>
    <w:qFormat/>
    <w:uiPriority w:val="99"/>
    <w:pPr>
      <w:spacing w:before="240" w:after="60"/>
      <w:jc w:val="center"/>
      <w:outlineLvl w:val="0"/>
    </w:pPr>
    <w:rPr>
      <w:rFonts w:ascii="Arial" w:hAnsi="Arial" w:eastAsia="宋体" w:cs="Arial"/>
      <w:b/>
      <w:bCs/>
    </w:rPr>
  </w:style>
  <w:style w:type="paragraph" w:styleId="18">
    <w:name w:val="annotation subject"/>
    <w:basedOn w:val="7"/>
    <w:next w:val="7"/>
    <w:link w:val="33"/>
    <w:autoRedefine/>
    <w:unhideWhenUsed/>
    <w:qFormat/>
    <w:uiPriority w:val="99"/>
    <w:rPr>
      <w:b/>
      <w:bCs/>
    </w:rPr>
  </w:style>
  <w:style w:type="table" w:styleId="20">
    <w:name w:val="Table Grid"/>
    <w:basedOn w:val="19"/>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page number"/>
    <w:basedOn w:val="21"/>
    <w:autoRedefine/>
    <w:qFormat/>
    <w:uiPriority w:val="0"/>
  </w:style>
  <w:style w:type="character" w:styleId="23">
    <w:name w:val="Hyperlink"/>
    <w:basedOn w:val="21"/>
    <w:autoRedefine/>
    <w:unhideWhenUsed/>
    <w:qFormat/>
    <w:uiPriority w:val="99"/>
    <w:rPr>
      <w:color w:val="0000FF" w:themeColor="hyperlink"/>
      <w:u w:val="single"/>
      <w14:textFill>
        <w14:solidFill>
          <w14:schemeClr w14:val="hlink"/>
        </w14:solidFill>
      </w14:textFill>
    </w:rPr>
  </w:style>
  <w:style w:type="character" w:styleId="24">
    <w:name w:val="annotation reference"/>
    <w:basedOn w:val="21"/>
    <w:autoRedefine/>
    <w:unhideWhenUsed/>
    <w:qFormat/>
    <w:uiPriority w:val="99"/>
    <w:rPr>
      <w:sz w:val="21"/>
      <w:szCs w:val="21"/>
    </w:rPr>
  </w:style>
  <w:style w:type="paragraph" w:customStyle="1" w:styleId="25">
    <w:name w:val="Default"/>
    <w:autoRedefine/>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character" w:customStyle="1" w:styleId="26">
    <w:name w:val="标题 1 字符"/>
    <w:basedOn w:val="21"/>
    <w:link w:val="2"/>
    <w:autoRedefine/>
    <w:qFormat/>
    <w:uiPriority w:val="9"/>
    <w:rPr>
      <w:rFonts w:ascii="Times New Roman" w:hAnsi="Times New Roman" w:eastAsia="宋体" w:cs="Times New Roman"/>
      <w:b/>
      <w:bCs/>
      <w:kern w:val="44"/>
      <w:sz w:val="44"/>
      <w:szCs w:val="44"/>
    </w:rPr>
  </w:style>
  <w:style w:type="character" w:customStyle="1" w:styleId="27">
    <w:name w:val="标题 2 字符"/>
    <w:basedOn w:val="21"/>
    <w:link w:val="3"/>
    <w:autoRedefine/>
    <w:qFormat/>
    <w:uiPriority w:val="99"/>
    <w:rPr>
      <w:rFonts w:ascii="Cambria" w:hAnsi="Cambria" w:eastAsia="仿宋"/>
      <w:bCs/>
      <w:sz w:val="32"/>
      <w:szCs w:val="32"/>
    </w:rPr>
  </w:style>
  <w:style w:type="character" w:customStyle="1" w:styleId="28">
    <w:name w:val="标题 3 字符"/>
    <w:basedOn w:val="21"/>
    <w:link w:val="4"/>
    <w:autoRedefine/>
    <w:qFormat/>
    <w:uiPriority w:val="99"/>
    <w:rPr>
      <w:rFonts w:ascii="Times New Roman" w:hAnsi="Times New Roman" w:eastAsia="宋体" w:cs="Times New Roman"/>
      <w:b/>
      <w:bCs/>
      <w:kern w:val="0"/>
      <w:sz w:val="32"/>
      <w:szCs w:val="32"/>
    </w:rPr>
  </w:style>
  <w:style w:type="character" w:customStyle="1" w:styleId="29">
    <w:name w:val="页眉 字符"/>
    <w:basedOn w:val="21"/>
    <w:link w:val="12"/>
    <w:autoRedefine/>
    <w:qFormat/>
    <w:uiPriority w:val="99"/>
    <w:rPr>
      <w:sz w:val="18"/>
      <w:szCs w:val="18"/>
    </w:rPr>
  </w:style>
  <w:style w:type="character" w:customStyle="1" w:styleId="30">
    <w:name w:val="页脚 字符"/>
    <w:basedOn w:val="21"/>
    <w:link w:val="11"/>
    <w:autoRedefine/>
    <w:qFormat/>
    <w:uiPriority w:val="99"/>
    <w:rPr>
      <w:sz w:val="18"/>
      <w:szCs w:val="18"/>
    </w:rPr>
  </w:style>
  <w:style w:type="character" w:customStyle="1" w:styleId="31">
    <w:name w:val="批注框文本 字符"/>
    <w:basedOn w:val="21"/>
    <w:link w:val="10"/>
    <w:autoRedefine/>
    <w:semiHidden/>
    <w:qFormat/>
    <w:uiPriority w:val="99"/>
    <w:rPr>
      <w:rFonts w:ascii="Times New Roman" w:hAnsi="Times New Roman" w:eastAsia="宋体" w:cs="Times New Roman"/>
      <w:sz w:val="18"/>
      <w:szCs w:val="18"/>
    </w:rPr>
  </w:style>
  <w:style w:type="character" w:customStyle="1" w:styleId="32">
    <w:name w:val="批注文字 字符"/>
    <w:basedOn w:val="21"/>
    <w:link w:val="7"/>
    <w:autoRedefine/>
    <w:qFormat/>
    <w:uiPriority w:val="99"/>
    <w:rPr>
      <w:rFonts w:ascii="Times New Roman" w:hAnsi="Times New Roman" w:eastAsia="宋体" w:cs="Times New Roman"/>
      <w:szCs w:val="21"/>
    </w:rPr>
  </w:style>
  <w:style w:type="character" w:customStyle="1" w:styleId="33">
    <w:name w:val="批注主题 字符"/>
    <w:basedOn w:val="32"/>
    <w:link w:val="18"/>
    <w:autoRedefine/>
    <w:semiHidden/>
    <w:qFormat/>
    <w:uiPriority w:val="99"/>
    <w:rPr>
      <w:rFonts w:ascii="Times New Roman" w:hAnsi="Times New Roman" w:eastAsia="宋体" w:cs="Times New Roman"/>
      <w:b/>
      <w:bCs/>
      <w:szCs w:val="21"/>
    </w:rPr>
  </w:style>
  <w:style w:type="character" w:customStyle="1" w:styleId="34">
    <w:name w:val="文档结构图 字符"/>
    <w:basedOn w:val="21"/>
    <w:link w:val="6"/>
    <w:autoRedefine/>
    <w:semiHidden/>
    <w:qFormat/>
    <w:uiPriority w:val="99"/>
    <w:rPr>
      <w:rFonts w:ascii="宋体" w:hAnsi="Times New Roman" w:eastAsia="宋体" w:cs="Times New Roman"/>
      <w:sz w:val="18"/>
      <w:szCs w:val="18"/>
    </w:rPr>
  </w:style>
  <w:style w:type="paragraph" w:customStyle="1" w:styleId="35">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36">
    <w:name w:val="修订1"/>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37">
    <w:name w:val="页码 New New"/>
    <w:basedOn w:val="21"/>
    <w:autoRedefine/>
    <w:qFormat/>
    <w:uiPriority w:val="0"/>
  </w:style>
  <w:style w:type="paragraph" w:customStyle="1" w:styleId="38">
    <w:name w:val="列表段落1"/>
    <w:basedOn w:val="1"/>
    <w:autoRedefine/>
    <w:qFormat/>
    <w:uiPriority w:val="34"/>
    <w:pPr>
      <w:ind w:firstLine="420" w:firstLineChars="200"/>
    </w:pPr>
  </w:style>
  <w:style w:type="character" w:customStyle="1" w:styleId="39">
    <w:name w:val="正文文本 字符"/>
    <w:basedOn w:val="21"/>
    <w:link w:val="8"/>
    <w:autoRedefine/>
    <w:qFormat/>
    <w:uiPriority w:val="1"/>
    <w:rPr>
      <w:rFonts w:ascii="仿宋_GB2312" w:hAnsi="仿宋_GB2312" w:eastAsia="仿宋_GB2312"/>
      <w:kern w:val="0"/>
      <w:sz w:val="30"/>
      <w:szCs w:val="30"/>
      <w:lang w:eastAsia="en-US"/>
    </w:rPr>
  </w:style>
  <w:style w:type="character" w:customStyle="1" w:styleId="40">
    <w:name w:val="未处理的提及1"/>
    <w:basedOn w:val="21"/>
    <w:autoRedefine/>
    <w:unhideWhenUsed/>
    <w:qFormat/>
    <w:uiPriority w:val="99"/>
    <w:rPr>
      <w:color w:val="605E5C"/>
      <w:shd w:val="clear" w:color="auto" w:fill="E1DFDD"/>
    </w:rPr>
  </w:style>
  <w:style w:type="paragraph" w:styleId="41">
    <w:name w:val="List Paragraph"/>
    <w:basedOn w:val="1"/>
    <w:autoRedefine/>
    <w:unhideWhenUsed/>
    <w:qFormat/>
    <w:uiPriority w:val="99"/>
    <w:pPr>
      <w:ind w:firstLine="420" w:firstLineChars="200"/>
    </w:pPr>
  </w:style>
  <w:style w:type="character" w:customStyle="1" w:styleId="42">
    <w:name w:val="font112"/>
    <w:basedOn w:val="21"/>
    <w:autoRedefine/>
    <w:qFormat/>
    <w:uiPriority w:val="0"/>
    <w:rPr>
      <w:rFonts w:ascii="等线" w:hAnsi="等线" w:eastAsia="等线" w:cs="等线"/>
      <w:b/>
      <w:color w:val="000000"/>
      <w:sz w:val="24"/>
      <w:szCs w:val="24"/>
      <w:u w:val="none"/>
    </w:rPr>
  </w:style>
  <w:style w:type="character" w:customStyle="1" w:styleId="43">
    <w:name w:val="font71"/>
    <w:basedOn w:val="21"/>
    <w:autoRedefine/>
    <w:qFormat/>
    <w:uiPriority w:val="0"/>
    <w:rPr>
      <w:rFonts w:hint="eastAsia" w:ascii="宋体" w:hAnsi="宋体" w:eastAsia="宋体" w:cs="宋体"/>
      <w:b/>
      <w:color w:val="000000"/>
      <w:sz w:val="24"/>
      <w:szCs w:val="24"/>
      <w:u w:val="none"/>
    </w:rPr>
  </w:style>
  <w:style w:type="character" w:customStyle="1" w:styleId="44">
    <w:name w:val="font61"/>
    <w:basedOn w:val="21"/>
    <w:autoRedefine/>
    <w:qFormat/>
    <w:uiPriority w:val="0"/>
    <w:rPr>
      <w:rFonts w:hint="default" w:ascii="Times New Roman" w:hAnsi="Times New Roman" w:cs="Times New Roman"/>
      <w:b/>
      <w:color w:val="000000"/>
      <w:sz w:val="24"/>
      <w:szCs w:val="24"/>
      <w:u w:val="none"/>
    </w:rPr>
  </w:style>
  <w:style w:type="character" w:customStyle="1" w:styleId="45">
    <w:name w:val="font91"/>
    <w:basedOn w:val="21"/>
    <w:autoRedefine/>
    <w:qFormat/>
    <w:uiPriority w:val="0"/>
    <w:rPr>
      <w:rFonts w:hint="eastAsia" w:ascii="等线" w:hAnsi="等线" w:eastAsia="等线" w:cs="等线"/>
      <w:b/>
      <w:color w:val="000000"/>
      <w:sz w:val="22"/>
      <w:szCs w:val="22"/>
      <w:u w:val="none"/>
    </w:rPr>
  </w:style>
  <w:style w:type="character" w:customStyle="1" w:styleId="46">
    <w:name w:val="font21"/>
    <w:basedOn w:val="21"/>
    <w:autoRedefine/>
    <w:qFormat/>
    <w:uiPriority w:val="0"/>
    <w:rPr>
      <w:rFonts w:hint="eastAsia" w:ascii="宋体" w:hAnsi="宋体" w:eastAsia="宋体" w:cs="宋体"/>
      <w:color w:val="000000"/>
      <w:sz w:val="22"/>
      <w:szCs w:val="22"/>
      <w:u w:val="none"/>
    </w:rPr>
  </w:style>
  <w:style w:type="character" w:customStyle="1" w:styleId="47">
    <w:name w:val="font122"/>
    <w:basedOn w:val="21"/>
    <w:autoRedefine/>
    <w:qFormat/>
    <w:uiPriority w:val="0"/>
    <w:rPr>
      <w:rFonts w:hint="eastAsia" w:ascii="宋体" w:hAnsi="宋体" w:eastAsia="宋体" w:cs="宋体"/>
      <w:color w:val="000000"/>
      <w:sz w:val="15"/>
      <w:szCs w:val="15"/>
      <w:u w:val="none"/>
    </w:rPr>
  </w:style>
  <w:style w:type="character" w:customStyle="1" w:styleId="48">
    <w:name w:val="font01"/>
    <w:basedOn w:val="21"/>
    <w:autoRedefine/>
    <w:qFormat/>
    <w:uiPriority w:val="0"/>
    <w:rPr>
      <w:rFonts w:hint="eastAsia" w:ascii="宋体" w:hAnsi="宋体" w:eastAsia="宋体" w:cs="宋体"/>
      <w:b/>
      <w:color w:val="000000"/>
      <w:sz w:val="22"/>
      <w:szCs w:val="22"/>
      <w:u w:val="none"/>
    </w:rPr>
  </w:style>
  <w:style w:type="character" w:customStyle="1" w:styleId="49">
    <w:name w:val="font141"/>
    <w:basedOn w:val="21"/>
    <w:autoRedefine/>
    <w:qFormat/>
    <w:uiPriority w:val="0"/>
    <w:rPr>
      <w:rFonts w:hint="eastAsia" w:ascii="宋体" w:hAnsi="宋体" w:eastAsia="宋体" w:cs="宋体"/>
      <w:color w:val="000000"/>
      <w:sz w:val="15"/>
      <w:szCs w:val="15"/>
      <w:u w:val="none"/>
    </w:rPr>
  </w:style>
  <w:style w:type="character" w:customStyle="1" w:styleId="50">
    <w:name w:val="font111"/>
    <w:basedOn w:val="21"/>
    <w:autoRedefine/>
    <w:qFormat/>
    <w:uiPriority w:val="0"/>
    <w:rPr>
      <w:rFonts w:hint="eastAsia" w:ascii="宋体" w:hAnsi="宋体" w:eastAsia="宋体" w:cs="宋体"/>
      <w:color w:val="00B050"/>
      <w:sz w:val="22"/>
      <w:szCs w:val="22"/>
      <w:u w:val="none"/>
    </w:rPr>
  </w:style>
  <w:style w:type="paragraph" w:customStyle="1" w:styleId="51">
    <w:name w:val="列出段落121"/>
    <w:basedOn w:val="1"/>
    <w:autoRedefine/>
    <w:qFormat/>
    <w:uiPriority w:val="34"/>
    <w:pPr>
      <w:ind w:firstLine="420"/>
    </w:pPr>
  </w:style>
  <w:style w:type="character" w:customStyle="1" w:styleId="52">
    <w:name w:val="行间距 Char"/>
    <w:link w:val="53"/>
    <w:autoRedefine/>
    <w:qFormat/>
    <w:uiPriority w:val="0"/>
    <w:rPr>
      <w:rFonts w:ascii="仿宋" w:hAnsi="仿宋" w:eastAsia="仿宋"/>
      <w:kern w:val="30"/>
      <w:sz w:val="30"/>
      <w:szCs w:val="30"/>
      <w:lang w:eastAsia="zh-CN" w:bidi="ar-SA"/>
    </w:rPr>
  </w:style>
  <w:style w:type="paragraph" w:customStyle="1" w:styleId="53">
    <w:name w:val="行间距"/>
    <w:basedOn w:val="1"/>
    <w:link w:val="52"/>
    <w:autoRedefine/>
    <w:qFormat/>
    <w:uiPriority w:val="0"/>
    <w:pPr>
      <w:spacing w:line="579" w:lineRule="exact"/>
      <w:ind w:firstLine="600"/>
    </w:pPr>
    <w:rPr>
      <w:rFonts w:hAnsi="仿宋"/>
      <w:szCs w:val="30"/>
    </w:rPr>
  </w:style>
  <w:style w:type="paragraph" w:customStyle="1" w:styleId="54">
    <w:name w:val="列出段落1"/>
    <w:basedOn w:val="1"/>
    <w:autoRedefine/>
    <w:qFormat/>
    <w:uiPriority w:val="34"/>
    <w:pPr>
      <w:ind w:firstLine="420"/>
    </w:pPr>
  </w:style>
  <w:style w:type="paragraph" w:customStyle="1" w:styleId="55">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character" w:customStyle="1" w:styleId="56">
    <w:name w:val="font11"/>
    <w:basedOn w:val="21"/>
    <w:autoRedefine/>
    <w:qFormat/>
    <w:uiPriority w:val="0"/>
    <w:rPr>
      <w:rFonts w:hint="eastAsia" w:ascii="仿宋" w:hAnsi="仿宋" w:eastAsia="仿宋" w:cs="仿宋"/>
      <w:color w:val="000000"/>
      <w:sz w:val="18"/>
      <w:szCs w:val="18"/>
      <w:u w:val="none"/>
    </w:rPr>
  </w:style>
  <w:style w:type="paragraph" w:customStyle="1" w:styleId="57">
    <w:name w:val="Other|1"/>
    <w:basedOn w:val="1"/>
    <w:autoRedefine/>
    <w:qFormat/>
    <w:uiPriority w:val="0"/>
    <w:rPr>
      <w:rFonts w:ascii="宋体" w:hAnsi="宋体" w:cs="宋体"/>
      <w:sz w:val="22"/>
      <w:szCs w:val="22"/>
      <w:lang w:val="zh-TW" w:eastAsia="zh-TW" w:bidi="zh-TW"/>
    </w:rPr>
  </w:style>
  <w:style w:type="paragraph" w:customStyle="1" w:styleId="58">
    <w:name w:val="Body text|5"/>
    <w:basedOn w:val="1"/>
    <w:autoRedefine/>
    <w:qFormat/>
    <w:uiPriority w:val="0"/>
    <w:pPr>
      <w:spacing w:after="700"/>
      <w:jc w:val="center"/>
    </w:pPr>
    <w:rPr>
      <w:rFonts w:ascii="宋体" w:hAnsi="宋体" w:eastAsia="宋体" w:cs="宋体"/>
      <w:sz w:val="48"/>
      <w:szCs w:val="48"/>
      <w:lang w:val="zh-TW" w:eastAsia="zh-TW" w:bidi="zh-TW"/>
    </w:rPr>
  </w:style>
  <w:style w:type="paragraph" w:customStyle="1" w:styleId="59">
    <w:name w:val="Header or footer|2"/>
    <w:basedOn w:val="1"/>
    <w:autoRedefine/>
    <w:qFormat/>
    <w:uiPriority w:val="0"/>
    <w:rPr>
      <w:sz w:val="20"/>
      <w:szCs w:val="20"/>
      <w:lang w:val="zh-TW" w:eastAsia="zh-TW" w:bidi="zh-TW"/>
    </w:rPr>
  </w:style>
  <w:style w:type="paragraph" w:customStyle="1" w:styleId="60">
    <w:name w:val="Title-temp"/>
    <w:basedOn w:val="1"/>
    <w:next w:val="1"/>
    <w:autoRedefine/>
    <w:qFormat/>
    <w:uiPriority w:val="0"/>
    <w:pPr>
      <w:widowControl/>
      <w:spacing w:before="120" w:after="120" w:line="276" w:lineRule="auto"/>
      <w:ind w:left="100" w:leftChars="100" w:right="100" w:rightChars="100"/>
      <w:jc w:val="center"/>
    </w:pPr>
    <w:rPr>
      <w:rFonts w:eastAsia="微软雅黑"/>
      <w:sz w:val="24"/>
    </w:rPr>
  </w:style>
  <w:style w:type="paragraph" w:customStyle="1" w:styleId="61">
    <w:name w:val="WPSOffice手动目录 1"/>
    <w:autoRedefine/>
    <w:qFormat/>
    <w:uiPriority w:val="0"/>
    <w:rPr>
      <w:rFonts w:ascii="Times New Roman" w:hAnsi="Times New Roman" w:eastAsia="宋体" w:cs="Times New Roman"/>
      <w:lang w:val="en-US" w:eastAsia="zh-CN" w:bidi="ar-SA"/>
    </w:rPr>
  </w:style>
  <w:style w:type="paragraph" w:customStyle="1" w:styleId="62">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63">
    <w:name w:val="修订2"/>
    <w:autoRedefine/>
    <w:hidden/>
    <w:semiHidden/>
    <w:qFormat/>
    <w:uiPriority w:val="99"/>
    <w:rPr>
      <w:rFonts w:ascii="仿宋" w:hAnsi="Times New Roman" w:eastAsia="仿宋" w:cs="Times New Roman"/>
      <w:kern w:val="30"/>
      <w:sz w:val="30"/>
      <w:szCs w:val="21"/>
      <w:lang w:val="en-US" w:eastAsia="zh-CN" w:bidi="ar-SA"/>
    </w:rPr>
  </w:style>
  <w:style w:type="paragraph" w:customStyle="1" w:styleId="64">
    <w:name w:val="修订3"/>
    <w:autoRedefine/>
    <w:hidden/>
    <w:semiHidden/>
    <w:qFormat/>
    <w:uiPriority w:val="99"/>
    <w:rPr>
      <w:rFonts w:ascii="仿宋" w:hAnsi="Times New Roman" w:eastAsia="仿宋" w:cs="Times New Roman"/>
      <w:kern w:val="30"/>
      <w:sz w:val="30"/>
      <w:szCs w:val="21"/>
      <w:lang w:val="en-US" w:eastAsia="zh-CN" w:bidi="ar-SA"/>
    </w:rPr>
  </w:style>
  <w:style w:type="paragraph" w:customStyle="1" w:styleId="65">
    <w:name w:val="标书正文1"/>
    <w:basedOn w:val="1"/>
    <w:autoRedefine/>
    <w:qFormat/>
    <w:uiPriority w:val="0"/>
    <w:pPr>
      <w:spacing w:line="520" w:lineRule="exact"/>
      <w:ind w:firstLine="640" w:firstLineChars="200"/>
    </w:pPr>
  </w:style>
  <w:style w:type="paragraph" w:customStyle="1" w:styleId="66">
    <w:name w:val="修订4"/>
    <w:autoRedefine/>
    <w:hidden/>
    <w:unhideWhenUsed/>
    <w:qFormat/>
    <w:uiPriority w:val="99"/>
    <w:rPr>
      <w:rFonts w:ascii="仿宋" w:hAnsi="Times New Roman" w:eastAsia="仿宋" w:cs="Times New Roman"/>
      <w:kern w:val="30"/>
      <w:sz w:val="30"/>
      <w:szCs w:val="21"/>
      <w:lang w:val="en-US" w:eastAsia="zh-CN" w:bidi="ar-SA"/>
    </w:rPr>
  </w:style>
  <w:style w:type="paragraph" w:customStyle="1" w:styleId="67">
    <w:name w:val="修订5"/>
    <w:autoRedefine/>
    <w:hidden/>
    <w:unhideWhenUsed/>
    <w:qFormat/>
    <w:uiPriority w:val="99"/>
    <w:rPr>
      <w:rFonts w:ascii="仿宋" w:hAnsi="Times New Roman" w:eastAsia="仿宋" w:cs="Times New Roman"/>
      <w:kern w:val="30"/>
      <w:sz w:val="30"/>
      <w:szCs w:val="21"/>
      <w:lang w:val="en-US" w:eastAsia="zh-CN" w:bidi="ar-SA"/>
    </w:rPr>
  </w:style>
  <w:style w:type="paragraph" w:customStyle="1" w:styleId="68">
    <w:name w:val="修订6"/>
    <w:autoRedefine/>
    <w:hidden/>
    <w:unhideWhenUsed/>
    <w:qFormat/>
    <w:uiPriority w:val="99"/>
    <w:rPr>
      <w:rFonts w:ascii="仿宋" w:hAnsi="Times New Roman" w:eastAsia="仿宋" w:cs="Times New Roman"/>
      <w:kern w:val="30"/>
      <w:sz w:val="30"/>
      <w:szCs w:val="21"/>
      <w:lang w:val="en-US" w:eastAsia="zh-CN" w:bidi="ar-SA"/>
    </w:rPr>
  </w:style>
  <w:style w:type="paragraph" w:customStyle="1" w:styleId="69">
    <w:name w:val="BodyText1I2"/>
    <w:basedOn w:val="70"/>
    <w:autoRedefine/>
    <w:qFormat/>
    <w:uiPriority w:val="0"/>
    <w:pPr>
      <w:ind w:firstLine="420"/>
    </w:pPr>
  </w:style>
  <w:style w:type="paragraph" w:customStyle="1" w:styleId="70">
    <w:name w:val="BodyTextIndent"/>
    <w:basedOn w:val="1"/>
    <w:autoRedefine/>
    <w:qFormat/>
    <w:uiPriority w:val="0"/>
    <w:pPr>
      <w:ind w:firstLine="640" w:firstLineChars="200"/>
      <w:textAlignment w:val="baseline"/>
    </w:pPr>
    <w:rPr>
      <w:rFonts w:ascii="仿宋_GB2312"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EC9729-8D3F-455E-9336-EB99EA39A367}">
  <ds:schemaRefs/>
</ds:datastoreItem>
</file>

<file path=docProps/app.xml><?xml version="1.0" encoding="utf-8"?>
<Properties xmlns="http://schemas.openxmlformats.org/officeDocument/2006/extended-properties" xmlns:vt="http://schemas.openxmlformats.org/officeDocument/2006/docPropsVTypes">
  <Template>Normal</Template>
  <Pages>18</Pages>
  <Words>6674</Words>
  <Characters>7001</Characters>
  <Lines>62</Lines>
  <Paragraphs>17</Paragraphs>
  <TotalTime>120</TotalTime>
  <ScaleCrop>false</ScaleCrop>
  <LinksUpToDate>false</LinksUpToDate>
  <CharactersWithSpaces>7078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2024-05-07T02:06:00Z</dcterms:created>
  <cp:lastPrinted>2019-01-30T12:44:00Z</cp:lastPrinted>
  <dcterms:modified xsi:type="dcterms:W3CDTF">2024-08-05T05:36:09Z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DEB07E32C7BC45D29B4FF0353F298532_13</vt:lpwstr>
  </property>
</Properties>
</file>