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ind w:left="840" w:hanging="840" w:hangingChars="300"/>
        <w:jc w:val="left"/>
        <w:rPr>
          <w:rFonts w:ascii="方正小标宋_GBK" w:eastAsia="方正小标宋_GBK"/>
          <w:sz w:val="28"/>
          <w:szCs w:val="28"/>
        </w:rPr>
      </w:pPr>
      <w:r>
        <w:rPr>
          <w:rFonts w:hint="eastAsia" w:ascii="方正小标宋_GBK" w:eastAsia="方正小标宋_GBK"/>
          <w:sz w:val="28"/>
          <w:szCs w:val="28"/>
        </w:rPr>
        <w:t>附件</w:t>
      </w:r>
      <w:r>
        <w:rPr>
          <w:rFonts w:hint="eastAsia" w:ascii="方正小标宋_GBK" w:eastAsia="方正小标宋_GBK"/>
          <w:sz w:val="28"/>
          <w:szCs w:val="28"/>
          <w:lang w:val="en-US" w:eastAsia="zh-CN"/>
        </w:rPr>
        <w:t>3</w:t>
      </w:r>
      <w:r>
        <w:rPr>
          <w:rFonts w:hint="eastAsia" w:ascii="方正小标宋_GBK" w:eastAsia="方正小标宋_GBK"/>
          <w:sz w:val="28"/>
          <w:szCs w:val="28"/>
        </w:rPr>
        <w:t>：项目支出绩效评价报告</w:t>
      </w:r>
    </w:p>
    <w:p>
      <w:pPr>
        <w:spacing w:before="120" w:after="120" w:line="480" w:lineRule="auto"/>
        <w:jc w:val="center"/>
        <w:rPr>
          <w:rFonts w:ascii="Times New Roman" w:hAnsi="Times New Roman" w:eastAsia="黑体"/>
          <w:b/>
          <w:bCs/>
          <w:sz w:val="52"/>
          <w:szCs w:val="52"/>
        </w:rPr>
      </w:pPr>
    </w:p>
    <w:p>
      <w:pPr>
        <w:jc w:val="center"/>
        <w:rPr>
          <w:rFonts w:ascii="黑体" w:hAnsi="黑体" w:eastAsia="黑体" w:cs="黑体"/>
          <w:bCs/>
          <w:sz w:val="52"/>
          <w:szCs w:val="52"/>
        </w:rPr>
      </w:pPr>
      <w:r>
        <w:rPr>
          <w:rFonts w:hint="eastAsia" w:ascii="黑体" w:hAnsi="黑体" w:eastAsia="黑体" w:cs="黑体"/>
          <w:bCs/>
          <w:sz w:val="52"/>
          <w:szCs w:val="52"/>
          <w:lang w:eastAsia="zh-CN"/>
        </w:rPr>
        <w:t>五华区综合治理中心</w:t>
      </w:r>
      <w:r>
        <w:rPr>
          <w:rFonts w:hint="eastAsia" w:ascii="黑体" w:hAnsi="黑体" w:eastAsia="黑体" w:cs="黑体"/>
          <w:bCs/>
          <w:sz w:val="52"/>
          <w:szCs w:val="52"/>
        </w:rPr>
        <w:t>项目支出绩效自评报告</w:t>
      </w:r>
    </w:p>
    <w:p>
      <w:pPr>
        <w:jc w:val="center"/>
        <w:rPr>
          <w:rFonts w:ascii="黑体" w:hAnsi="黑体" w:eastAsia="黑体"/>
          <w:bCs/>
          <w:sz w:val="52"/>
          <w:szCs w:val="52"/>
        </w:rPr>
      </w:pPr>
      <w:r>
        <w:rPr>
          <w:rFonts w:hint="eastAsia" w:ascii="黑体" w:hAnsi="黑体" w:eastAsia="黑体" w:cs="黑体"/>
          <w:bCs/>
          <w:sz w:val="52"/>
          <w:szCs w:val="52"/>
        </w:rPr>
        <w:t xml:space="preserve">（ </w:t>
      </w:r>
      <w:r>
        <w:rPr>
          <w:rFonts w:hint="eastAsia" w:ascii="黑体" w:hAnsi="黑体" w:eastAsia="黑体" w:cs="黑体"/>
          <w:bCs/>
          <w:sz w:val="52"/>
          <w:szCs w:val="52"/>
          <w:lang w:val="en-US" w:eastAsia="zh-CN"/>
        </w:rPr>
        <w:t>2023</w:t>
      </w:r>
      <w:r>
        <w:rPr>
          <w:rFonts w:hint="eastAsia" w:ascii="黑体" w:hAnsi="黑体" w:eastAsia="黑体" w:cs="黑体"/>
          <w:bCs/>
          <w:sz w:val="52"/>
          <w:szCs w:val="52"/>
        </w:rPr>
        <w:t>年度）</w:t>
      </w:r>
    </w:p>
    <w:p>
      <w:pPr>
        <w:spacing w:before="120" w:after="120" w:line="480" w:lineRule="auto"/>
        <w:jc w:val="center"/>
        <w:rPr>
          <w:rFonts w:ascii="Times New Roman" w:hAnsi="Times New Roman" w:eastAsia="黑体"/>
          <w:b/>
          <w:bCs/>
          <w:sz w:val="52"/>
          <w:szCs w:val="52"/>
        </w:rPr>
      </w:pPr>
    </w:p>
    <w:p>
      <w:pPr>
        <w:spacing w:before="120" w:after="120" w:line="480" w:lineRule="auto"/>
        <w:jc w:val="center"/>
        <w:rPr>
          <w:rFonts w:ascii="Times New Roman" w:hAnsi="Times New Roman"/>
          <w:b/>
          <w:bCs/>
          <w:sz w:val="44"/>
          <w:szCs w:val="44"/>
        </w:rPr>
      </w:pPr>
    </w:p>
    <w:p>
      <w:pPr>
        <w:spacing w:before="120" w:after="120" w:line="480" w:lineRule="auto"/>
        <w:jc w:val="center"/>
        <w:rPr>
          <w:rFonts w:ascii="Times New Roman" w:hAnsi="Times New Roman"/>
          <w:b/>
          <w:bCs/>
          <w:sz w:val="44"/>
          <w:szCs w:val="44"/>
        </w:rPr>
      </w:pPr>
    </w:p>
    <w:p>
      <w:pPr>
        <w:spacing w:before="120" w:after="120" w:line="480" w:lineRule="auto"/>
        <w:jc w:val="center"/>
        <w:rPr>
          <w:rFonts w:ascii="Times New Roman" w:hAnsi="Times New Roman" w:eastAsia="黑体"/>
          <w:b/>
          <w:bCs/>
          <w:sz w:val="44"/>
          <w:szCs w:val="44"/>
        </w:rPr>
      </w:pPr>
    </w:p>
    <w:p>
      <w:pPr>
        <w:adjustRightInd w:val="0"/>
        <w:snapToGrid w:val="0"/>
        <w:spacing w:line="360" w:lineRule="auto"/>
        <w:ind w:left="1260" w:leftChars="600"/>
        <w:rPr>
          <w:rFonts w:ascii="Times New Roman" w:hAnsi="Times New Roman" w:eastAsia="黑体" w:cs="黑体"/>
          <w:b/>
          <w:bCs/>
          <w:sz w:val="28"/>
          <w:szCs w:val="28"/>
        </w:rPr>
      </w:pPr>
      <w:r>
        <w:rPr>
          <w:rFonts w:ascii="Times New Roman" w:hAnsi="Times New Roman" w:eastAsia="黑体" w:cs="黑体"/>
          <w:b/>
          <w:bCs/>
          <w:sz w:val="28"/>
          <w:szCs w:val="28"/>
        </w:rPr>
        <w:pict>
          <v:shape id="_x0000_s1026" o:spid="_x0000_s1026" o:spt="32" type="#_x0000_t32" style="position:absolute;left:0pt;margin-left:186.75pt;margin-top:15.45pt;height:0pt;width:196.5pt;z-index:251659264;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单位名称（公章）：</w:t>
      </w:r>
    </w:p>
    <w:p>
      <w:pPr>
        <w:adjustRightInd w:val="0"/>
        <w:snapToGrid w:val="0"/>
        <w:spacing w:line="360" w:lineRule="auto"/>
        <w:ind w:left="1260" w:leftChars="600"/>
        <w:rPr>
          <w:rFonts w:hint="default" w:ascii="Times New Roman" w:hAnsi="Times New Roman" w:eastAsia="黑体" w:cs="黑体"/>
          <w:b/>
          <w:bCs/>
          <w:sz w:val="28"/>
          <w:szCs w:val="28"/>
          <w:lang w:val="en-US" w:eastAsia="zh-CN"/>
        </w:rPr>
      </w:pPr>
      <w:r>
        <w:rPr>
          <w:rFonts w:ascii="Times New Roman" w:hAnsi="Times New Roman" w:eastAsia="黑体" w:cs="黑体"/>
          <w:b/>
          <w:bCs/>
          <w:sz w:val="28"/>
          <w:szCs w:val="28"/>
        </w:rPr>
        <w:pict>
          <v:shape id="_x0000_s1027" o:spid="_x0000_s1027" o:spt="32" type="#_x0000_t32" style="position:absolute;left:0pt;margin-left:135pt;margin-top:17.45pt;height:0pt;width:196.5pt;z-index:251660288;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项目单位：</w:t>
      </w:r>
      <w:r>
        <w:rPr>
          <w:rFonts w:ascii="Times New Roman" w:hAnsi="Times New Roman" w:eastAsia="黑体" w:cs="黑体"/>
          <w:b/>
          <w:bCs/>
          <w:sz w:val="28"/>
          <w:szCs w:val="28"/>
        </w:rPr>
        <w:t xml:space="preserve"> </w:t>
      </w:r>
      <w:r>
        <w:rPr>
          <w:rFonts w:hint="eastAsia" w:ascii="Times New Roman" w:hAnsi="Times New Roman" w:eastAsia="黑体" w:cs="黑体"/>
          <w:b/>
          <w:bCs/>
          <w:sz w:val="28"/>
          <w:szCs w:val="28"/>
          <w:lang w:val="en-US" w:eastAsia="zh-CN"/>
        </w:rPr>
        <w:t xml:space="preserve">                                     </w:t>
      </w:r>
    </w:p>
    <w:p>
      <w:pPr>
        <w:adjustRightInd w:val="0"/>
        <w:snapToGrid w:val="0"/>
        <w:spacing w:line="360" w:lineRule="auto"/>
        <w:ind w:left="1260" w:leftChars="600"/>
        <w:rPr>
          <w:rFonts w:ascii="Times New Roman" w:hAnsi="Times New Roman" w:eastAsia="黑体"/>
          <w:b/>
          <w:bCs/>
          <w:sz w:val="28"/>
          <w:szCs w:val="28"/>
        </w:rPr>
      </w:pPr>
      <w:r>
        <w:rPr>
          <w:rFonts w:ascii="Times New Roman" w:hAnsi="Times New Roman" w:eastAsia="黑体" w:cs="黑体"/>
          <w:b/>
          <w:bCs/>
          <w:sz w:val="28"/>
          <w:szCs w:val="28"/>
        </w:rPr>
        <w:pict>
          <v:shape id="_x0000_s1028" o:spid="_x0000_s1028" o:spt="32" type="#_x0000_t32" style="position:absolute;left:0pt;margin-left:135pt;margin-top:14.25pt;height:0pt;width:196.5pt;z-index:251661312;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主管单位：</w:t>
      </w:r>
      <w:r>
        <w:rPr>
          <w:rFonts w:ascii="Times New Roman" w:hAnsi="Times New Roman" w:eastAsia="黑体"/>
          <w:b/>
          <w:bCs/>
          <w:sz w:val="28"/>
          <w:szCs w:val="28"/>
        </w:rPr>
        <w:t xml:space="preserve"> </w:t>
      </w:r>
    </w:p>
    <w:p>
      <w:pPr>
        <w:adjustRightInd w:val="0"/>
        <w:snapToGrid w:val="0"/>
        <w:spacing w:line="360" w:lineRule="auto"/>
        <w:ind w:left="1260" w:leftChars="600"/>
        <w:rPr>
          <w:rFonts w:ascii="Times New Roman" w:hAnsi="Times New Roman" w:eastAsia="黑体"/>
          <w:b/>
          <w:bCs/>
          <w:sz w:val="28"/>
          <w:szCs w:val="28"/>
        </w:rPr>
      </w:pPr>
      <w:r>
        <w:rPr>
          <w:rFonts w:ascii="Times New Roman" w:hAnsi="Times New Roman" w:eastAsia="黑体" w:cs="黑体"/>
          <w:b/>
          <w:bCs/>
          <w:sz w:val="28"/>
          <w:szCs w:val="28"/>
        </w:rPr>
        <w:pict>
          <v:shape id="_x0000_s1029" o:spid="_x0000_s1029" o:spt="32" type="#_x0000_t32" style="position:absolute;left:0pt;margin-left:135pt;margin-top:14.25pt;height:0pt;width:196.5pt;z-index:251661312;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项目名称：</w:t>
      </w:r>
      <w:r>
        <w:rPr>
          <w:rFonts w:ascii="Times New Roman" w:hAnsi="Times New Roman" w:eastAsia="黑体"/>
          <w:b/>
          <w:bCs/>
          <w:sz w:val="28"/>
          <w:szCs w:val="28"/>
        </w:rPr>
        <w:t xml:space="preserve"> </w:t>
      </w:r>
    </w:p>
    <w:p>
      <w:pPr>
        <w:adjustRightInd w:val="0"/>
        <w:snapToGrid w:val="0"/>
        <w:spacing w:line="360" w:lineRule="auto"/>
        <w:ind w:left="1260" w:leftChars="600"/>
        <w:rPr>
          <w:rFonts w:hint="default" w:ascii="Times New Roman" w:hAnsi="Times New Roman" w:eastAsia="黑体"/>
          <w:b/>
          <w:bCs/>
          <w:sz w:val="28"/>
          <w:szCs w:val="28"/>
          <w:lang w:val="en-US" w:eastAsia="zh-CN"/>
        </w:rPr>
      </w:pPr>
      <w:r>
        <w:rPr>
          <w:rFonts w:ascii="Times New Roman" w:hAnsi="Times New Roman" w:eastAsia="黑体" w:cs="黑体"/>
          <w:b/>
          <w:bCs/>
          <w:sz w:val="28"/>
          <w:szCs w:val="28"/>
        </w:rPr>
        <w:pict>
          <v:shape id="_x0000_s1030" o:spid="_x0000_s1030" o:spt="32" type="#_x0000_t32" style="position:absolute;left:0pt;margin-left:135pt;margin-top:14.25pt;height:0pt;width:196.5pt;z-index:251662336;mso-width-relative:page;mso-height-relative:page;" o:connectortype="straight" filled="f" coordsize="21600,21600">
            <v:path arrowok="t"/>
            <v:fill on="f" focussize="0,0"/>
            <v:stroke/>
            <v:imagedata o:title=""/>
            <o:lock v:ext="edit"/>
          </v:shape>
        </w:pict>
      </w:r>
      <w:r>
        <w:rPr>
          <w:rFonts w:hint="eastAsia" w:ascii="Times New Roman" w:hAnsi="Times New Roman" w:eastAsia="黑体" w:cs="黑体"/>
          <w:b/>
          <w:bCs/>
          <w:sz w:val="28"/>
          <w:szCs w:val="28"/>
        </w:rPr>
        <w:t>绩效自评日期：</w:t>
      </w:r>
      <w:r>
        <w:rPr>
          <w:rFonts w:ascii="Times New Roman" w:hAnsi="Times New Roman" w:eastAsia="黑体"/>
          <w:b/>
          <w:bCs/>
          <w:sz w:val="28"/>
          <w:szCs w:val="28"/>
        </w:rPr>
        <w:t xml:space="preserve"> </w:t>
      </w:r>
      <w:r>
        <w:rPr>
          <w:rFonts w:hint="eastAsia" w:ascii="Times New Roman" w:hAnsi="Times New Roman" w:eastAsia="黑体"/>
          <w:b/>
          <w:bCs/>
          <w:sz w:val="28"/>
          <w:szCs w:val="28"/>
          <w:lang w:val="en-US" w:eastAsia="zh-CN"/>
        </w:rPr>
        <w:t xml:space="preserve">                                      </w:t>
      </w:r>
    </w:p>
    <w:p>
      <w:pPr>
        <w:spacing w:line="360" w:lineRule="auto"/>
        <w:ind w:left="1218" w:leftChars="580"/>
        <w:rPr>
          <w:rFonts w:ascii="Times New Roman" w:hAnsi="Times New Roman" w:eastAsia="黑体"/>
          <w:b/>
          <w:bCs/>
          <w:sz w:val="28"/>
          <w:szCs w:val="28"/>
        </w:rPr>
      </w:pPr>
    </w:p>
    <w:p>
      <w:pPr>
        <w:jc w:val="center"/>
        <w:rPr>
          <w:rFonts w:ascii="Times New Roman" w:hAnsi="Times New Roman" w:eastAsia="黑体" w:cs="黑体"/>
          <w:b/>
          <w:bCs/>
          <w:sz w:val="28"/>
          <w:szCs w:val="28"/>
        </w:rPr>
      </w:pPr>
      <w:r>
        <w:rPr>
          <w:rFonts w:ascii="Times New Roman" w:hAnsi="Times New Roman" w:eastAsia="黑体"/>
          <w:b/>
          <w:bCs/>
          <w:sz w:val="28"/>
          <w:szCs w:val="28"/>
        </w:rPr>
        <w:t>20</w:t>
      </w:r>
      <w:r>
        <w:rPr>
          <w:rFonts w:hint="eastAsia" w:ascii="Times New Roman" w:hAnsi="Times New Roman" w:eastAsia="黑体"/>
          <w:b/>
          <w:bCs/>
          <w:sz w:val="28"/>
          <w:szCs w:val="28"/>
          <w:lang w:val="en-US" w:eastAsia="zh-CN"/>
        </w:rPr>
        <w:t>24</w:t>
      </w:r>
      <w:r>
        <w:rPr>
          <w:rFonts w:hint="eastAsia" w:ascii="Times New Roman" w:hAnsi="Times New Roman" w:eastAsia="黑体" w:cs="黑体"/>
          <w:b/>
          <w:bCs/>
          <w:sz w:val="28"/>
          <w:szCs w:val="28"/>
        </w:rPr>
        <w:t>年</w:t>
      </w:r>
      <w:r>
        <w:rPr>
          <w:rFonts w:hint="eastAsia" w:ascii="Times New Roman" w:hAnsi="Times New Roman" w:eastAsia="黑体"/>
          <w:b/>
          <w:bCs/>
          <w:sz w:val="28"/>
          <w:szCs w:val="28"/>
          <w:lang w:val="en-US" w:eastAsia="zh-CN"/>
        </w:rPr>
        <w:t>05</w:t>
      </w:r>
      <w:r>
        <w:rPr>
          <w:rFonts w:hint="eastAsia" w:ascii="Times New Roman" w:hAnsi="Times New Roman" w:eastAsia="黑体" w:cs="黑体"/>
          <w:b/>
          <w:bCs/>
          <w:sz w:val="28"/>
          <w:szCs w:val="28"/>
        </w:rPr>
        <w:t>月</w:t>
      </w:r>
    </w:p>
    <w:p>
      <w:pPr>
        <w:jc w:val="center"/>
        <w:rPr>
          <w:rFonts w:ascii="Times New Roman" w:hAnsi="Times New Roman" w:eastAsia="黑体" w:cs="黑体"/>
          <w:b/>
          <w:bCs/>
          <w:sz w:val="28"/>
          <w:szCs w:val="28"/>
        </w:rPr>
      </w:pPr>
    </w:p>
    <w:p>
      <w:pPr>
        <w:jc w:val="center"/>
        <w:rPr>
          <w:rFonts w:ascii="Times New Roman" w:hAnsi="Times New Roman" w:eastAsia="黑体" w:cs="黑体"/>
          <w:b/>
          <w:bCs/>
          <w:sz w:val="28"/>
          <w:szCs w:val="28"/>
        </w:rPr>
      </w:pPr>
    </w:p>
    <w:p>
      <w:pPr>
        <w:jc w:val="center"/>
        <w:rPr>
          <w:rFonts w:ascii="Times New Roman" w:hAnsi="Times New Roman" w:eastAsia="黑体" w:cs="黑体"/>
          <w:b/>
          <w:bCs/>
          <w:sz w:val="28"/>
          <w:szCs w:val="28"/>
        </w:rPr>
      </w:pPr>
    </w:p>
    <w:p>
      <w:pPr>
        <w:jc w:val="center"/>
        <w:rPr>
          <w:rFonts w:ascii="Times New Roman" w:hAnsi="Times New Roman" w:eastAsia="黑体" w:cs="黑体"/>
          <w:b/>
          <w:bCs/>
          <w:sz w:val="28"/>
          <w:szCs w:val="28"/>
        </w:rPr>
      </w:pPr>
    </w:p>
    <w:p>
      <w:pPr>
        <w:jc w:val="center"/>
        <w:rPr>
          <w:rFonts w:ascii="Times New Roman" w:hAnsi="Times New Roman" w:eastAsia="仿宋_GB2312"/>
          <w:b/>
          <w:bCs/>
          <w:sz w:val="28"/>
          <w:szCs w:val="28"/>
        </w:rPr>
      </w:pPr>
    </w:p>
    <w:p>
      <w:pPr>
        <w:widowControl/>
        <w:jc w:val="left"/>
        <w:rPr>
          <w:rFonts w:ascii="Times New Roman" w:hAnsi="Times New Roman" w:eastAsia="仿宋_GB2312"/>
          <w:b/>
          <w:bCs/>
          <w:sz w:val="28"/>
          <w:szCs w:val="28"/>
        </w:rPr>
        <w:sectPr>
          <w:headerReference r:id="rId4" w:type="first"/>
          <w:headerReference r:id="rId3" w:type="even"/>
          <w:footerReference r:id="rId5" w:type="even"/>
          <w:pgSz w:w="11906" w:h="16838"/>
          <w:pgMar w:top="1440" w:right="1800" w:bottom="1440" w:left="1800" w:header="851" w:footer="992" w:gutter="0"/>
          <w:cols w:space="425" w:num="1"/>
          <w:titlePg/>
          <w:docGrid w:type="lines" w:linePitch="312" w:charSpace="0"/>
        </w:sectPr>
      </w:pPr>
    </w:p>
    <w:p>
      <w:pPr>
        <w:pStyle w:val="16"/>
        <w:widowControl w:val="0"/>
        <w:spacing w:after="0" w:line="360" w:lineRule="auto"/>
        <w:ind w:left="420" w:leftChars="200"/>
        <w:jc w:val="both"/>
        <w:rPr>
          <w:rFonts w:ascii="Times New Roman" w:hAnsi="Times New Roman" w:eastAsia="黑体" w:cs="Times New Roman"/>
          <w:kern w:val="2"/>
          <w:sz w:val="24"/>
          <w:szCs w:val="24"/>
          <w:lang w:val="zh-TW" w:eastAsia="zh-TW"/>
        </w:rPr>
      </w:pPr>
      <w:r>
        <w:rPr>
          <w:rFonts w:hint="eastAsia" w:ascii="Times New Roman" w:hAnsi="Times New Roman" w:eastAsia="黑体" w:cs="黑体"/>
          <w:kern w:val="2"/>
          <w:sz w:val="24"/>
          <w:szCs w:val="24"/>
          <w:lang w:val="zh-TW" w:eastAsia="zh-TW"/>
        </w:rPr>
        <w:t>评价小组成员：</w:t>
      </w:r>
    </w:p>
    <w:tbl>
      <w:tblPr>
        <w:tblStyle w:val="13"/>
        <w:tblpPr w:leftFromText="180" w:rightFromText="180" w:vertAnchor="text" w:horzAnchor="margin" w:tblpY="72"/>
        <w:tblW w:w="810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620"/>
        <w:gridCol w:w="1620"/>
        <w:gridCol w:w="1621"/>
        <w:gridCol w:w="16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620" w:type="dxa"/>
            <w:vAlign w:val="center"/>
          </w:tcPr>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评价小组</w:t>
            </w:r>
          </w:p>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机构职位</w:t>
            </w:r>
          </w:p>
        </w:tc>
        <w:tc>
          <w:tcPr>
            <w:tcW w:w="1620" w:type="dxa"/>
            <w:vAlign w:val="center"/>
          </w:tcPr>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姓名</w:t>
            </w:r>
          </w:p>
        </w:tc>
        <w:tc>
          <w:tcPr>
            <w:tcW w:w="1620" w:type="dxa"/>
            <w:vAlign w:val="center"/>
          </w:tcPr>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职务/职称</w:t>
            </w:r>
          </w:p>
        </w:tc>
        <w:tc>
          <w:tcPr>
            <w:tcW w:w="1621" w:type="dxa"/>
            <w:vAlign w:val="center"/>
          </w:tcPr>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所属</w:t>
            </w:r>
          </w:p>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单位/处室</w:t>
            </w:r>
          </w:p>
        </w:tc>
        <w:tc>
          <w:tcPr>
            <w:tcW w:w="1621" w:type="dxa"/>
            <w:vAlign w:val="center"/>
          </w:tcPr>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620" w:type="dxa"/>
            <w:vAlign w:val="center"/>
          </w:tcPr>
          <w:p>
            <w:pPr>
              <w:pStyle w:val="16"/>
              <w:widowControl w:val="0"/>
              <w:spacing w:after="0" w:line="24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组长</w:t>
            </w:r>
          </w:p>
        </w:tc>
        <w:tc>
          <w:tcPr>
            <w:tcW w:w="1620" w:type="dxa"/>
            <w:vAlign w:val="top"/>
          </w:tcPr>
          <w:p>
            <w:pPr>
              <w:pStyle w:val="16"/>
              <w:widowControl w:val="0"/>
              <w:spacing w:after="0" w:line="24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殷龙杰</w:t>
            </w:r>
          </w:p>
        </w:tc>
        <w:tc>
          <w:tcPr>
            <w:tcW w:w="1620" w:type="dxa"/>
            <w:vAlign w:val="top"/>
          </w:tcPr>
          <w:p>
            <w:pPr>
              <w:pStyle w:val="16"/>
              <w:widowControl w:val="0"/>
              <w:spacing w:after="0" w:line="24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财务负责人</w:t>
            </w:r>
          </w:p>
        </w:tc>
        <w:tc>
          <w:tcPr>
            <w:tcW w:w="1621" w:type="dxa"/>
            <w:vAlign w:val="top"/>
          </w:tcPr>
          <w:p>
            <w:pPr>
              <w:pStyle w:val="16"/>
              <w:widowControl w:val="0"/>
              <w:spacing w:after="0" w:line="24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财务部</w:t>
            </w:r>
          </w:p>
        </w:tc>
        <w:tc>
          <w:tcPr>
            <w:tcW w:w="1621" w:type="dxa"/>
            <w:vAlign w:val="top"/>
          </w:tcPr>
          <w:p>
            <w:pPr>
              <w:pStyle w:val="16"/>
              <w:widowControl w:val="0"/>
              <w:spacing w:after="0" w:line="240" w:lineRule="auto"/>
              <w:jc w:val="center"/>
              <w:rPr>
                <w:rFonts w:ascii="Times New Roman" w:hAnsi="Times New Roman" w:eastAsia="黑体" w:cs="黑体"/>
                <w:color w:val="000000"/>
                <w:kern w:val="2"/>
                <w:sz w:val="24"/>
                <w:szCs w:val="24"/>
                <w:u w:color="000000"/>
                <w:lang w:val="zh-TW" w:eastAsia="zh-TW"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620" w:type="dxa"/>
            <w:vAlign w:val="center"/>
          </w:tcPr>
          <w:p>
            <w:pPr>
              <w:pStyle w:val="16"/>
              <w:widowControl w:val="0"/>
              <w:spacing w:after="0" w:line="36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副组长</w:t>
            </w:r>
          </w:p>
        </w:tc>
        <w:tc>
          <w:tcPr>
            <w:tcW w:w="1620"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曾勇</w:t>
            </w:r>
          </w:p>
        </w:tc>
        <w:tc>
          <w:tcPr>
            <w:tcW w:w="1620"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项目部负责人</w:t>
            </w:r>
          </w:p>
        </w:tc>
        <w:tc>
          <w:tcPr>
            <w:tcW w:w="1621"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项目部</w:t>
            </w:r>
          </w:p>
        </w:tc>
        <w:tc>
          <w:tcPr>
            <w:tcW w:w="1621" w:type="dxa"/>
            <w:vAlign w:val="top"/>
          </w:tcPr>
          <w:p>
            <w:pPr>
              <w:pStyle w:val="16"/>
              <w:widowControl w:val="0"/>
              <w:spacing w:after="0" w:line="360" w:lineRule="auto"/>
              <w:jc w:val="both"/>
              <w:rPr>
                <w:rFonts w:ascii="Times New Roman" w:hAnsi="Times New Roman" w:eastAsia="黑体" w:cs="黑体"/>
                <w:color w:val="000000"/>
                <w:kern w:val="2"/>
                <w:sz w:val="24"/>
                <w:szCs w:val="24"/>
                <w:u w:color="000000"/>
                <w:lang w:val="zh-TW" w:eastAsia="zh-TW"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620" w:type="dxa"/>
            <w:vAlign w:val="center"/>
          </w:tcPr>
          <w:p>
            <w:pPr>
              <w:pStyle w:val="16"/>
              <w:widowControl w:val="0"/>
              <w:spacing w:after="0" w:line="360" w:lineRule="auto"/>
              <w:jc w:val="center"/>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成员</w:t>
            </w:r>
          </w:p>
        </w:tc>
        <w:tc>
          <w:tcPr>
            <w:tcW w:w="1620"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CN" w:bidi="ar-SA"/>
              </w:rPr>
            </w:pPr>
            <w:r>
              <w:rPr>
                <w:rFonts w:hint="eastAsia" w:ascii="Times New Roman" w:hAnsi="Times New Roman" w:eastAsia="黑体" w:cs="黑体"/>
                <w:color w:val="000000"/>
                <w:kern w:val="2"/>
                <w:sz w:val="24"/>
                <w:szCs w:val="24"/>
                <w:u w:color="000000"/>
                <w:lang w:val="zh-TW" w:eastAsia="zh-CN" w:bidi="ar-SA"/>
              </w:rPr>
              <w:t>王长江</w:t>
            </w:r>
          </w:p>
        </w:tc>
        <w:tc>
          <w:tcPr>
            <w:tcW w:w="1620" w:type="dxa"/>
            <w:vAlign w:val="top"/>
          </w:tcPr>
          <w:p>
            <w:pPr>
              <w:pStyle w:val="16"/>
              <w:widowControl w:val="0"/>
              <w:spacing w:after="0" w:line="360" w:lineRule="auto"/>
              <w:jc w:val="center"/>
              <w:rPr>
                <w:rFonts w:ascii="Times New Roman" w:hAnsi="Times New Roman" w:eastAsia="黑体" w:cs="黑体"/>
                <w:color w:val="000000"/>
                <w:kern w:val="2"/>
                <w:sz w:val="24"/>
                <w:szCs w:val="24"/>
                <w:u w:color="000000"/>
                <w:lang w:val="zh-TW" w:eastAsia="zh-TW" w:bidi="ar-SA"/>
              </w:rPr>
            </w:pPr>
          </w:p>
        </w:tc>
        <w:tc>
          <w:tcPr>
            <w:tcW w:w="1621"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项目部</w:t>
            </w:r>
          </w:p>
        </w:tc>
        <w:tc>
          <w:tcPr>
            <w:tcW w:w="1621" w:type="dxa"/>
            <w:vAlign w:val="top"/>
          </w:tcPr>
          <w:p>
            <w:pPr>
              <w:pStyle w:val="16"/>
              <w:widowControl w:val="0"/>
              <w:spacing w:after="0" w:line="360" w:lineRule="auto"/>
              <w:jc w:val="both"/>
              <w:rPr>
                <w:rFonts w:ascii="Times New Roman" w:hAnsi="Times New Roman" w:eastAsia="黑体" w:cs="黑体"/>
                <w:color w:val="000000"/>
                <w:kern w:val="2"/>
                <w:sz w:val="24"/>
                <w:szCs w:val="24"/>
                <w:u w:color="000000"/>
                <w:lang w:val="zh-TW" w:eastAsia="zh-TW"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5" w:hRule="atLeast"/>
        </w:trPr>
        <w:tc>
          <w:tcPr>
            <w:tcW w:w="1620" w:type="dxa"/>
            <w:vAlign w:val="center"/>
          </w:tcPr>
          <w:p>
            <w:pPr>
              <w:pStyle w:val="16"/>
              <w:widowControl w:val="0"/>
              <w:spacing w:after="0" w:line="360" w:lineRule="auto"/>
              <w:jc w:val="center"/>
              <w:rPr>
                <w:rFonts w:hint="eastAsia" w:ascii="Times New Roman" w:hAnsi="Times New Roman" w:eastAsia="黑体" w:cs="黑体"/>
                <w:kern w:val="2"/>
                <w:sz w:val="24"/>
                <w:szCs w:val="24"/>
                <w:lang w:val="zh-TW" w:eastAsia="zh-CN"/>
              </w:rPr>
            </w:pPr>
            <w:r>
              <w:rPr>
                <w:rFonts w:hint="eastAsia" w:ascii="Times New Roman" w:hAnsi="Times New Roman" w:eastAsia="黑体" w:cs="黑体"/>
                <w:kern w:val="2"/>
                <w:sz w:val="24"/>
                <w:szCs w:val="24"/>
                <w:lang w:val="zh-TW" w:eastAsia="zh-CN"/>
              </w:rPr>
              <w:t>成员</w:t>
            </w:r>
          </w:p>
        </w:tc>
        <w:tc>
          <w:tcPr>
            <w:tcW w:w="1620"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杨雪</w:t>
            </w:r>
          </w:p>
        </w:tc>
        <w:tc>
          <w:tcPr>
            <w:tcW w:w="1620"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会计</w:t>
            </w:r>
          </w:p>
        </w:tc>
        <w:tc>
          <w:tcPr>
            <w:tcW w:w="1621" w:type="dxa"/>
            <w:vAlign w:val="top"/>
          </w:tcPr>
          <w:p>
            <w:pPr>
              <w:pStyle w:val="16"/>
              <w:widowControl w:val="0"/>
              <w:spacing w:after="0" w:line="360" w:lineRule="auto"/>
              <w:jc w:val="center"/>
              <w:rPr>
                <w:rFonts w:hint="eastAsia" w:ascii="Times New Roman" w:hAnsi="Times New Roman" w:eastAsia="黑体" w:cs="黑体"/>
                <w:color w:val="000000"/>
                <w:kern w:val="2"/>
                <w:sz w:val="24"/>
                <w:szCs w:val="24"/>
                <w:u w:color="000000"/>
                <w:lang w:val="zh-TW" w:eastAsia="zh-TW" w:bidi="ar-SA"/>
              </w:rPr>
            </w:pPr>
            <w:r>
              <w:rPr>
                <w:rFonts w:hint="eastAsia" w:ascii="Times New Roman" w:hAnsi="Times New Roman" w:eastAsia="黑体" w:cs="黑体"/>
                <w:kern w:val="2"/>
                <w:sz w:val="24"/>
                <w:szCs w:val="24"/>
                <w:lang w:val="zh-TW" w:eastAsia="zh-CN"/>
              </w:rPr>
              <w:t>财务部</w:t>
            </w:r>
          </w:p>
        </w:tc>
        <w:tc>
          <w:tcPr>
            <w:tcW w:w="1621" w:type="dxa"/>
            <w:vAlign w:val="top"/>
          </w:tcPr>
          <w:p>
            <w:pPr>
              <w:pStyle w:val="16"/>
              <w:widowControl w:val="0"/>
              <w:spacing w:after="0" w:line="360" w:lineRule="auto"/>
              <w:jc w:val="both"/>
              <w:rPr>
                <w:rFonts w:ascii="Times New Roman" w:hAnsi="Times New Roman" w:eastAsia="黑体" w:cs="黑体"/>
                <w:color w:val="000000"/>
                <w:kern w:val="2"/>
                <w:sz w:val="24"/>
                <w:szCs w:val="24"/>
                <w:u w:color="000000"/>
                <w:lang w:val="zh-TW" w:eastAsia="zh-TW"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7" w:hRule="atLeast"/>
        </w:trPr>
        <w:tc>
          <w:tcPr>
            <w:tcW w:w="8102" w:type="dxa"/>
            <w:gridSpan w:val="5"/>
          </w:tcPr>
          <w:p>
            <w:pPr>
              <w:pStyle w:val="16"/>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报告撰写人（签字）：</w:t>
            </w:r>
          </w:p>
          <w:p>
            <w:pPr>
              <w:pStyle w:val="16"/>
              <w:widowControl w:val="0"/>
              <w:spacing w:after="0" w:line="360" w:lineRule="auto"/>
              <w:jc w:val="both"/>
              <w:rPr>
                <w:rFonts w:ascii="Times New Roman" w:hAnsi="Times New Roman" w:eastAsia="黑体" w:cs="黑体"/>
                <w:kern w:val="2"/>
                <w:sz w:val="24"/>
                <w:szCs w:val="24"/>
                <w:lang w:val="zh-TW"/>
              </w:rPr>
            </w:pPr>
          </w:p>
          <w:p>
            <w:pPr>
              <w:pStyle w:val="16"/>
              <w:widowControl w:val="0"/>
              <w:spacing w:after="0" w:line="360" w:lineRule="auto"/>
              <w:jc w:val="both"/>
              <w:rPr>
                <w:rFonts w:ascii="Times New Roman" w:hAnsi="Times New Roman" w:eastAsia="黑体" w:cs="黑体"/>
                <w:kern w:val="2"/>
                <w:sz w:val="24"/>
                <w:szCs w:val="24"/>
                <w:lang w:val="zh-TW"/>
              </w:rPr>
            </w:pPr>
          </w:p>
          <w:p>
            <w:pPr>
              <w:pStyle w:val="16"/>
              <w:widowControl w:val="0"/>
              <w:wordWrap w:val="0"/>
              <w:spacing w:after="0" w:line="360" w:lineRule="auto"/>
              <w:jc w:val="right"/>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trPr>
        <w:tc>
          <w:tcPr>
            <w:tcW w:w="8102" w:type="dxa"/>
            <w:gridSpan w:val="5"/>
          </w:tcPr>
          <w:p>
            <w:pPr>
              <w:pStyle w:val="16"/>
              <w:widowControl w:val="0"/>
              <w:spacing w:after="0" w:line="360" w:lineRule="auto"/>
              <w:jc w:val="both"/>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评价工作负责人（签字）：</w:t>
            </w:r>
          </w:p>
          <w:p>
            <w:pPr>
              <w:pStyle w:val="16"/>
              <w:widowControl w:val="0"/>
              <w:spacing w:after="0" w:line="360" w:lineRule="auto"/>
              <w:jc w:val="both"/>
              <w:rPr>
                <w:rFonts w:ascii="Times New Roman" w:hAnsi="Times New Roman" w:eastAsia="黑体" w:cs="黑体"/>
                <w:kern w:val="2"/>
                <w:sz w:val="24"/>
                <w:szCs w:val="24"/>
                <w:lang w:val="zh-TW"/>
              </w:rPr>
            </w:pPr>
          </w:p>
          <w:p>
            <w:pPr>
              <w:pStyle w:val="16"/>
              <w:widowControl w:val="0"/>
              <w:spacing w:after="0" w:line="360" w:lineRule="auto"/>
              <w:jc w:val="both"/>
              <w:rPr>
                <w:rFonts w:ascii="Times New Roman" w:hAnsi="Times New Roman" w:eastAsia="黑体" w:cs="黑体"/>
                <w:kern w:val="2"/>
                <w:sz w:val="24"/>
                <w:szCs w:val="24"/>
                <w:lang w:val="zh-TW"/>
              </w:rPr>
            </w:pPr>
          </w:p>
          <w:p>
            <w:pPr>
              <w:pStyle w:val="16"/>
              <w:widowControl w:val="0"/>
              <w:wordWrap w:val="0"/>
              <w:spacing w:after="0" w:line="360" w:lineRule="auto"/>
              <w:jc w:val="right"/>
              <w:rPr>
                <w:rFonts w:ascii="Times New Roman" w:hAnsi="Times New Roman" w:eastAsia="黑体" w:cs="黑体"/>
                <w:kern w:val="2"/>
                <w:sz w:val="24"/>
                <w:szCs w:val="24"/>
                <w:lang w:val="zh-TW"/>
              </w:rPr>
            </w:pPr>
            <w:r>
              <w:rPr>
                <w:rFonts w:hint="eastAsia" w:ascii="Times New Roman" w:hAnsi="Times New Roman" w:eastAsia="黑体" w:cs="黑体"/>
                <w:kern w:val="2"/>
                <w:sz w:val="24"/>
                <w:szCs w:val="24"/>
                <w:lang w:val="zh-TW"/>
              </w:rPr>
              <w:t>年  月  日</w:t>
            </w:r>
          </w:p>
        </w:tc>
      </w:tr>
    </w:tbl>
    <w:p>
      <w:pPr>
        <w:pStyle w:val="16"/>
        <w:widowControl w:val="0"/>
        <w:spacing w:after="0" w:line="360" w:lineRule="auto"/>
        <w:jc w:val="both"/>
        <w:rPr>
          <w:rFonts w:ascii="Times New Roman" w:hAnsi="Times New Roman" w:cs="Times New Roman"/>
          <w:kern w:val="2"/>
          <w:sz w:val="24"/>
          <w:szCs w:val="24"/>
          <w:lang w:val="zh-TW"/>
        </w:rPr>
        <w:sectPr>
          <w:pgSz w:w="11906" w:h="16838"/>
          <w:pgMar w:top="1440" w:right="1800" w:bottom="1440" w:left="1800" w:header="851" w:footer="992" w:gutter="0"/>
          <w:cols w:space="425" w:num="1"/>
          <w:docGrid w:type="lines" w:linePitch="312" w:charSpace="0"/>
        </w:sectPr>
      </w:pPr>
    </w:p>
    <w:p>
      <w:pPr>
        <w:spacing w:line="440" w:lineRule="exact"/>
        <w:jc w:val="left"/>
        <w:rPr>
          <w:rFonts w:hint="eastAsia" w:ascii="黑体" w:hAnsi="黑体" w:eastAsia="黑体"/>
          <w:szCs w:val="32"/>
        </w:rPr>
      </w:pPr>
    </w:p>
    <w:p>
      <w:pPr>
        <w:spacing w:line="440" w:lineRule="exact"/>
        <w:ind w:firstLine="420" w:firstLineChars="200"/>
        <w:jc w:val="left"/>
        <w:rPr>
          <w:rFonts w:ascii="黑体" w:hAnsi="黑体" w:eastAsia="黑体"/>
          <w:szCs w:val="32"/>
        </w:rPr>
      </w:pPr>
      <w:r>
        <w:rPr>
          <w:rFonts w:hint="eastAsia" w:ascii="黑体" w:hAnsi="黑体" w:eastAsia="黑体"/>
          <w:szCs w:val="32"/>
        </w:rPr>
        <w:tab/>
      </w:r>
      <w:r>
        <w:rPr>
          <w:rFonts w:hint="eastAsia" w:ascii="黑体" w:hAnsi="黑体" w:eastAsia="黑体"/>
          <w:szCs w:val="32"/>
        </w:rPr>
        <w:t xml:space="preserve">  </w:t>
      </w:r>
    </w:p>
    <w:p>
      <w:pPr>
        <w:spacing w:line="540" w:lineRule="exact"/>
        <w:rPr>
          <w:rFonts w:ascii="方正小标宋_GBK" w:hAnsi="黑体" w:eastAsia="方正小标宋_GBK"/>
          <w:szCs w:val="32"/>
        </w:rPr>
      </w:pPr>
    </w:p>
    <w:p>
      <w:pPr>
        <w:spacing w:line="440" w:lineRule="exact"/>
        <w:jc w:val="center"/>
        <w:rPr>
          <w:rFonts w:hint="eastAsia" w:ascii="Calibri" w:hAnsi="Calibri" w:eastAsia="宋体" w:cs="Times New Roman"/>
          <w:b/>
          <w:bCs/>
          <w:kern w:val="44"/>
          <w:sz w:val="44"/>
          <w:szCs w:val="44"/>
          <w:lang w:val="en-US" w:eastAsia="zh-CN" w:bidi="ar-SA"/>
        </w:rPr>
      </w:pPr>
      <w:r>
        <w:rPr>
          <w:rFonts w:hint="eastAsia" w:ascii="Calibri" w:hAnsi="Calibri" w:eastAsia="宋体" w:cs="Times New Roman"/>
          <w:b/>
          <w:bCs/>
          <w:kern w:val="44"/>
          <w:sz w:val="44"/>
          <w:szCs w:val="44"/>
          <w:lang w:val="en-US" w:eastAsia="zh-CN" w:bidi="ar-SA"/>
        </w:rPr>
        <w:t>五华区综合治理中心项目支出绩效自评报告</w:t>
      </w:r>
    </w:p>
    <w:p>
      <w:pPr>
        <w:spacing w:line="440" w:lineRule="exact"/>
        <w:ind w:firstLine="420" w:firstLineChars="200"/>
        <w:jc w:val="left"/>
        <w:rPr>
          <w:rFonts w:ascii="黑体" w:hAnsi="黑体" w:eastAsia="黑体"/>
          <w:szCs w:val="32"/>
        </w:rPr>
      </w:pPr>
    </w:p>
    <w:p>
      <w:pPr>
        <w:pStyle w:val="4"/>
        <w:bidi w:val="0"/>
        <w:jc w:val="center"/>
        <w:rPr>
          <w:rFonts w:hint="eastAsia"/>
        </w:rPr>
      </w:pPr>
      <w:bookmarkStart w:id="0" w:name="_Toc24519"/>
      <w:bookmarkStart w:id="1" w:name="_Toc18441"/>
      <w:bookmarkStart w:id="2" w:name="_Toc26396"/>
      <w:bookmarkStart w:id="3" w:name="_Toc4418"/>
      <w:bookmarkStart w:id="4" w:name="_Toc7982"/>
      <w:r>
        <w:rPr>
          <w:rFonts w:hint="eastAsia"/>
        </w:rPr>
        <w:t>摘要</w:t>
      </w:r>
      <w:bookmarkEnd w:id="0"/>
      <w:bookmarkEnd w:id="1"/>
      <w:bookmarkEnd w:id="2"/>
      <w:bookmarkEnd w:id="3"/>
      <w:bookmarkEnd w:id="4"/>
    </w:p>
    <w:p>
      <w:pPr>
        <w:keepNext w:val="0"/>
        <w:keepLines w:val="0"/>
        <w:pageBreakBefore w:val="0"/>
        <w:widowControl w:val="0"/>
        <w:numPr>
          <w:ilvl w:val="0"/>
          <w:numId w:val="1"/>
        </w:numPr>
        <w:kinsoku/>
        <w:wordWrap/>
        <w:topLinePunct w:val="0"/>
        <w:autoSpaceDE/>
        <w:autoSpaceDN/>
        <w:bidi w:val="0"/>
        <w:adjustRightInd/>
        <w:snapToGrid/>
        <w:spacing w:line="360" w:lineRule="auto"/>
        <w:ind w:firstLine="560" w:firstLineChars="200"/>
        <w:jc w:val="left"/>
        <w:textAlignment w:val="auto"/>
        <w:outlineLvl w:val="0"/>
        <w:rPr>
          <w:rFonts w:hint="eastAsia" w:ascii="宋体" w:hAnsi="宋体" w:eastAsia="宋体" w:cs="宋体"/>
          <w:sz w:val="28"/>
          <w:szCs w:val="28"/>
        </w:rPr>
      </w:pPr>
      <w:bookmarkStart w:id="5" w:name="_Toc10062"/>
      <w:bookmarkStart w:id="6" w:name="_Toc23544"/>
      <w:bookmarkStart w:id="7" w:name="_Toc3811"/>
      <w:bookmarkStart w:id="8" w:name="_Toc22702"/>
      <w:bookmarkStart w:id="9" w:name="_Toc4713"/>
      <w:r>
        <w:rPr>
          <w:rFonts w:hint="eastAsia" w:ascii="宋体" w:hAnsi="宋体" w:eastAsia="宋体" w:cs="宋体"/>
          <w:sz w:val="28"/>
          <w:szCs w:val="28"/>
        </w:rPr>
        <w:t>项目概况：</w:t>
      </w:r>
      <w:bookmarkEnd w:id="5"/>
      <w:bookmarkEnd w:id="6"/>
      <w:bookmarkEnd w:id="7"/>
      <w:bookmarkEnd w:id="8"/>
      <w:bookmarkEnd w:id="9"/>
    </w:p>
    <w:p>
      <w:pPr>
        <w:keepNext w:val="0"/>
        <w:keepLines w:val="0"/>
        <w:pageBreakBefore w:val="0"/>
        <w:widowControl w:val="0"/>
        <w:tabs>
          <w:tab w:val="left" w:pos="5280"/>
        </w:tabs>
        <w:kinsoku/>
        <w:wordWrap/>
        <w:topLinePunct w:val="0"/>
        <w:autoSpaceDE/>
        <w:autoSpaceDN/>
        <w:bidi w:val="0"/>
        <w:adjustRightInd/>
        <w:snapToGrid/>
        <w:spacing w:line="360" w:lineRule="auto"/>
        <w:ind w:firstLine="560" w:firstLineChars="200"/>
        <w:textAlignment w:val="auto"/>
        <w:rPr>
          <w:rFonts w:hint="eastAsia" w:ascii="宋体" w:hAnsi="宋体"/>
          <w:kern w:val="2"/>
          <w:sz w:val="28"/>
          <w:szCs w:val="28"/>
          <w:lang w:val="zh-CN"/>
        </w:rPr>
      </w:pPr>
      <w:r>
        <w:rPr>
          <w:rFonts w:hint="eastAsia" w:ascii="宋体" w:hAnsi="宋体" w:eastAsia="宋体" w:cs="宋体"/>
          <w:kern w:val="2"/>
          <w:sz w:val="28"/>
          <w:szCs w:val="28"/>
        </w:rPr>
        <w:t>五华国投公司接受政府委托进行资产管理，负责投资建设形成的存量国有资产运作。</w:t>
      </w:r>
      <w:r>
        <w:rPr>
          <w:rFonts w:hint="eastAsia" w:ascii="宋体" w:hAnsi="宋体" w:eastAsia="宋体"/>
          <w:kern w:val="2"/>
          <w:sz w:val="28"/>
          <w:szCs w:val="28"/>
        </w:rPr>
        <w:t>2</w:t>
      </w:r>
      <w:r>
        <w:rPr>
          <w:rFonts w:ascii="宋体" w:hAnsi="宋体" w:eastAsia="宋体"/>
          <w:kern w:val="2"/>
          <w:sz w:val="28"/>
          <w:szCs w:val="28"/>
        </w:rPr>
        <w:t>02</w:t>
      </w:r>
      <w:r>
        <w:rPr>
          <w:rFonts w:hint="eastAsia" w:ascii="宋体" w:hAnsi="宋体"/>
          <w:kern w:val="2"/>
          <w:sz w:val="28"/>
          <w:szCs w:val="28"/>
          <w:lang w:val="en-US" w:eastAsia="zh-CN"/>
        </w:rPr>
        <w:t>3</w:t>
      </w:r>
      <w:r>
        <w:rPr>
          <w:rFonts w:hint="eastAsia" w:ascii="宋体" w:hAnsi="宋体" w:eastAsia="宋体"/>
          <w:kern w:val="2"/>
          <w:sz w:val="28"/>
          <w:szCs w:val="28"/>
        </w:rPr>
        <w:t>年度申报的国有资本金注入专项资金项目</w:t>
      </w:r>
      <w:r>
        <w:rPr>
          <w:rFonts w:hint="eastAsia" w:ascii="宋体" w:hAnsi="宋体" w:eastAsia="宋体"/>
          <w:kern w:val="2"/>
          <w:sz w:val="28"/>
          <w:szCs w:val="28"/>
          <w:lang w:val="zh-CN"/>
        </w:rPr>
        <w:t>开展内容为：</w:t>
      </w:r>
      <w:r>
        <w:rPr>
          <w:rFonts w:hint="eastAsia" w:ascii="宋体" w:hAnsi="宋体"/>
          <w:kern w:val="2"/>
          <w:sz w:val="28"/>
          <w:szCs w:val="28"/>
          <w:lang w:val="zh-CN"/>
        </w:rPr>
        <w:t>五华区综合治理中心</w:t>
      </w:r>
      <w:r>
        <w:rPr>
          <w:rFonts w:hint="eastAsia" w:ascii="宋体" w:hAnsi="宋体" w:eastAsia="宋体"/>
          <w:kern w:val="2"/>
          <w:sz w:val="28"/>
          <w:szCs w:val="28"/>
          <w:lang w:val="zh-CN"/>
        </w:rPr>
        <w:t>建设项目</w:t>
      </w:r>
      <w:r>
        <w:rPr>
          <w:rFonts w:hint="eastAsia" w:ascii="宋体" w:hAnsi="宋体"/>
          <w:kern w:val="2"/>
          <w:sz w:val="28"/>
          <w:szCs w:val="28"/>
          <w:lang w:val="zh-CN"/>
        </w:rPr>
        <w:t>。以习近平新时代中国特色社会主义思想为指导，深入学习贯彻党的十九大和十九届二中、三中、四中、五中全会精神，中央政法工作会议精神以及习近平总书记考察云南重要讲话精神，深入贯彻党中央和省、市关于市域社会治理现代化、社会治安综合治理中心标准化建设工作的新部署新要求，按照《中国共产党政法工作条例》及《社会治安综合治理综治中心建设与管理规范》（GB/T33200-2016）关于综治中心的功能定位，将综治中心作为整合社会治理资源、创新社会治理方式的重要工作平台，进一步完善党委领导、政府负责、民主协商、社会协同、公众参与、法治保障、科技支撑的社会治理体系，努力建设人人有责、人人尽责、人人享有的社会治理共同体，形成具有新时代昆明特色的社会治理新格局。</w:t>
      </w:r>
    </w:p>
    <w:p>
      <w:pPr>
        <w:keepNext w:val="0"/>
        <w:keepLines w:val="0"/>
        <w:pageBreakBefore w:val="0"/>
        <w:widowControl w:val="0"/>
        <w:tabs>
          <w:tab w:val="left" w:pos="5280"/>
        </w:tabs>
        <w:kinsoku/>
        <w:wordWrap/>
        <w:topLinePunct w:val="0"/>
        <w:autoSpaceDE/>
        <w:autoSpaceDN/>
        <w:bidi w:val="0"/>
        <w:adjustRightInd/>
        <w:snapToGrid/>
        <w:spacing w:line="360" w:lineRule="auto"/>
        <w:ind w:firstLine="560" w:firstLineChars="200"/>
        <w:textAlignment w:val="auto"/>
        <w:rPr>
          <w:rFonts w:hint="default" w:ascii="宋体" w:hAnsi="宋体" w:eastAsia="宋体" w:cs="宋体"/>
          <w:bCs/>
          <w:sz w:val="28"/>
          <w:szCs w:val="28"/>
          <w:lang w:val="en-US" w:eastAsia="zh-CN"/>
        </w:rPr>
      </w:pPr>
      <w:r>
        <w:rPr>
          <w:rFonts w:hint="eastAsia" w:ascii="宋体" w:hAnsi="宋体" w:eastAsia="宋体" w:cs="宋体"/>
          <w:color w:val="auto"/>
          <w:kern w:val="2"/>
          <w:sz w:val="28"/>
          <w:szCs w:val="28"/>
          <w:lang w:val="en-US" w:eastAsia="zh-CN" w:bidi="ar-SA"/>
        </w:rPr>
        <w:t>项目预估总投资4616.66</w:t>
      </w:r>
      <w:r>
        <w:rPr>
          <w:rFonts w:hint="eastAsia" w:ascii="宋体" w:hAnsi="宋体" w:eastAsia="宋体"/>
          <w:kern w:val="2"/>
          <w:sz w:val="28"/>
          <w:szCs w:val="28"/>
        </w:rPr>
        <w:t>万</w:t>
      </w:r>
      <w:r>
        <w:rPr>
          <w:rFonts w:hint="eastAsia" w:ascii="宋体" w:hAnsi="宋体"/>
          <w:kern w:val="2"/>
          <w:sz w:val="28"/>
          <w:szCs w:val="28"/>
          <w:lang w:eastAsia="zh-CN"/>
        </w:rPr>
        <w:t>元，其中，工程费用 3569.46 万元，工程建设其他费 309.41 万元，装修费用</w:t>
      </w:r>
      <w:r>
        <w:rPr>
          <w:rFonts w:hint="eastAsia" w:ascii="宋体" w:hAnsi="宋体"/>
          <w:kern w:val="2"/>
          <w:sz w:val="28"/>
          <w:szCs w:val="28"/>
          <w:lang w:val="en-US" w:eastAsia="zh-CN"/>
        </w:rPr>
        <w:t>737.79万元</w:t>
      </w:r>
      <w:r>
        <w:rPr>
          <w:rFonts w:hint="eastAsia" w:ascii="宋体" w:hAnsi="宋体"/>
          <w:kern w:val="2"/>
          <w:sz w:val="28"/>
          <w:szCs w:val="28"/>
          <w:lang w:eastAsia="zh-CN"/>
        </w:rPr>
        <w:t>，本项目资金来源为建设单位自筹</w:t>
      </w:r>
      <w:r>
        <w:rPr>
          <w:rFonts w:hint="eastAsia" w:ascii="宋体" w:hAnsi="宋体" w:eastAsia="宋体"/>
          <w:kern w:val="2"/>
          <w:sz w:val="28"/>
          <w:szCs w:val="28"/>
        </w:rPr>
        <w:t>。2</w:t>
      </w:r>
      <w:r>
        <w:rPr>
          <w:rFonts w:ascii="宋体" w:hAnsi="宋体" w:eastAsia="宋体"/>
          <w:kern w:val="2"/>
          <w:sz w:val="28"/>
          <w:szCs w:val="28"/>
        </w:rPr>
        <w:t>02</w:t>
      </w:r>
      <w:r>
        <w:rPr>
          <w:rFonts w:hint="eastAsia" w:ascii="宋体" w:hAnsi="宋体"/>
          <w:kern w:val="2"/>
          <w:sz w:val="28"/>
          <w:szCs w:val="28"/>
          <w:lang w:val="en-US" w:eastAsia="zh-CN"/>
        </w:rPr>
        <w:t>3</w:t>
      </w:r>
      <w:r>
        <w:rPr>
          <w:rFonts w:hint="eastAsia" w:ascii="宋体" w:hAnsi="宋体" w:eastAsia="宋体"/>
          <w:kern w:val="2"/>
          <w:sz w:val="28"/>
          <w:szCs w:val="28"/>
        </w:rPr>
        <w:t>年度</w:t>
      </w:r>
      <w:r>
        <w:rPr>
          <w:rFonts w:hint="eastAsia" w:ascii="宋体" w:hAnsi="宋体"/>
          <w:kern w:val="2"/>
          <w:sz w:val="28"/>
          <w:szCs w:val="28"/>
          <w:lang w:eastAsia="zh-CN"/>
        </w:rPr>
        <w:t>国投公司</w:t>
      </w:r>
      <w:r>
        <w:rPr>
          <w:rFonts w:hint="eastAsia" w:ascii="宋体" w:hAnsi="宋体" w:eastAsia="宋体"/>
          <w:kern w:val="2"/>
          <w:sz w:val="28"/>
          <w:szCs w:val="28"/>
        </w:rPr>
        <w:t>申报的国有资本金注入专项资金项目</w:t>
      </w:r>
      <w:r>
        <w:rPr>
          <w:rFonts w:hint="eastAsia" w:ascii="宋体" w:hAnsi="宋体" w:eastAsia="宋体"/>
          <w:kern w:val="2"/>
          <w:sz w:val="28"/>
          <w:szCs w:val="28"/>
          <w:lang w:val="zh-CN"/>
        </w:rPr>
        <w:t>开展内容为：</w:t>
      </w:r>
      <w:r>
        <w:rPr>
          <w:rFonts w:hint="eastAsia" w:ascii="宋体" w:hAnsi="宋体" w:eastAsia="宋体" w:cs="Times New Roman"/>
          <w:kern w:val="2"/>
          <w:sz w:val="28"/>
          <w:szCs w:val="28"/>
          <w:lang w:val="zh-CN" w:eastAsia="zh-CN"/>
        </w:rPr>
        <w:t>五华区综合治理中心建设项目，</w:t>
      </w:r>
      <w:r>
        <w:rPr>
          <w:rFonts w:hint="eastAsia" w:ascii="宋体" w:hAnsi="宋体" w:eastAsia="宋体" w:cs="Times New Roman"/>
          <w:kern w:val="2"/>
          <w:sz w:val="28"/>
          <w:szCs w:val="28"/>
          <w:lang w:val="en-US" w:eastAsia="zh-CN"/>
        </w:rPr>
        <w:t>国投公司年初申报项目预算金867万元，12月实际到位金额300万元，综治中心2023年总支出202万元。</w:t>
      </w:r>
    </w:p>
    <w:p>
      <w:pPr>
        <w:numPr>
          <w:ilvl w:val="0"/>
          <w:numId w:val="0"/>
        </w:numPr>
        <w:spacing w:line="440" w:lineRule="exact"/>
        <w:jc w:val="left"/>
        <w:rPr>
          <w:rFonts w:hint="default" w:ascii="仿宋_GB2312" w:hAnsi="黑体" w:eastAsia="仿宋_GB2312"/>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560" w:firstLineChars="200"/>
        <w:jc w:val="left"/>
        <w:textAlignment w:val="auto"/>
        <w:outlineLvl w:val="0"/>
        <w:rPr>
          <w:rFonts w:hint="eastAsia" w:ascii="宋体" w:hAnsi="宋体" w:eastAsia="宋体" w:cs="宋体"/>
          <w:sz w:val="28"/>
          <w:szCs w:val="28"/>
        </w:rPr>
      </w:pPr>
      <w:bookmarkStart w:id="10" w:name="_Toc20981"/>
      <w:bookmarkStart w:id="11" w:name="_Toc19065"/>
      <w:bookmarkStart w:id="12" w:name="_Toc9786"/>
      <w:bookmarkStart w:id="13" w:name="_Toc22293"/>
      <w:bookmarkStart w:id="14" w:name="_Toc25023"/>
      <w:r>
        <w:rPr>
          <w:rFonts w:hint="eastAsia" w:ascii="宋体" w:hAnsi="宋体" w:eastAsia="宋体" w:cs="宋体"/>
          <w:sz w:val="28"/>
          <w:szCs w:val="28"/>
        </w:rPr>
        <w:t>评价结论</w:t>
      </w:r>
      <w:bookmarkEnd w:id="10"/>
      <w:bookmarkEnd w:id="11"/>
      <w:bookmarkEnd w:id="12"/>
      <w:bookmarkEnd w:id="13"/>
      <w:bookmarkEnd w:id="14"/>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宋体" w:hAnsi="宋体" w:cs="宋体"/>
          <w:sz w:val="28"/>
          <w:szCs w:val="28"/>
          <w:lang w:val="en-US" w:eastAsia="zh-CN"/>
        </w:rPr>
      </w:pPr>
      <w:r>
        <w:rPr>
          <w:rFonts w:hint="eastAsia" w:ascii="黑体" w:hAnsi="黑体" w:eastAsia="黑体"/>
          <w:szCs w:val="32"/>
          <w:lang w:val="en-US" w:eastAsia="zh-CN"/>
        </w:rPr>
        <w:t xml:space="preserve">  </w:t>
      </w:r>
      <w:r>
        <w:rPr>
          <w:rFonts w:hint="eastAsia" w:ascii="宋体" w:hAnsi="宋体" w:eastAsia="宋体" w:cs="宋体"/>
          <w:sz w:val="28"/>
          <w:szCs w:val="28"/>
        </w:rPr>
        <w:t>五华国投公司国有资本金注入专项资金项目绩效评价得分</w:t>
      </w:r>
      <w:r>
        <w:rPr>
          <w:rFonts w:hint="eastAsia" w:ascii="宋体" w:hAnsi="宋体" w:cs="宋体"/>
          <w:sz w:val="28"/>
          <w:szCs w:val="28"/>
          <w:lang w:val="en-US" w:eastAsia="zh-CN"/>
        </w:rPr>
        <w:t>92.7</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cs="宋体"/>
          <w:sz w:val="28"/>
          <w:szCs w:val="28"/>
        </w:rPr>
      </w:pPr>
      <w:r>
        <w:rPr>
          <w:rFonts w:hint="eastAsia" w:ascii="宋体" w:hAnsi="宋体" w:eastAsia="宋体" w:cs="宋体"/>
          <w:sz w:val="28"/>
          <w:szCs w:val="28"/>
        </w:rPr>
        <w:t>分，评价等级为“</w:t>
      </w:r>
      <w:r>
        <w:rPr>
          <w:rFonts w:hint="eastAsia" w:ascii="宋体" w:hAnsi="宋体" w:eastAsia="宋体" w:cs="宋体"/>
          <w:sz w:val="28"/>
          <w:szCs w:val="28"/>
          <w:lang w:eastAsia="zh-CN"/>
        </w:rPr>
        <w:t>优</w:t>
      </w:r>
      <w:r>
        <w:rPr>
          <w:rFonts w:hint="eastAsia" w:ascii="宋体" w:hAnsi="宋体" w:eastAsia="宋体" w:cs="宋体"/>
          <w:sz w:val="28"/>
          <w:szCs w:val="28"/>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firstLine="420" w:firstLineChars="200"/>
        <w:jc w:val="left"/>
        <w:textAlignment w:val="auto"/>
        <w:rPr>
          <w:rFonts w:hint="default" w:ascii="黑体" w:hAnsi="黑体" w:eastAsia="黑体"/>
          <w:szCs w:val="32"/>
          <w:lang w:val="en-US" w:eastAsia="zh-CN"/>
        </w:rPr>
      </w:pP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560" w:firstLineChars="200"/>
        <w:jc w:val="left"/>
        <w:textAlignment w:val="auto"/>
        <w:outlineLvl w:val="0"/>
        <w:rPr>
          <w:rFonts w:hint="eastAsia" w:ascii="宋体" w:hAnsi="宋体" w:eastAsia="宋体" w:cs="宋体"/>
          <w:sz w:val="28"/>
          <w:szCs w:val="28"/>
        </w:rPr>
      </w:pPr>
      <w:bookmarkStart w:id="15" w:name="_Toc31143"/>
      <w:bookmarkStart w:id="16" w:name="_Toc18937"/>
      <w:bookmarkStart w:id="17" w:name="_Toc31522"/>
      <w:bookmarkStart w:id="18" w:name="_Toc12970"/>
      <w:bookmarkStart w:id="19" w:name="_Toc4685"/>
      <w:r>
        <w:rPr>
          <w:rFonts w:hint="eastAsia" w:ascii="宋体" w:hAnsi="宋体" w:eastAsia="宋体" w:cs="宋体"/>
          <w:sz w:val="28"/>
          <w:szCs w:val="28"/>
        </w:rPr>
        <w:t>经验、问题和建议</w:t>
      </w:r>
      <w:bookmarkEnd w:id="15"/>
      <w:bookmarkEnd w:id="16"/>
      <w:bookmarkEnd w:id="17"/>
      <w:bookmarkEnd w:id="18"/>
      <w:bookmarkEnd w:id="19"/>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国投公司年初预算867万元，12月实际到位金额300万元。综治中心2023年总支出</w:t>
      </w:r>
      <w:r>
        <w:rPr>
          <w:rFonts w:hint="eastAsia" w:ascii="宋体" w:hAnsi="宋体" w:cs="宋体"/>
          <w:sz w:val="28"/>
          <w:szCs w:val="28"/>
          <w:lang w:val="en-US" w:eastAsia="zh-CN"/>
        </w:rPr>
        <w:t>202</w:t>
      </w:r>
      <w:r>
        <w:rPr>
          <w:rFonts w:hint="eastAsia" w:ascii="宋体" w:hAnsi="宋体" w:eastAsia="宋体" w:cs="宋体"/>
          <w:sz w:val="28"/>
          <w:szCs w:val="28"/>
          <w:lang w:val="en-US" w:eastAsia="zh-CN"/>
        </w:rPr>
        <w:t>万元，执行率6</w:t>
      </w:r>
      <w:r>
        <w:rPr>
          <w:rFonts w:hint="eastAsia" w:ascii="宋体" w:hAnsi="宋体" w:cs="宋体"/>
          <w:sz w:val="28"/>
          <w:szCs w:val="28"/>
          <w:lang w:val="en-US" w:eastAsia="zh-CN"/>
        </w:rPr>
        <w:t>7</w:t>
      </w:r>
      <w:r>
        <w:rPr>
          <w:rFonts w:hint="eastAsia" w:ascii="宋体" w:hAnsi="宋体" w:eastAsia="宋体" w:cs="宋体"/>
          <w:sz w:val="28"/>
          <w:szCs w:val="28"/>
          <w:lang w:val="en-US" w:eastAsia="zh-CN"/>
        </w:rPr>
        <w:t>%。综治中心建设项目现已完工，但仍处于竣工结算的阶段。本项目约定在竣工验收合格后，用项目所处在楼宇租金的收入支付设计费，且在合同签订后三年内支付至合同暂定设计费的80%，因为2023年未收到政府大楼房屋租金，所以综治中心项目仅支付一小部分款项。</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由于昆明市国有公司的负面信息爆出，直接导致多家金融机构暂停昆明市国有公司融资业务，还有很多金融机构持观望态度，受本次负面信息的影响，五华国投公司自身还本付息资金无法筹集到位，将产生严重的债务违约风险。为保证我公司的债务链接能正常进行、维持企业征信和企业信用评级，故我公司无法按时向财政局上缴2023年的国有资本收益。</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国投公司</w:t>
      </w:r>
      <w:r>
        <w:rPr>
          <w:rFonts w:hint="default" w:ascii="宋体" w:hAnsi="宋体" w:eastAsia="宋体" w:cs="宋体"/>
          <w:sz w:val="28"/>
          <w:szCs w:val="28"/>
          <w:lang w:val="en-US" w:eastAsia="zh-CN"/>
        </w:rPr>
        <w:t>对绩效管理过程要与年度预算紧密结合并实时跟踪的重要性认识不够，绩效评价未针对自身情况提出合理的问题及建议，在执行年度预算的过程中应积极跟踪项目实施进度。</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在今后的工作中公司将</w:t>
      </w:r>
      <w:r>
        <w:rPr>
          <w:rFonts w:hint="default" w:ascii="宋体" w:hAnsi="宋体" w:eastAsia="宋体" w:cs="宋体"/>
          <w:sz w:val="28"/>
          <w:szCs w:val="28"/>
          <w:lang w:val="en-US" w:eastAsia="zh-CN"/>
        </w:rPr>
        <w:t>针对自身情况对实施项目提出合理的问题及建议，逐步提高绩效管理认识。积极参加预算绩效管理培训并结合实际情况</w:t>
      </w:r>
      <w:r>
        <w:rPr>
          <w:rFonts w:hint="eastAsia" w:ascii="宋体" w:hAnsi="宋体" w:eastAsia="宋体" w:cs="宋体"/>
          <w:sz w:val="28"/>
          <w:szCs w:val="28"/>
          <w:lang w:val="en-US" w:eastAsia="zh-CN"/>
        </w:rPr>
        <w:t>，</w:t>
      </w:r>
      <w:r>
        <w:rPr>
          <w:rFonts w:hint="default" w:ascii="宋体" w:hAnsi="宋体" w:eastAsia="宋体" w:cs="宋体"/>
          <w:sz w:val="28"/>
          <w:szCs w:val="28"/>
          <w:lang w:val="en-US" w:eastAsia="zh-CN"/>
        </w:rPr>
        <w:t>科学、有依据的做出下一年的项目资金预算，编制更为合理的预算，优化项目资金预算。在总结过去一年的工作经验基础上，为进一步做好今年的绩效跟踪管理工作，将持续高度重视预算绩效运行跟踪监控工作，认真履行财政资金使用绩效管理的主体责任，完善内部监控机制，重视预算绩效全过程管理的实施与监管，强化预算项目的绩效闭环管理。</w:t>
      </w:r>
    </w:p>
    <w:p>
      <w:pPr>
        <w:pStyle w:val="9"/>
        <w:spacing w:before="183" w:line="379" w:lineRule="auto"/>
        <w:ind w:right="114" w:firstLine="480"/>
        <w:rPr>
          <w:rFonts w:hint="eastAsia" w:ascii="宋体" w:hAnsi="宋体" w:eastAsia="宋体" w:cs="宋体"/>
          <w:kern w:val="2"/>
          <w:sz w:val="28"/>
          <w:szCs w:val="28"/>
          <w:lang w:val="en-US" w:eastAsia="zh-CN" w:bidi="ar-SA"/>
        </w:rPr>
      </w:pPr>
    </w:p>
    <w:p>
      <w:pPr>
        <w:ind w:firstLine="560" w:firstLineChars="200"/>
        <w:outlineLvl w:val="0"/>
        <w:rPr>
          <w:rFonts w:ascii="宋体" w:hAnsi="宋体" w:eastAsia="宋体" w:cs="宋体"/>
          <w:bCs/>
          <w:sz w:val="28"/>
          <w:szCs w:val="28"/>
        </w:rPr>
      </w:pPr>
      <w:bookmarkStart w:id="20" w:name="_Toc18815"/>
      <w:bookmarkStart w:id="21" w:name="_Toc19619"/>
      <w:bookmarkStart w:id="22" w:name="_Toc5840"/>
      <w:bookmarkStart w:id="23" w:name="_Toc23835"/>
      <w:bookmarkStart w:id="24" w:name="_Toc6165"/>
      <w:r>
        <w:rPr>
          <w:rFonts w:hint="eastAsia" w:ascii="宋体" w:hAnsi="宋体" w:eastAsia="宋体" w:cs="宋体"/>
          <w:bCs/>
          <w:sz w:val="28"/>
          <w:szCs w:val="28"/>
        </w:rPr>
        <w:t>四、存在问题及原因分析</w:t>
      </w:r>
      <w:bookmarkEnd w:id="20"/>
      <w:bookmarkEnd w:id="21"/>
      <w:bookmarkEnd w:id="22"/>
      <w:bookmarkEnd w:id="23"/>
      <w:bookmarkEnd w:id="24"/>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1.管理经验不足。</w:t>
      </w:r>
      <w:r>
        <w:rPr>
          <w:rFonts w:hint="eastAsia" w:ascii="宋体" w:hAnsi="宋体" w:cs="宋体"/>
          <w:sz w:val="28"/>
          <w:szCs w:val="28"/>
          <w:lang w:eastAsia="zh-CN"/>
        </w:rPr>
        <w:t>在</w:t>
      </w:r>
      <w:r>
        <w:rPr>
          <w:rFonts w:hint="eastAsia" w:ascii="宋体" w:hAnsi="宋体" w:eastAsia="宋体" w:cs="宋体"/>
          <w:sz w:val="28"/>
          <w:szCs w:val="28"/>
        </w:rPr>
        <w:t>实施预算绩效管理工作</w:t>
      </w:r>
      <w:r>
        <w:rPr>
          <w:rFonts w:hint="eastAsia" w:ascii="宋体" w:hAnsi="宋体" w:cs="宋体"/>
          <w:sz w:val="28"/>
          <w:szCs w:val="28"/>
          <w:lang w:eastAsia="zh-CN"/>
        </w:rPr>
        <w:t>中</w:t>
      </w:r>
      <w:r>
        <w:rPr>
          <w:rFonts w:hint="eastAsia" w:ascii="宋体" w:hAnsi="宋体" w:eastAsia="宋体" w:cs="宋体"/>
          <w:sz w:val="28"/>
          <w:szCs w:val="28"/>
        </w:rPr>
        <w:t>，还存在对绩效管理文件精神学习不够深入、内涵把握不够准确的问题。</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2.预算绩效指标编制不够准确。从实际项目执行来看，年初预算绩效指标体系设定较为宽泛，不能准确评价项目的开展情况，需要加强文件学习，科学制定绩效指标。</w:t>
      </w:r>
    </w:p>
    <w:p>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left"/>
        <w:textAlignment w:val="auto"/>
        <w:rPr>
          <w:rFonts w:hint="eastAsia" w:ascii="宋体" w:hAnsi="宋体" w:eastAsia="宋体" w:cs="宋体"/>
          <w:sz w:val="28"/>
          <w:szCs w:val="28"/>
        </w:rPr>
      </w:pPr>
      <w:r>
        <w:rPr>
          <w:rFonts w:hint="eastAsia" w:ascii="宋体" w:hAnsi="宋体" w:eastAsia="宋体" w:cs="宋体"/>
          <w:sz w:val="28"/>
          <w:szCs w:val="28"/>
        </w:rPr>
        <w:t>3.加强监督管理，将工期进行合理安排，严格按各分部工程工期要求，逐阶段检查兑现，有效控制进度目标，保证工程顺利推进，确保工程进度按计划完成。</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8"/>
          <w:szCs w:val="28"/>
        </w:rPr>
      </w:pPr>
    </w:p>
    <w:p>
      <w:pPr>
        <w:pStyle w:val="4"/>
        <w:bidi w:val="0"/>
        <w:jc w:val="center"/>
      </w:pPr>
      <w:bookmarkStart w:id="25" w:name="_Toc22364"/>
      <w:bookmarkStart w:id="26" w:name="_Toc19601"/>
      <w:bookmarkStart w:id="27" w:name="_Toc5191"/>
      <w:bookmarkStart w:id="28" w:name="_Toc22826"/>
      <w:bookmarkStart w:id="29" w:name="_Toc4179"/>
      <w:r>
        <w:rPr>
          <w:rFonts w:hint="eastAsia"/>
          <w:lang w:eastAsia="zh-CN"/>
        </w:rPr>
        <w:t>五华区综合治理中心</w:t>
      </w:r>
      <w:r>
        <w:rPr>
          <w:rFonts w:hint="eastAsia"/>
        </w:rPr>
        <w:t>项目支出绩效自评报告</w:t>
      </w:r>
      <w:bookmarkEnd w:id="25"/>
      <w:bookmarkEnd w:id="26"/>
      <w:bookmarkEnd w:id="27"/>
      <w:bookmarkEnd w:id="28"/>
      <w:bookmarkEnd w:id="29"/>
    </w:p>
    <w:p>
      <w:pPr>
        <w:spacing w:line="440" w:lineRule="exact"/>
        <w:rPr>
          <w:rFonts w:eastAsia="黑体"/>
        </w:rPr>
      </w:pPr>
    </w:p>
    <w:p>
      <w:pPr>
        <w:pStyle w:val="5"/>
        <w:bidi w:val="0"/>
        <w:outlineLvl w:val="0"/>
      </w:pPr>
      <w:bookmarkStart w:id="30" w:name="_Toc27786"/>
      <w:bookmarkStart w:id="31" w:name="_Toc16281"/>
      <w:bookmarkStart w:id="32" w:name="_Toc536428355"/>
      <w:bookmarkStart w:id="33" w:name="_Toc27620"/>
      <w:bookmarkStart w:id="34" w:name="_Toc21793"/>
      <w:bookmarkStart w:id="35" w:name="_Toc32521"/>
      <w:bookmarkStart w:id="36" w:name="_Toc21172"/>
      <w:bookmarkStart w:id="37" w:name="_Toc2889"/>
      <w:bookmarkStart w:id="38" w:name="_Toc6669"/>
      <w:bookmarkStart w:id="39" w:name="_Toc23301"/>
      <w:r>
        <w:rPr>
          <w:rFonts w:hint="eastAsia"/>
        </w:rPr>
        <w:t>一、</w:t>
      </w:r>
      <w:r>
        <w:rPr>
          <w:rFonts w:hint="eastAsia"/>
          <w:lang w:eastAsia="zh-CN"/>
        </w:rPr>
        <w:t>项目</w:t>
      </w:r>
      <w:r>
        <w:rPr>
          <w:rFonts w:hint="eastAsia"/>
        </w:rPr>
        <w:t>基本情况</w:t>
      </w:r>
      <w:bookmarkEnd w:id="30"/>
      <w:bookmarkEnd w:id="31"/>
      <w:bookmarkEnd w:id="32"/>
      <w:bookmarkEnd w:id="33"/>
      <w:bookmarkEnd w:id="34"/>
      <w:bookmarkEnd w:id="35"/>
      <w:bookmarkEnd w:id="36"/>
      <w:bookmarkEnd w:id="37"/>
      <w:bookmarkEnd w:id="38"/>
      <w:bookmarkEnd w:id="39"/>
    </w:p>
    <w:p>
      <w:pPr>
        <w:pStyle w:val="6"/>
        <w:bidi w:val="0"/>
        <w:outlineLvl w:val="1"/>
        <w:rPr>
          <w:rFonts w:hint="eastAsia"/>
        </w:rPr>
      </w:pPr>
      <w:bookmarkStart w:id="40" w:name="_Toc536428356"/>
      <w:bookmarkStart w:id="41" w:name="_Toc17926"/>
      <w:bookmarkStart w:id="42" w:name="_Toc20759"/>
      <w:bookmarkStart w:id="43" w:name="_Toc10953"/>
      <w:bookmarkStart w:id="44" w:name="_Toc20812"/>
      <w:bookmarkStart w:id="45" w:name="_Toc30690"/>
      <w:bookmarkStart w:id="46" w:name="_Toc5494"/>
      <w:bookmarkStart w:id="47" w:name="_Toc30019"/>
      <w:bookmarkStart w:id="48" w:name="_Toc676"/>
      <w:bookmarkStart w:id="49" w:name="_Toc12312"/>
      <w:r>
        <w:rPr>
          <w:rFonts w:hint="eastAsia"/>
        </w:rPr>
        <w:t>（一）项目概况</w:t>
      </w:r>
      <w:bookmarkEnd w:id="40"/>
      <w:bookmarkEnd w:id="41"/>
      <w:bookmarkEnd w:id="42"/>
      <w:bookmarkEnd w:id="43"/>
      <w:bookmarkEnd w:id="44"/>
      <w:bookmarkEnd w:id="45"/>
      <w:bookmarkEnd w:id="46"/>
      <w:bookmarkEnd w:id="47"/>
      <w:bookmarkEnd w:id="48"/>
      <w:bookmarkEnd w:id="49"/>
    </w:p>
    <w:p>
      <w:pPr>
        <w:ind w:firstLine="560" w:firstLineChars="200"/>
        <w:outlineLvl w:val="1"/>
        <w:rPr>
          <w:rFonts w:hint="default"/>
          <w:b w:val="0"/>
          <w:bCs w:val="0"/>
          <w:lang w:val="en-US" w:eastAsia="zh-CN"/>
        </w:rPr>
      </w:pPr>
      <w:bookmarkStart w:id="50" w:name="_Toc21158"/>
      <w:bookmarkStart w:id="51" w:name="_Toc22756"/>
      <w:bookmarkStart w:id="52" w:name="_Toc12998"/>
      <w:bookmarkStart w:id="53" w:name="_Toc10189"/>
      <w:bookmarkStart w:id="54" w:name="_Toc25366"/>
      <w:r>
        <w:rPr>
          <w:rFonts w:hint="eastAsia" w:ascii="宋体" w:hAnsi="宋体" w:eastAsia="宋体" w:cs="宋体"/>
          <w:b w:val="0"/>
          <w:bCs w:val="0"/>
          <w:sz w:val="28"/>
          <w:szCs w:val="28"/>
          <w:lang w:val="en-US" w:eastAsia="zh-CN"/>
        </w:rPr>
        <w:t>1.项目立项背景及目的</w:t>
      </w:r>
      <w:bookmarkEnd w:id="50"/>
      <w:bookmarkEnd w:id="51"/>
      <w:bookmarkEnd w:id="52"/>
      <w:bookmarkEnd w:id="53"/>
      <w:bookmarkEnd w:id="54"/>
    </w:p>
    <w:p>
      <w:pPr>
        <w:keepNext w:val="0"/>
        <w:keepLines w:val="0"/>
        <w:pageBreakBefore w:val="0"/>
        <w:widowControl w:val="0"/>
        <w:tabs>
          <w:tab w:val="left" w:pos="5280"/>
        </w:tabs>
        <w:kinsoku/>
        <w:wordWrap/>
        <w:topLinePunct w:val="0"/>
        <w:autoSpaceDE/>
        <w:autoSpaceDN/>
        <w:bidi w:val="0"/>
        <w:adjustRightInd/>
        <w:snapToGrid/>
        <w:spacing w:line="360" w:lineRule="auto"/>
        <w:ind w:firstLine="560" w:firstLineChars="200"/>
        <w:textAlignment w:val="auto"/>
        <w:rPr>
          <w:rFonts w:hint="eastAsia" w:ascii="宋体" w:hAnsi="宋体" w:eastAsia="宋体" w:cs="宋体"/>
          <w:kern w:val="2"/>
          <w:sz w:val="28"/>
          <w:szCs w:val="28"/>
        </w:rPr>
      </w:pPr>
      <w:r>
        <w:rPr>
          <w:rFonts w:hint="eastAsia" w:ascii="宋体" w:hAnsi="宋体" w:eastAsia="宋体" w:cs="宋体"/>
          <w:kern w:val="2"/>
          <w:sz w:val="28"/>
          <w:szCs w:val="28"/>
        </w:rPr>
        <w:t>昆明市五华区国有资产投资经营管理有限公司（以下简称“五华区国投公司”）是于 2004年 4 月 21 日成立的，根据昆明市人民政府《关于对成立昆明市五华区国有资产投资经营管理有限公司有关问题的批复》（昆政复〔2004〕12号），依照《中华人民共和国公司法》等有关规定和报批程序成立，公司性质为有限责任公司（国有独资），出资人为昆明市五华区人民政府。</w:t>
      </w:r>
    </w:p>
    <w:p>
      <w:pPr>
        <w:keepNext w:val="0"/>
        <w:keepLines w:val="0"/>
        <w:pageBreakBefore w:val="0"/>
        <w:widowControl w:val="0"/>
        <w:tabs>
          <w:tab w:val="left" w:pos="5280"/>
        </w:tabs>
        <w:kinsoku/>
        <w:wordWrap/>
        <w:topLinePunct w:val="0"/>
        <w:autoSpaceDE/>
        <w:autoSpaceDN/>
        <w:bidi w:val="0"/>
        <w:adjustRightInd/>
        <w:snapToGrid/>
        <w:spacing w:line="360" w:lineRule="auto"/>
        <w:ind w:firstLine="560" w:firstLineChars="200"/>
        <w:textAlignment w:val="auto"/>
        <w:rPr>
          <w:rFonts w:hint="eastAsia" w:ascii="宋体" w:hAnsi="宋体" w:eastAsia="宋体" w:cs="Times New Roman"/>
          <w:kern w:val="2"/>
          <w:sz w:val="28"/>
          <w:szCs w:val="28"/>
          <w:lang w:val="zh-CN"/>
        </w:rPr>
      </w:pPr>
      <w:bookmarkStart w:id="55" w:name="_Toc32363"/>
      <w:bookmarkStart w:id="56" w:name="_Toc10963"/>
      <w:bookmarkStart w:id="57" w:name="_Toc2915"/>
      <w:bookmarkStart w:id="58" w:name="_Toc24350"/>
      <w:bookmarkStart w:id="59" w:name="_Toc32711"/>
      <w:bookmarkStart w:id="60" w:name="_Toc29600"/>
      <w:bookmarkStart w:id="61" w:name="_Toc2539"/>
      <w:bookmarkStart w:id="62" w:name="_Toc3736"/>
      <w:bookmarkStart w:id="63" w:name="_Toc14709"/>
      <w:bookmarkStart w:id="64" w:name="_Toc536428357"/>
      <w:r>
        <w:rPr>
          <w:rFonts w:hint="eastAsia" w:ascii="宋体" w:hAnsi="宋体"/>
          <w:kern w:val="2"/>
          <w:sz w:val="28"/>
          <w:szCs w:val="28"/>
          <w:lang w:val="zh-CN"/>
        </w:rPr>
        <w:t>以习近平新时代中国特色社会主义思想为指导，深入学习贯彻党的十九大和十九届二中、三中、四中、五中全会精神，中央政法工作会议精神以及习近平总书记考察云南重要讲话精神，深入贯彻党中央和省、市关于市域社会治理现代化、社会治安综合治理中心标准化建设工作的新部署新要求，按照《中国共产党政法工作条例》及《社会治安综合治理综治中心建设与管理规范》（GB/T33200-2016）关于综治中心的功能定位，将综治中心作为整合社会治理资源、创新社会治理方式的重要工作平台，进一步完善党委领导、政府负责、民主协商、社会协同、公众参与、法治保障、科技支撑的社会治理体系，努力建设人人有责、人人尽责、人人享有的社会治理共同体，形成具有新时代昆</w:t>
      </w:r>
      <w:r>
        <w:rPr>
          <w:rFonts w:hint="eastAsia" w:ascii="宋体" w:hAnsi="宋体" w:eastAsia="宋体" w:cs="Times New Roman"/>
          <w:kern w:val="2"/>
          <w:sz w:val="28"/>
          <w:szCs w:val="28"/>
          <w:lang w:val="zh-CN"/>
        </w:rPr>
        <w:t>明特色的社会治理新格局。</w:t>
      </w:r>
    </w:p>
    <w:p>
      <w:pPr>
        <w:keepNext w:val="0"/>
        <w:keepLines w:val="0"/>
        <w:pageBreakBefore w:val="0"/>
        <w:widowControl w:val="0"/>
        <w:tabs>
          <w:tab w:val="left" w:pos="5280"/>
        </w:tabs>
        <w:kinsoku/>
        <w:wordWrap/>
        <w:topLinePunct w:val="0"/>
        <w:autoSpaceDE/>
        <w:autoSpaceDN/>
        <w:bidi w:val="0"/>
        <w:adjustRightInd/>
        <w:snapToGrid/>
        <w:spacing w:line="360" w:lineRule="auto"/>
        <w:ind w:firstLine="560" w:firstLineChars="200"/>
        <w:textAlignment w:val="auto"/>
        <w:rPr>
          <w:rFonts w:hint="eastAsia" w:ascii="宋体" w:hAnsi="宋体" w:eastAsia="宋体" w:cs="Times New Roman"/>
          <w:kern w:val="2"/>
          <w:sz w:val="28"/>
          <w:szCs w:val="28"/>
          <w:lang w:val="zh-CN"/>
        </w:rPr>
      </w:pPr>
      <w:r>
        <w:rPr>
          <w:rFonts w:hint="eastAsia" w:ascii="宋体" w:hAnsi="宋体" w:eastAsia="宋体" w:cs="Times New Roman"/>
          <w:kern w:val="2"/>
          <w:sz w:val="28"/>
          <w:szCs w:val="28"/>
          <w:lang w:val="zh-CN"/>
        </w:rPr>
        <w:t>昆明市围绕高标准推进市域社会治理现代化试点创建，推进各级综治中心规范化建设、实体化运行，以《关于加强昆明市社会治安综合治理中心规范化建设的指导意见（试行）》为指引，构建“横向到边、纵向到底”的社会治安综合治理架构，不断提高应对处置突发事件的实战化能力，并在区级试点“四中心”融合，全面提升社会治理效能。</w:t>
      </w:r>
    </w:p>
    <w:p>
      <w:pPr>
        <w:pStyle w:val="2"/>
        <w:rPr>
          <w:rFonts w:hint="eastAsia"/>
          <w:lang w:val="zh-CN"/>
        </w:rPr>
      </w:pPr>
    </w:p>
    <w:p>
      <w:pPr>
        <w:numPr>
          <w:ilvl w:val="0"/>
          <w:numId w:val="0"/>
        </w:numPr>
        <w:ind w:firstLine="560" w:firstLineChars="200"/>
        <w:outlineLvl w:val="1"/>
        <w:rPr>
          <w:rFonts w:hint="eastAsia" w:ascii="宋体" w:hAnsi="宋体" w:eastAsia="宋体" w:cs="宋体"/>
          <w:b w:val="0"/>
          <w:bCs w:val="0"/>
          <w:sz w:val="28"/>
          <w:szCs w:val="28"/>
        </w:rPr>
      </w:pPr>
      <w:r>
        <w:rPr>
          <w:rFonts w:hint="eastAsia" w:ascii="宋体" w:hAnsi="宋体" w:cs="宋体"/>
          <w:b w:val="0"/>
          <w:bCs w:val="0"/>
          <w:sz w:val="28"/>
          <w:szCs w:val="28"/>
          <w:lang w:val="en-US" w:eastAsia="zh-CN"/>
        </w:rPr>
        <w:t>2.</w:t>
      </w:r>
      <w:r>
        <w:rPr>
          <w:rFonts w:hint="eastAsia" w:ascii="宋体" w:hAnsi="宋体" w:cs="宋体"/>
          <w:b w:val="0"/>
          <w:bCs w:val="0"/>
          <w:sz w:val="28"/>
          <w:szCs w:val="28"/>
          <w:lang w:eastAsia="zh-CN"/>
        </w:rPr>
        <w:t>项目</w:t>
      </w:r>
      <w:r>
        <w:rPr>
          <w:rFonts w:hint="eastAsia" w:ascii="宋体" w:hAnsi="宋体" w:eastAsia="宋体" w:cs="宋体"/>
          <w:b w:val="0"/>
          <w:bCs w:val="0"/>
          <w:sz w:val="28"/>
          <w:szCs w:val="28"/>
        </w:rPr>
        <w:t>目资金安排情况</w:t>
      </w:r>
      <w:bookmarkEnd w:id="55"/>
      <w:bookmarkEnd w:id="56"/>
      <w:bookmarkEnd w:id="57"/>
      <w:bookmarkEnd w:id="58"/>
      <w:bookmarkEnd w:id="59"/>
      <w:bookmarkEnd w:id="60"/>
      <w:bookmarkEnd w:id="61"/>
      <w:bookmarkEnd w:id="62"/>
      <w:bookmarkEnd w:id="63"/>
    </w:p>
    <w:p>
      <w:pPr>
        <w:pStyle w:val="2"/>
        <w:numPr>
          <w:ilvl w:val="0"/>
          <w:numId w:val="0"/>
        </w:numPr>
        <w:rPr>
          <w:rFonts w:hint="default" w:ascii="宋体" w:hAnsi="宋体" w:eastAsia="宋体" w:cs="宋体"/>
          <w:color w:val="auto"/>
          <w:kern w:val="2"/>
          <w:sz w:val="28"/>
          <w:szCs w:val="28"/>
          <w:lang w:val="en-US" w:eastAsia="zh-CN" w:bidi="ar-SA"/>
        </w:rPr>
      </w:pPr>
      <w:r>
        <w:rPr>
          <w:rFonts w:hint="eastAsia"/>
          <w:lang w:val="en-US" w:eastAsia="zh-CN"/>
        </w:rPr>
        <w:t xml:space="preserve">    </w:t>
      </w:r>
      <w:r>
        <w:rPr>
          <w:rFonts w:hint="eastAsia" w:ascii="宋体" w:hAnsi="宋体" w:eastAsia="宋体" w:cs="宋体"/>
          <w:color w:val="auto"/>
          <w:kern w:val="2"/>
          <w:sz w:val="28"/>
          <w:szCs w:val="28"/>
          <w:lang w:val="en-US" w:eastAsia="zh-CN" w:bidi="ar-SA"/>
        </w:rPr>
        <w:t>（1）项目资金来源</w:t>
      </w:r>
    </w:p>
    <w:p>
      <w:pPr>
        <w:keepNext w:val="0"/>
        <w:keepLines w:val="0"/>
        <w:pageBreakBefore w:val="0"/>
        <w:widowControl w:val="0"/>
        <w:tabs>
          <w:tab w:val="left" w:pos="5280"/>
        </w:tabs>
        <w:kinsoku/>
        <w:wordWrap/>
        <w:topLinePunct w:val="0"/>
        <w:autoSpaceDE/>
        <w:autoSpaceDN/>
        <w:bidi w:val="0"/>
        <w:adjustRightInd/>
        <w:snapToGrid/>
        <w:spacing w:line="360" w:lineRule="auto"/>
        <w:ind w:firstLine="560" w:firstLineChars="200"/>
        <w:textAlignment w:val="auto"/>
        <w:rPr>
          <w:rFonts w:hint="default" w:ascii="宋体" w:hAnsi="宋体" w:eastAsia="宋体" w:cs="宋体"/>
          <w:bCs/>
          <w:sz w:val="28"/>
          <w:szCs w:val="28"/>
          <w:lang w:val="en-US" w:eastAsia="zh-CN"/>
        </w:rPr>
      </w:pPr>
      <w:r>
        <w:rPr>
          <w:rFonts w:hint="eastAsia" w:ascii="宋体" w:hAnsi="宋体" w:eastAsia="宋体" w:cs="宋体"/>
          <w:color w:val="auto"/>
          <w:kern w:val="2"/>
          <w:sz w:val="28"/>
          <w:szCs w:val="28"/>
          <w:lang w:val="en-US" w:eastAsia="zh-CN" w:bidi="ar-SA"/>
        </w:rPr>
        <w:t>项目预估总投资4616.66</w:t>
      </w:r>
      <w:r>
        <w:rPr>
          <w:rFonts w:hint="eastAsia" w:ascii="宋体" w:hAnsi="宋体" w:eastAsia="宋体"/>
          <w:kern w:val="2"/>
          <w:sz w:val="28"/>
          <w:szCs w:val="28"/>
        </w:rPr>
        <w:t>万</w:t>
      </w:r>
      <w:r>
        <w:rPr>
          <w:rFonts w:hint="eastAsia" w:ascii="宋体" w:hAnsi="宋体"/>
          <w:kern w:val="2"/>
          <w:sz w:val="28"/>
          <w:szCs w:val="28"/>
          <w:lang w:eastAsia="zh-CN"/>
        </w:rPr>
        <w:t>元，其中，工程费用 3569.46 万元，工程建设其他费 309.41 万元，装修费用</w:t>
      </w:r>
      <w:r>
        <w:rPr>
          <w:rFonts w:hint="eastAsia" w:ascii="宋体" w:hAnsi="宋体"/>
          <w:kern w:val="2"/>
          <w:sz w:val="28"/>
          <w:szCs w:val="28"/>
          <w:lang w:val="en-US" w:eastAsia="zh-CN"/>
        </w:rPr>
        <w:t>737.79万元，</w:t>
      </w:r>
      <w:r>
        <w:rPr>
          <w:rFonts w:hint="eastAsia" w:ascii="宋体" w:hAnsi="宋体"/>
          <w:kern w:val="2"/>
          <w:sz w:val="28"/>
          <w:szCs w:val="28"/>
          <w:lang w:eastAsia="zh-CN"/>
        </w:rPr>
        <w:t>本项目资金来源为建设单位自筹</w:t>
      </w:r>
      <w:r>
        <w:rPr>
          <w:rFonts w:hint="eastAsia" w:ascii="宋体" w:hAnsi="宋体" w:eastAsia="宋体"/>
          <w:kern w:val="2"/>
          <w:sz w:val="28"/>
          <w:szCs w:val="28"/>
        </w:rPr>
        <w:t>。2</w:t>
      </w:r>
      <w:r>
        <w:rPr>
          <w:rFonts w:ascii="宋体" w:hAnsi="宋体" w:eastAsia="宋体"/>
          <w:kern w:val="2"/>
          <w:sz w:val="28"/>
          <w:szCs w:val="28"/>
        </w:rPr>
        <w:t>02</w:t>
      </w:r>
      <w:r>
        <w:rPr>
          <w:rFonts w:hint="eastAsia" w:ascii="宋体" w:hAnsi="宋体"/>
          <w:kern w:val="2"/>
          <w:sz w:val="28"/>
          <w:szCs w:val="28"/>
          <w:lang w:val="en-US" w:eastAsia="zh-CN"/>
        </w:rPr>
        <w:t>3</w:t>
      </w:r>
      <w:r>
        <w:rPr>
          <w:rFonts w:hint="eastAsia" w:ascii="宋体" w:hAnsi="宋体" w:eastAsia="宋体"/>
          <w:kern w:val="2"/>
          <w:sz w:val="28"/>
          <w:szCs w:val="28"/>
        </w:rPr>
        <w:t>年度</w:t>
      </w:r>
      <w:r>
        <w:rPr>
          <w:rFonts w:hint="eastAsia" w:ascii="宋体" w:hAnsi="宋体"/>
          <w:kern w:val="2"/>
          <w:sz w:val="28"/>
          <w:szCs w:val="28"/>
          <w:lang w:eastAsia="zh-CN"/>
        </w:rPr>
        <w:t>国投公司</w:t>
      </w:r>
      <w:r>
        <w:rPr>
          <w:rFonts w:hint="eastAsia" w:ascii="宋体" w:hAnsi="宋体" w:eastAsia="宋体"/>
          <w:kern w:val="2"/>
          <w:sz w:val="28"/>
          <w:szCs w:val="28"/>
        </w:rPr>
        <w:t>申报的国有资本金注入专项资金项目</w:t>
      </w:r>
      <w:r>
        <w:rPr>
          <w:rFonts w:hint="eastAsia" w:ascii="宋体" w:hAnsi="宋体" w:eastAsia="宋体"/>
          <w:kern w:val="2"/>
          <w:sz w:val="28"/>
          <w:szCs w:val="28"/>
          <w:lang w:val="zh-CN"/>
        </w:rPr>
        <w:t>开展内容为：</w:t>
      </w:r>
      <w:r>
        <w:rPr>
          <w:rFonts w:hint="eastAsia" w:ascii="宋体" w:hAnsi="宋体" w:eastAsia="宋体" w:cs="Times New Roman"/>
          <w:kern w:val="2"/>
          <w:sz w:val="28"/>
          <w:szCs w:val="28"/>
          <w:lang w:val="zh-CN" w:eastAsia="zh-CN"/>
        </w:rPr>
        <w:t>五华区综合治理中心建设项目。</w:t>
      </w:r>
    </w:p>
    <w:p>
      <w:pPr>
        <w:tabs>
          <w:tab w:val="left" w:pos="5280"/>
        </w:tabs>
        <w:ind w:firstLine="560" w:firstLineChars="200"/>
        <w:rPr>
          <w:rFonts w:ascii="宋体" w:hAnsi="宋体" w:eastAsia="宋体"/>
          <w:kern w:val="2"/>
          <w:sz w:val="28"/>
          <w:szCs w:val="28"/>
        </w:rPr>
      </w:pPr>
      <w:r>
        <w:rPr>
          <w:rFonts w:hint="eastAsia" w:ascii="宋体" w:hAnsi="宋体"/>
          <w:kern w:val="2"/>
          <w:sz w:val="28"/>
          <w:szCs w:val="28"/>
          <w:lang w:eastAsia="zh-CN"/>
        </w:rPr>
        <w:t>（</w:t>
      </w:r>
      <w:r>
        <w:rPr>
          <w:rFonts w:hint="eastAsia" w:ascii="宋体" w:hAnsi="宋体"/>
          <w:kern w:val="2"/>
          <w:sz w:val="28"/>
          <w:szCs w:val="28"/>
          <w:lang w:val="en-US" w:eastAsia="zh-CN"/>
        </w:rPr>
        <w:t>2</w:t>
      </w:r>
      <w:r>
        <w:rPr>
          <w:rFonts w:hint="eastAsia" w:ascii="宋体" w:hAnsi="宋体"/>
          <w:kern w:val="2"/>
          <w:sz w:val="28"/>
          <w:szCs w:val="28"/>
          <w:lang w:eastAsia="zh-CN"/>
        </w:rPr>
        <w:t>）</w:t>
      </w:r>
      <w:r>
        <w:rPr>
          <w:rFonts w:hint="eastAsia" w:ascii="宋体" w:hAnsi="宋体" w:eastAsia="宋体"/>
          <w:kern w:val="2"/>
          <w:sz w:val="28"/>
          <w:szCs w:val="28"/>
        </w:rPr>
        <w:t>项目资金使用情况</w:t>
      </w:r>
    </w:p>
    <w:p>
      <w:pPr>
        <w:tabs>
          <w:tab w:val="left" w:pos="5280"/>
        </w:tabs>
        <w:ind w:firstLine="560" w:firstLineChars="200"/>
        <w:rPr>
          <w:rFonts w:hint="eastAsia" w:ascii="宋体" w:hAnsi="宋体" w:eastAsia="宋体" w:cs="Times New Roman"/>
          <w:kern w:val="2"/>
          <w:sz w:val="28"/>
          <w:szCs w:val="28"/>
          <w:lang w:val="en-US" w:eastAsia="zh-CN"/>
        </w:rPr>
      </w:pPr>
      <w:r>
        <w:rPr>
          <w:rFonts w:hint="eastAsia" w:ascii="宋体" w:hAnsi="宋体" w:eastAsia="宋体" w:cs="Times New Roman"/>
          <w:kern w:val="2"/>
          <w:sz w:val="28"/>
          <w:szCs w:val="28"/>
          <w:lang w:val="en-US" w:eastAsia="zh-CN"/>
        </w:rPr>
        <w:t>国投公司年初申报项目预算金867万元，12月实际到位金额300万元，综治中心2023年总支出202万元。</w:t>
      </w:r>
    </w:p>
    <w:p>
      <w:pPr>
        <w:pStyle w:val="2"/>
        <w:rPr>
          <w:rFonts w:hint="eastAsia"/>
          <w:lang w:val="en-US" w:eastAsia="zh-CN"/>
        </w:rPr>
      </w:pPr>
    </w:p>
    <w:p>
      <w:pPr>
        <w:tabs>
          <w:tab w:val="left" w:pos="5280"/>
        </w:tabs>
        <w:ind w:firstLine="560" w:firstLineChars="200"/>
        <w:rPr>
          <w:rFonts w:hint="eastAsia" w:ascii="宋体" w:hAnsi="宋体" w:eastAsia="宋体"/>
          <w:kern w:val="2"/>
          <w:sz w:val="28"/>
          <w:szCs w:val="28"/>
        </w:rPr>
      </w:pPr>
      <w:r>
        <w:rPr>
          <w:rFonts w:hint="eastAsia" w:ascii="宋体" w:hAnsi="宋体" w:eastAsia="宋体"/>
          <w:kern w:val="2"/>
          <w:sz w:val="28"/>
          <w:szCs w:val="28"/>
        </w:rPr>
        <w:t>具体如下表所示：</w:t>
      </w:r>
    </w:p>
    <w:p>
      <w:pPr>
        <w:pStyle w:val="2"/>
        <w:rPr>
          <w:rFonts w:hint="eastAsia"/>
        </w:rPr>
      </w:pPr>
    </w:p>
    <w:p/>
    <w:p>
      <w:pPr>
        <w:tabs>
          <w:tab w:val="left" w:pos="5280"/>
        </w:tabs>
        <w:jc w:val="center"/>
        <w:rPr>
          <w:rFonts w:ascii="宋体" w:hAnsi="宋体" w:eastAsia="宋体"/>
          <w:b/>
          <w:bCs/>
          <w:kern w:val="2"/>
          <w:sz w:val="28"/>
          <w:szCs w:val="28"/>
        </w:rPr>
      </w:pPr>
      <w:r>
        <w:rPr>
          <w:rFonts w:hint="eastAsia" w:ascii="宋体" w:hAnsi="宋体" w:eastAsia="宋体"/>
          <w:b/>
          <w:bCs/>
          <w:kern w:val="2"/>
          <w:sz w:val="28"/>
          <w:szCs w:val="28"/>
        </w:rPr>
        <w:t xml:space="preserve"> 项目资金支出情况表</w:t>
      </w:r>
    </w:p>
    <w:p>
      <w:pPr>
        <w:tabs>
          <w:tab w:val="left" w:pos="5280"/>
        </w:tabs>
        <w:ind w:right="840"/>
        <w:jc w:val="right"/>
        <w:rPr>
          <w:rFonts w:hint="eastAsia" w:ascii="宋体" w:hAnsi="宋体" w:eastAsia="宋体"/>
          <w:b/>
          <w:bCs/>
          <w:kern w:val="2"/>
          <w:sz w:val="21"/>
        </w:rPr>
      </w:pPr>
      <w:r>
        <w:rPr>
          <w:rFonts w:hint="eastAsia" w:ascii="宋体" w:hAnsi="宋体" w:eastAsia="宋体"/>
          <w:b/>
          <w:bCs/>
          <w:kern w:val="2"/>
          <w:sz w:val="21"/>
        </w:rPr>
        <w:t>单位：元</w:t>
      </w:r>
    </w:p>
    <w:tbl>
      <w:tblPr>
        <w:tblStyle w:val="13"/>
        <w:tblpPr w:leftFromText="180" w:rightFromText="180" w:vertAnchor="text" w:horzAnchor="page" w:tblpX="3547" w:tblpY="85"/>
        <w:tblOverlap w:val="never"/>
        <w:tblW w:w="541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090"/>
        <w:gridCol w:w="2130"/>
        <w:gridCol w:w="21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0" w:hRule="atLeast"/>
        </w:trPr>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支出类别</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支出金额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设计费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272000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可行性研究费</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98000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融资利息</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67275.04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4</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主体工程</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1585004.1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 w:hRule="atLeast"/>
        </w:trPr>
        <w:tc>
          <w:tcPr>
            <w:tcW w:w="10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5</w:t>
            </w:r>
          </w:p>
        </w:tc>
        <w:tc>
          <w:tcPr>
            <w:tcW w:w="213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合计</w:t>
            </w:r>
          </w:p>
        </w:tc>
        <w:tc>
          <w:tcPr>
            <w:tcW w:w="2190" w:type="dxa"/>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2022279.14</w:t>
            </w:r>
          </w:p>
        </w:tc>
      </w:tr>
    </w:tbl>
    <w:p>
      <w:pPr>
        <w:tabs>
          <w:tab w:val="left" w:pos="5280"/>
        </w:tabs>
        <w:ind w:right="840"/>
        <w:jc w:val="right"/>
        <w:rPr>
          <w:rFonts w:hint="eastAsia" w:ascii="宋体" w:hAnsi="宋体" w:eastAsia="宋体"/>
          <w:b/>
          <w:bCs/>
          <w:kern w:val="2"/>
          <w:sz w:val="21"/>
        </w:rPr>
      </w:pPr>
    </w:p>
    <w:p>
      <w:pPr>
        <w:outlineLvl w:val="9"/>
        <w:rPr>
          <w:rFonts w:hint="eastAsia" w:ascii="宋体" w:hAnsi="宋体" w:eastAsia="宋体" w:cs="宋体"/>
          <w:b/>
          <w:bCs/>
          <w:sz w:val="28"/>
          <w:szCs w:val="28"/>
        </w:rPr>
      </w:pPr>
      <w:bookmarkStart w:id="65" w:name="_Toc19239"/>
      <w:bookmarkStart w:id="66" w:name="_Toc8011"/>
      <w:bookmarkStart w:id="67" w:name="_Toc23461"/>
      <w:bookmarkStart w:id="68" w:name="_Toc19379"/>
      <w:bookmarkStart w:id="69" w:name="_Toc536428358"/>
      <w:bookmarkStart w:id="70" w:name="_Toc536428359"/>
    </w:p>
    <w:p>
      <w:pPr>
        <w:outlineLvl w:val="9"/>
        <w:rPr>
          <w:rFonts w:hint="eastAsia" w:ascii="宋体" w:hAnsi="宋体" w:eastAsia="宋体" w:cs="宋体"/>
          <w:b/>
          <w:bCs/>
          <w:sz w:val="28"/>
          <w:szCs w:val="28"/>
        </w:rPr>
      </w:pPr>
    </w:p>
    <w:p>
      <w:pPr>
        <w:outlineLvl w:val="9"/>
        <w:rPr>
          <w:rFonts w:hint="eastAsia" w:ascii="宋体" w:hAnsi="宋体" w:eastAsia="宋体" w:cs="宋体"/>
          <w:b/>
          <w:bCs/>
          <w:sz w:val="28"/>
          <w:szCs w:val="28"/>
        </w:rPr>
      </w:pPr>
    </w:p>
    <w:p>
      <w:pPr>
        <w:outlineLvl w:val="9"/>
        <w:rPr>
          <w:rFonts w:hint="eastAsia" w:ascii="宋体" w:hAnsi="宋体" w:eastAsia="宋体" w:cs="宋体"/>
          <w:b w:val="0"/>
          <w:bCs w:val="0"/>
          <w:sz w:val="28"/>
          <w:szCs w:val="28"/>
        </w:rPr>
      </w:pPr>
    </w:p>
    <w:p>
      <w:pPr>
        <w:ind w:firstLine="560" w:firstLineChars="200"/>
        <w:outlineLvl w:val="1"/>
        <w:rPr>
          <w:rFonts w:ascii="宋体" w:hAnsi="宋体" w:eastAsia="宋体" w:cs="宋体"/>
          <w:b w:val="0"/>
          <w:bCs w:val="0"/>
          <w:sz w:val="28"/>
          <w:szCs w:val="28"/>
        </w:rPr>
      </w:pPr>
      <w:bookmarkStart w:id="71" w:name="_Toc27024"/>
      <w:bookmarkStart w:id="72" w:name="_Toc27137"/>
      <w:bookmarkStart w:id="73" w:name="_Toc26435"/>
      <w:bookmarkStart w:id="74" w:name="_Toc28338"/>
      <w:bookmarkStart w:id="75" w:name="_Toc14677"/>
      <w:r>
        <w:rPr>
          <w:rFonts w:hint="eastAsia" w:ascii="宋体" w:hAnsi="宋体" w:eastAsia="宋体" w:cs="宋体"/>
          <w:b w:val="0"/>
          <w:bCs w:val="0"/>
          <w:sz w:val="28"/>
          <w:szCs w:val="28"/>
          <w:lang w:val="en-US" w:eastAsia="zh-CN"/>
        </w:rPr>
        <w:t>3.</w:t>
      </w:r>
      <w:r>
        <w:rPr>
          <w:rFonts w:hint="eastAsia" w:ascii="宋体" w:hAnsi="宋体" w:eastAsia="宋体" w:cs="宋体"/>
          <w:b w:val="0"/>
          <w:bCs w:val="0"/>
          <w:sz w:val="28"/>
          <w:szCs w:val="28"/>
        </w:rPr>
        <w:t>项目实施内容</w:t>
      </w:r>
      <w:bookmarkEnd w:id="65"/>
      <w:bookmarkEnd w:id="66"/>
      <w:bookmarkEnd w:id="67"/>
      <w:bookmarkEnd w:id="68"/>
      <w:bookmarkEnd w:id="69"/>
      <w:bookmarkEnd w:id="71"/>
      <w:bookmarkEnd w:id="72"/>
      <w:bookmarkEnd w:id="73"/>
      <w:bookmarkEnd w:id="74"/>
      <w:bookmarkEnd w:id="75"/>
    </w:p>
    <w:bookmarkEnd w:id="70"/>
    <w:p>
      <w:pPr>
        <w:ind w:firstLine="560" w:firstLineChars="200"/>
        <w:outlineLvl w:val="1"/>
        <w:rPr>
          <w:rFonts w:hint="eastAsia" w:ascii="宋体" w:hAnsi="宋体"/>
          <w:kern w:val="2"/>
          <w:sz w:val="28"/>
          <w:szCs w:val="28"/>
          <w:lang w:eastAsia="zh-CN"/>
        </w:rPr>
      </w:pPr>
      <w:bookmarkStart w:id="76" w:name="_Toc1119"/>
      <w:bookmarkStart w:id="77" w:name="_Toc18259"/>
      <w:bookmarkStart w:id="78" w:name="_Toc17145"/>
      <w:bookmarkStart w:id="79" w:name="_Toc31098"/>
      <w:bookmarkStart w:id="80" w:name="_Toc30974"/>
      <w:bookmarkStart w:id="81" w:name="_Hlk525314309"/>
      <w:r>
        <w:rPr>
          <w:rFonts w:hint="eastAsia" w:ascii="宋体" w:hAnsi="宋体"/>
          <w:kern w:val="2"/>
          <w:sz w:val="28"/>
          <w:szCs w:val="28"/>
          <w:lang w:eastAsia="zh-CN"/>
        </w:rPr>
        <w:t>五华区社会治安综合治理中心信息化建设主要建设内容和规模如下：</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1、社会治安综合治理平台</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①大数据基座②GIS地图数据③三维地图数据④智能中台⑤业务中台⑥N大专项应用⑦统一门户⑧领导驾驶舱⑨移动端服务</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2、信息安全系统</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包括信息系统安全等级保护三级、密码应用建设、安全防护建设。</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3、智能化系统</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包括五华区社会治安综合治理中心LED显示系统、扩声系统、视频会议系统、智能融合通信系统、操作台及云桌面、网络配套辅材、综合布线等。</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4、云计算资源建设</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通过新建虚拟化服务器、统一存储、数通网络，来实现云计算资源的各类应用平台服务和数据存储。</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5、机房建设</w:t>
      </w:r>
    </w:p>
    <w:p>
      <w:p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包括机房装修、UPS系统、动环系统、空调系统、机柜系统、通道封闭系统、气体灭火系统、机房照明等。</w:t>
      </w:r>
    </w:p>
    <w:p>
      <w:pPr>
        <w:numPr>
          <w:ilvl w:val="0"/>
          <w:numId w:val="2"/>
        </w:num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综治中心运营云网资源</w:t>
      </w:r>
    </w:p>
    <w:p>
      <w:pPr>
        <w:numPr>
          <w:ilvl w:val="0"/>
          <w:numId w:val="0"/>
        </w:numPr>
        <w:ind w:firstLine="560" w:firstLineChars="200"/>
        <w:outlineLvl w:val="1"/>
        <w:rPr>
          <w:rFonts w:hint="eastAsia" w:ascii="宋体" w:hAnsi="宋体"/>
          <w:kern w:val="2"/>
          <w:sz w:val="28"/>
          <w:szCs w:val="28"/>
          <w:lang w:eastAsia="zh-CN"/>
        </w:rPr>
      </w:pPr>
      <w:r>
        <w:rPr>
          <w:rFonts w:hint="eastAsia" w:ascii="宋体" w:hAnsi="宋体"/>
          <w:kern w:val="2"/>
          <w:sz w:val="28"/>
          <w:szCs w:val="28"/>
          <w:lang w:eastAsia="zh-CN"/>
        </w:rPr>
        <w:t>包含能承载整个业务系统正常运行的3年云网资源：11条政务网数据专线、11条视频会议系统数据专线、1条互联网出口专线、1项公有云资源池、1项5G边缘UPF、1个5G DNN端口服务、1条5G DNN数据专线。</w:t>
      </w:r>
    </w:p>
    <w:p>
      <w:pPr>
        <w:numPr>
          <w:ilvl w:val="0"/>
          <w:numId w:val="2"/>
        </w:numPr>
        <w:ind w:firstLine="560" w:firstLineChars="200"/>
        <w:outlineLvl w:val="1"/>
        <w:rPr>
          <w:rFonts w:hint="eastAsia" w:ascii="宋体" w:hAnsi="宋体"/>
          <w:kern w:val="2"/>
          <w:sz w:val="28"/>
          <w:szCs w:val="28"/>
          <w:lang w:val="en-US" w:eastAsia="zh-CN"/>
        </w:rPr>
      </w:pPr>
      <w:r>
        <w:rPr>
          <w:rFonts w:hint="eastAsia" w:ascii="宋体" w:hAnsi="宋体"/>
          <w:kern w:val="2"/>
          <w:sz w:val="28"/>
          <w:szCs w:val="28"/>
          <w:lang w:val="en-US" w:eastAsia="zh-CN"/>
        </w:rPr>
        <w:t>数据中心网络</w:t>
      </w:r>
    </w:p>
    <w:p>
      <w:pPr>
        <w:numPr>
          <w:ilvl w:val="0"/>
          <w:numId w:val="0"/>
        </w:numPr>
        <w:ind w:firstLine="560" w:firstLineChars="200"/>
        <w:outlineLvl w:val="1"/>
        <w:rPr>
          <w:rFonts w:hint="default" w:ascii="宋体" w:hAnsi="宋体"/>
          <w:kern w:val="2"/>
          <w:sz w:val="28"/>
          <w:szCs w:val="28"/>
          <w:lang w:val="en-US" w:eastAsia="zh-CN"/>
        </w:rPr>
      </w:pPr>
      <w:r>
        <w:rPr>
          <w:rFonts w:hint="default" w:ascii="宋体" w:hAnsi="宋体"/>
          <w:kern w:val="2"/>
          <w:sz w:val="28"/>
          <w:szCs w:val="28"/>
          <w:lang w:val="en-US" w:eastAsia="zh-CN"/>
        </w:rPr>
        <w:t>主要包含互联网、视频网、市政务网三个网络区域。</w:t>
      </w:r>
    </w:p>
    <w:p>
      <w:pPr>
        <w:pStyle w:val="2"/>
        <w:rPr>
          <w:rFonts w:hint="eastAsia"/>
          <w:b w:val="0"/>
          <w:bCs w:val="0"/>
          <w:lang w:eastAsia="zh-CN"/>
        </w:rPr>
      </w:pPr>
    </w:p>
    <w:p>
      <w:pPr>
        <w:ind w:firstLine="560" w:firstLineChars="200"/>
        <w:outlineLvl w:val="1"/>
        <w:rPr>
          <w:rFonts w:ascii="宋体" w:hAnsi="宋体" w:eastAsia="宋体" w:cs="宋体"/>
          <w:b w:val="0"/>
          <w:bCs w:val="0"/>
          <w:sz w:val="28"/>
          <w:szCs w:val="28"/>
        </w:rPr>
      </w:pPr>
      <w:r>
        <w:rPr>
          <w:rFonts w:hint="eastAsia" w:ascii="宋体" w:hAnsi="宋体" w:eastAsia="宋体" w:cs="宋体"/>
          <w:b w:val="0"/>
          <w:bCs w:val="0"/>
          <w:sz w:val="28"/>
          <w:szCs w:val="28"/>
          <w:lang w:val="en-US" w:eastAsia="zh-CN"/>
        </w:rPr>
        <w:t>4.</w:t>
      </w:r>
      <w:r>
        <w:rPr>
          <w:rFonts w:hint="eastAsia" w:ascii="宋体" w:hAnsi="宋体" w:eastAsia="宋体" w:cs="宋体"/>
          <w:b w:val="0"/>
          <w:bCs w:val="0"/>
          <w:sz w:val="28"/>
          <w:szCs w:val="28"/>
        </w:rPr>
        <w:t>组织及管理情况</w:t>
      </w:r>
      <w:bookmarkEnd w:id="76"/>
      <w:bookmarkEnd w:id="77"/>
      <w:bookmarkEnd w:id="78"/>
      <w:bookmarkEnd w:id="79"/>
      <w:bookmarkEnd w:id="80"/>
    </w:p>
    <w:bookmarkEnd w:id="64"/>
    <w:bookmarkEnd w:id="81"/>
    <w:p>
      <w:pPr>
        <w:numPr>
          <w:ilvl w:val="0"/>
          <w:numId w:val="0"/>
        </w:numPr>
        <w:tabs>
          <w:tab w:val="left" w:pos="5280"/>
        </w:tabs>
        <w:ind w:firstLine="560" w:firstLineChars="200"/>
        <w:rPr>
          <w:rFonts w:hint="eastAsia" w:ascii="宋体" w:hAnsi="宋体" w:eastAsia="宋体"/>
          <w:kern w:val="2"/>
          <w:sz w:val="28"/>
          <w:szCs w:val="28"/>
        </w:rPr>
      </w:pPr>
      <w:r>
        <w:rPr>
          <w:rFonts w:hint="eastAsia" w:ascii="宋体" w:hAnsi="宋体"/>
          <w:kern w:val="2"/>
          <w:sz w:val="28"/>
          <w:szCs w:val="28"/>
          <w:lang w:eastAsia="zh-CN"/>
        </w:rPr>
        <w:t>（</w:t>
      </w:r>
      <w:r>
        <w:rPr>
          <w:rFonts w:hint="eastAsia" w:ascii="宋体" w:hAnsi="宋体"/>
          <w:kern w:val="2"/>
          <w:sz w:val="28"/>
          <w:szCs w:val="28"/>
          <w:lang w:val="en-US" w:eastAsia="zh-CN"/>
        </w:rPr>
        <w:t>1</w:t>
      </w:r>
      <w:r>
        <w:rPr>
          <w:rFonts w:hint="eastAsia" w:ascii="宋体" w:hAnsi="宋体"/>
          <w:kern w:val="2"/>
          <w:sz w:val="28"/>
          <w:szCs w:val="28"/>
          <w:lang w:eastAsia="zh-CN"/>
        </w:rPr>
        <w:t>）项目管理</w:t>
      </w:r>
    </w:p>
    <w:p>
      <w:pPr>
        <w:tabs>
          <w:tab w:val="left" w:pos="5280"/>
        </w:tabs>
        <w:ind w:firstLine="560" w:firstLineChars="200"/>
        <w:rPr>
          <w:rFonts w:hint="eastAsia" w:ascii="宋体" w:hAnsi="宋体" w:eastAsia="宋体" w:cs="Times New Roman"/>
          <w:kern w:val="2"/>
          <w:sz w:val="28"/>
          <w:szCs w:val="28"/>
          <w:lang w:val="en-US" w:eastAsia="zh-CN"/>
        </w:rPr>
      </w:pPr>
      <w:r>
        <w:rPr>
          <w:rFonts w:hint="eastAsia" w:ascii="宋体" w:hAnsi="宋体" w:eastAsia="宋体" w:cs="Times New Roman"/>
          <w:kern w:val="2"/>
          <w:sz w:val="28"/>
          <w:szCs w:val="28"/>
        </w:rPr>
        <w:t>本项目由五华区委政法委具体负责。系统实施过程中必须严格按照工程项目的管理方式进行：</w:t>
      </w:r>
      <w:r>
        <w:rPr>
          <w:rFonts w:hint="eastAsia" w:ascii="宋体" w:hAnsi="宋体" w:eastAsia="宋体" w:cs="Times New Roman"/>
          <w:kern w:val="2"/>
          <w:sz w:val="28"/>
          <w:szCs w:val="28"/>
          <w:lang w:val="en-US" w:eastAsia="zh-CN"/>
        </w:rPr>
        <w:tab/>
      </w:r>
    </w:p>
    <w:p>
      <w:pPr>
        <w:tabs>
          <w:tab w:val="left" w:pos="5280"/>
        </w:tabs>
        <w:ind w:firstLine="560" w:firstLineChars="200"/>
        <w:rPr>
          <w:rFonts w:hint="eastAsia" w:ascii="宋体" w:hAnsi="宋体" w:eastAsia="宋体" w:cs="Times New Roman"/>
          <w:kern w:val="2"/>
          <w:sz w:val="28"/>
          <w:szCs w:val="28"/>
        </w:rPr>
      </w:pPr>
      <w:r>
        <w:rPr>
          <w:rFonts w:hint="eastAsia" w:ascii="宋体" w:hAnsi="宋体" w:eastAsia="宋体" w:cs="Times New Roman"/>
          <w:kern w:val="2"/>
          <w:sz w:val="28"/>
          <w:szCs w:val="28"/>
        </w:rPr>
        <w:t>①建立健全项目组织机构；</w:t>
      </w:r>
    </w:p>
    <w:p>
      <w:pPr>
        <w:tabs>
          <w:tab w:val="left" w:pos="5280"/>
        </w:tabs>
        <w:ind w:firstLine="560" w:firstLineChars="200"/>
        <w:rPr>
          <w:rFonts w:hint="eastAsia" w:ascii="宋体" w:hAnsi="宋体" w:eastAsia="宋体" w:cs="Times New Roman"/>
          <w:kern w:val="2"/>
          <w:sz w:val="28"/>
          <w:szCs w:val="28"/>
        </w:rPr>
      </w:pPr>
      <w:r>
        <w:rPr>
          <w:rFonts w:hint="eastAsia" w:ascii="宋体" w:hAnsi="宋体" w:eastAsia="宋体" w:cs="Times New Roman"/>
          <w:kern w:val="2"/>
          <w:sz w:val="28"/>
          <w:szCs w:val="28"/>
        </w:rPr>
        <w:t>②严格按照系统工程管理的方法、标准对项目实施进行控制；</w:t>
      </w:r>
    </w:p>
    <w:p>
      <w:pPr>
        <w:tabs>
          <w:tab w:val="left" w:pos="5280"/>
        </w:tabs>
        <w:ind w:firstLine="560" w:firstLineChars="200"/>
        <w:rPr>
          <w:rFonts w:hint="eastAsia" w:ascii="宋体" w:hAnsi="宋体" w:eastAsia="宋体" w:cs="Times New Roman"/>
          <w:kern w:val="2"/>
          <w:sz w:val="28"/>
          <w:szCs w:val="28"/>
        </w:rPr>
      </w:pPr>
      <w:r>
        <w:rPr>
          <w:rFonts w:hint="eastAsia" w:ascii="宋体" w:hAnsi="宋体" w:eastAsia="宋体" w:cs="Times New Roman"/>
          <w:kern w:val="2"/>
          <w:sz w:val="28"/>
          <w:szCs w:val="28"/>
        </w:rPr>
        <w:t>③规范实施流程（如议会、报告、审批）、遵守管理制度；</w:t>
      </w:r>
    </w:p>
    <w:p>
      <w:pPr>
        <w:tabs>
          <w:tab w:val="left" w:pos="5280"/>
        </w:tabs>
        <w:ind w:firstLine="560" w:firstLineChars="200"/>
        <w:rPr>
          <w:rFonts w:hint="eastAsia" w:ascii="宋体" w:hAnsi="宋体" w:eastAsia="宋体" w:cs="Times New Roman"/>
          <w:kern w:val="2"/>
          <w:sz w:val="28"/>
          <w:szCs w:val="28"/>
        </w:rPr>
      </w:pPr>
      <w:r>
        <w:rPr>
          <w:rFonts w:hint="eastAsia" w:ascii="宋体" w:hAnsi="宋体" w:eastAsia="宋体" w:cs="Times New Roman"/>
          <w:kern w:val="2"/>
          <w:sz w:val="28"/>
          <w:szCs w:val="28"/>
        </w:rPr>
        <w:t>④严格规范文档管理和数据标准；</w:t>
      </w:r>
    </w:p>
    <w:p>
      <w:pPr>
        <w:tabs>
          <w:tab w:val="left" w:pos="5280"/>
        </w:tabs>
        <w:ind w:firstLine="560" w:firstLineChars="200"/>
        <w:rPr>
          <w:rFonts w:hint="eastAsia" w:ascii="宋体" w:hAnsi="宋体" w:eastAsia="宋体" w:cs="Times New Roman"/>
          <w:kern w:val="2"/>
          <w:sz w:val="28"/>
          <w:szCs w:val="28"/>
        </w:rPr>
      </w:pPr>
      <w:r>
        <w:rPr>
          <w:rFonts w:hint="eastAsia" w:ascii="宋体" w:hAnsi="宋体" w:eastAsia="宋体" w:cs="Times New Roman"/>
          <w:kern w:val="2"/>
          <w:sz w:val="28"/>
          <w:szCs w:val="28"/>
        </w:rPr>
        <w:t>⑤制定明确的项目实施计划；</w:t>
      </w:r>
    </w:p>
    <w:p>
      <w:pPr>
        <w:tabs>
          <w:tab w:val="left" w:pos="5280"/>
        </w:tabs>
        <w:ind w:firstLine="560" w:firstLineChars="200"/>
        <w:rPr>
          <w:rFonts w:hint="eastAsia" w:ascii="宋体" w:hAnsi="宋体" w:eastAsia="宋体" w:cs="Times New Roman"/>
          <w:kern w:val="2"/>
          <w:sz w:val="28"/>
          <w:szCs w:val="28"/>
        </w:rPr>
      </w:pPr>
      <w:r>
        <w:rPr>
          <w:rFonts w:hint="eastAsia" w:ascii="宋体" w:hAnsi="宋体" w:eastAsia="宋体" w:cs="Times New Roman"/>
          <w:kern w:val="2"/>
          <w:sz w:val="28"/>
          <w:szCs w:val="28"/>
        </w:rPr>
        <w:t>⑥以人为本，把用户需求和利益放在首位。</w:t>
      </w:r>
    </w:p>
    <w:p>
      <w:pPr>
        <w:pStyle w:val="2"/>
        <w:rPr>
          <w:rFonts w:hint="eastAsia"/>
        </w:rPr>
      </w:pPr>
    </w:p>
    <w:p>
      <w:pPr>
        <w:ind w:firstLine="560" w:firstLineChars="200"/>
        <w:rPr>
          <w:rFonts w:ascii="宋体" w:hAnsi="宋体" w:eastAsia="宋体" w:cs="宋体"/>
          <w:kern w:val="2"/>
          <w:sz w:val="28"/>
          <w:szCs w:val="28"/>
        </w:rPr>
      </w:pPr>
      <w:r>
        <w:rPr>
          <w:rFonts w:hint="eastAsia" w:ascii="宋体" w:hAnsi="宋体" w:cs="宋体"/>
          <w:kern w:val="2"/>
          <w:sz w:val="28"/>
          <w:szCs w:val="28"/>
          <w:lang w:eastAsia="zh-CN"/>
        </w:rPr>
        <w:t>（</w:t>
      </w:r>
      <w:r>
        <w:rPr>
          <w:rFonts w:hint="eastAsia" w:ascii="宋体" w:hAnsi="宋体" w:cs="宋体"/>
          <w:kern w:val="2"/>
          <w:sz w:val="28"/>
          <w:szCs w:val="28"/>
          <w:lang w:val="en-US" w:eastAsia="zh-CN"/>
        </w:rPr>
        <w:t>2</w:t>
      </w:r>
      <w:r>
        <w:rPr>
          <w:rFonts w:hint="eastAsia" w:ascii="宋体" w:hAnsi="宋体" w:cs="宋体"/>
          <w:kern w:val="2"/>
          <w:sz w:val="28"/>
          <w:szCs w:val="28"/>
          <w:lang w:eastAsia="zh-CN"/>
        </w:rPr>
        <w:t>）</w:t>
      </w:r>
      <w:r>
        <w:rPr>
          <w:rFonts w:hint="eastAsia" w:ascii="宋体" w:hAnsi="宋体" w:eastAsia="宋体" w:cs="宋体"/>
          <w:kern w:val="2"/>
          <w:sz w:val="28"/>
          <w:szCs w:val="28"/>
        </w:rPr>
        <w:t>财务管理及经费拨付流程</w:t>
      </w:r>
    </w:p>
    <w:p>
      <w:pPr>
        <w:ind w:firstLine="560" w:firstLineChars="200"/>
        <w:rPr>
          <w:rFonts w:hint="eastAsia" w:ascii="宋体" w:hAnsi="宋体" w:eastAsia="宋体" w:cs="宋体"/>
          <w:kern w:val="2"/>
          <w:sz w:val="28"/>
          <w:szCs w:val="28"/>
        </w:rPr>
      </w:pPr>
      <w:r>
        <w:rPr>
          <w:rFonts w:hint="eastAsia" w:ascii="宋体" w:hAnsi="宋体" w:eastAsia="宋体"/>
          <w:kern w:val="2"/>
          <w:sz w:val="28"/>
          <w:szCs w:val="28"/>
        </w:rPr>
        <w:t>项目实施过程主要按照五华国投公司《“三重一大”决策制度实施细则》《财务管理</w:t>
      </w:r>
      <w:r>
        <w:rPr>
          <w:rFonts w:ascii="宋体" w:hAnsi="宋体" w:eastAsia="宋体"/>
          <w:kern w:val="2"/>
          <w:sz w:val="28"/>
          <w:szCs w:val="28"/>
        </w:rPr>
        <w:t>制度》</w:t>
      </w:r>
      <w:r>
        <w:rPr>
          <w:rFonts w:hint="eastAsia" w:ascii="宋体" w:hAnsi="宋体" w:eastAsia="宋体"/>
          <w:kern w:val="2"/>
          <w:sz w:val="28"/>
          <w:szCs w:val="28"/>
        </w:rPr>
        <w:t>及《项目管理制度》等执行，以监督资金使用，并合理安排资金保证建设工期。</w:t>
      </w:r>
      <w:r>
        <w:rPr>
          <w:rFonts w:hint="eastAsia" w:ascii="宋体" w:hAnsi="宋体"/>
          <w:kern w:val="2"/>
          <w:sz w:val="28"/>
          <w:szCs w:val="28"/>
          <w:lang w:val="zh-CN"/>
        </w:rPr>
        <w:t>五华区综合治理中心</w:t>
      </w:r>
      <w:r>
        <w:rPr>
          <w:rFonts w:hint="eastAsia" w:ascii="宋体" w:hAnsi="宋体" w:eastAsia="宋体"/>
          <w:kern w:val="2"/>
          <w:sz w:val="28"/>
          <w:szCs w:val="28"/>
          <w:lang w:val="zh-CN"/>
        </w:rPr>
        <w:t>项目</w:t>
      </w:r>
      <w:r>
        <w:rPr>
          <w:rFonts w:hint="eastAsia" w:ascii="宋体" w:hAnsi="宋体" w:eastAsia="宋体"/>
          <w:kern w:val="2"/>
          <w:sz w:val="28"/>
          <w:szCs w:val="28"/>
        </w:rPr>
        <w:t>资金拨付执行五华国投公司三级审核，公司领导终级审批的制度，即：报销人报销有关费用或支出时，有关报销凭据应先由本子公司或部门负责人审核签注意见，交财务管理中心负责人审核并签注意见后，报公司领导审批。支付工程款项，应提供工程合同、工程款月度进度表及支付申请表</w:t>
      </w:r>
      <w:r>
        <w:rPr>
          <w:rFonts w:hint="eastAsia" w:ascii="宋体" w:hAnsi="宋体" w:eastAsia="宋体" w:cs="宋体"/>
          <w:kern w:val="2"/>
          <w:sz w:val="28"/>
          <w:szCs w:val="28"/>
        </w:rPr>
        <w:t>。</w:t>
      </w:r>
    </w:p>
    <w:p>
      <w:pPr>
        <w:pStyle w:val="2"/>
        <w:rPr>
          <w:rFonts w:hint="default" w:eastAsia="宋体"/>
          <w:lang w:val="en-US" w:eastAsia="zh-CN"/>
        </w:rPr>
      </w:pPr>
      <w:r>
        <w:rPr>
          <w:rFonts w:hint="eastAsia" w:ascii="宋体" w:hAnsi="宋体" w:eastAsia="宋体" w:cs="宋体"/>
          <w:kern w:val="2"/>
          <w:sz w:val="28"/>
          <w:szCs w:val="28"/>
          <w:lang w:val="en-US" w:eastAsia="zh-CN"/>
        </w:rPr>
        <w:t xml:space="preserve">    </w:t>
      </w:r>
    </w:p>
    <w:p>
      <w:pPr>
        <w:pStyle w:val="6"/>
        <w:bidi w:val="0"/>
        <w:outlineLvl w:val="1"/>
        <w:rPr>
          <w:rFonts w:hint="eastAsia"/>
        </w:rPr>
      </w:pPr>
      <w:bookmarkStart w:id="82" w:name="_Toc7928"/>
      <w:bookmarkStart w:id="83" w:name="_Toc10140"/>
      <w:bookmarkStart w:id="84" w:name="_Toc4333"/>
      <w:bookmarkStart w:id="85" w:name="_Toc27690"/>
      <w:bookmarkStart w:id="86" w:name="_Toc6176"/>
      <w:bookmarkStart w:id="87" w:name="_Toc536428361"/>
      <w:r>
        <w:rPr>
          <w:rFonts w:hint="eastAsia"/>
          <w:lang w:eastAsia="zh-CN"/>
        </w:rPr>
        <w:t>（二）</w:t>
      </w:r>
      <w:r>
        <w:rPr>
          <w:rFonts w:hint="eastAsia"/>
        </w:rPr>
        <w:t>绩效目标</w:t>
      </w:r>
      <w:bookmarkEnd w:id="82"/>
      <w:bookmarkEnd w:id="83"/>
      <w:bookmarkEnd w:id="84"/>
      <w:bookmarkEnd w:id="85"/>
      <w:bookmarkEnd w:id="86"/>
    </w:p>
    <w:p>
      <w:pPr>
        <w:ind w:firstLine="560" w:firstLineChars="200"/>
        <w:rPr>
          <w:rFonts w:hint="eastAsia" w:ascii="宋体" w:hAnsi="宋体" w:eastAsia="宋体" w:cs="Times New Roman"/>
          <w:kern w:val="2"/>
          <w:sz w:val="28"/>
          <w:szCs w:val="28"/>
          <w:lang w:val="en-US" w:eastAsia="zh-CN"/>
        </w:rPr>
      </w:pPr>
      <w:r>
        <w:rPr>
          <w:rFonts w:hint="eastAsia" w:ascii="宋体" w:hAnsi="宋体" w:eastAsia="宋体" w:cs="Times New Roman"/>
          <w:kern w:val="2"/>
          <w:sz w:val="28"/>
          <w:szCs w:val="28"/>
          <w:lang w:val="en-US" w:eastAsia="zh-CN"/>
        </w:rPr>
        <w:t>《昆明市社会治安综合治理中心规范化建设》指出的总体目标是规范化建设运行市，县（市）区、开发（度假）区，乡镇（街道），村（社区）四级综治中心。通过“五个统一”（即：统一组织架构、统一平台建设、统一网格设置、统一职责任务、统一工作机制），将综治中心建设成为整合社会治理资源、创新社会治理方式的数据平台、枢纽平台、实战平台，形成上下对应的一体化组织体系，实现综治中心的实体化运行、实战化指挥、一体化管理、精细化治理。通过本次信息化建设项目，实现五华社会治理能力和治理水平提升提质。</w:t>
      </w:r>
    </w:p>
    <w:p>
      <w:pPr>
        <w:pStyle w:val="5"/>
        <w:bidi w:val="0"/>
        <w:outlineLvl w:val="0"/>
        <w:rPr>
          <w:rFonts w:hint="eastAsia"/>
        </w:rPr>
      </w:pPr>
      <w:bookmarkStart w:id="88" w:name="_Toc7022"/>
      <w:bookmarkStart w:id="89" w:name="_Toc21249"/>
      <w:bookmarkStart w:id="90" w:name="_Toc20387"/>
      <w:bookmarkStart w:id="91" w:name="_Toc13340"/>
      <w:bookmarkStart w:id="92" w:name="_Toc4848"/>
      <w:r>
        <w:rPr>
          <w:rFonts w:hint="eastAsia"/>
        </w:rPr>
        <w:t>二、绩效评价工作情况</w:t>
      </w:r>
      <w:bookmarkEnd w:id="88"/>
      <w:bookmarkEnd w:id="89"/>
      <w:bookmarkEnd w:id="90"/>
      <w:bookmarkEnd w:id="91"/>
      <w:bookmarkEnd w:id="92"/>
    </w:p>
    <w:p>
      <w:pPr>
        <w:pStyle w:val="6"/>
        <w:bidi w:val="0"/>
        <w:rPr>
          <w:rFonts w:hint="eastAsia"/>
          <w:b w:val="0"/>
          <w:bCs/>
          <w:lang w:val="en-US" w:eastAsia="zh-CN"/>
        </w:rPr>
      </w:pPr>
      <w:r>
        <w:rPr>
          <w:rFonts w:hint="eastAsia"/>
          <w:b w:val="0"/>
          <w:bCs/>
          <w:lang w:val="en-US" w:eastAsia="zh-CN"/>
        </w:rPr>
        <w:t>（一）绩效评价目的。</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pPr>
        <w:pStyle w:val="6"/>
        <w:bidi w:val="0"/>
        <w:rPr>
          <w:rFonts w:hint="eastAsia"/>
          <w:lang w:val="en-US" w:eastAsia="zh-CN"/>
        </w:rPr>
      </w:pPr>
      <w:r>
        <w:rPr>
          <w:rFonts w:hint="eastAsia"/>
          <w:lang w:val="en-US" w:eastAsia="zh-CN"/>
        </w:rPr>
        <w:t>（二）绩效评价工作方案制定过程。</w:t>
      </w:r>
    </w:p>
    <w:p>
      <w:pPr>
        <w:ind w:firstLine="560" w:firstLineChars="200"/>
        <w:rPr>
          <w:rFonts w:hint="eastAsia" w:ascii="宋体" w:hAnsi="宋体" w:eastAsia="宋体"/>
          <w:b w:val="0"/>
          <w:bCs w:val="0"/>
          <w:kern w:val="2"/>
          <w:sz w:val="28"/>
          <w:szCs w:val="28"/>
          <w:lang w:val="en-US" w:eastAsia="zh-CN"/>
        </w:rPr>
      </w:pPr>
      <w:r>
        <w:rPr>
          <w:rFonts w:hint="eastAsia" w:ascii="宋体" w:hAnsi="宋体" w:eastAsia="宋体"/>
          <w:b w:val="0"/>
          <w:bCs w:val="0"/>
          <w:kern w:val="2"/>
          <w:sz w:val="28"/>
          <w:szCs w:val="28"/>
          <w:lang w:val="en-US" w:eastAsia="zh-CN"/>
        </w:rPr>
        <w:t>1.前期调研</w:t>
      </w:r>
      <w:r>
        <w:rPr>
          <w:rFonts w:hint="eastAsia" w:ascii="宋体" w:hAnsi="宋体"/>
          <w:b w:val="0"/>
          <w:bCs w:val="0"/>
          <w:kern w:val="2"/>
          <w:sz w:val="28"/>
          <w:szCs w:val="28"/>
          <w:lang w:val="en-US" w:eastAsia="zh-CN"/>
        </w:rPr>
        <w:t>结论</w:t>
      </w:r>
      <w:r>
        <w:rPr>
          <w:rFonts w:hint="eastAsia" w:ascii="宋体" w:hAnsi="宋体" w:eastAsia="宋体"/>
          <w:b w:val="0"/>
          <w:bCs w:val="0"/>
          <w:kern w:val="2"/>
          <w:sz w:val="28"/>
          <w:szCs w:val="28"/>
          <w:lang w:val="en-US" w:eastAsia="zh-CN"/>
        </w:rPr>
        <w:t>。</w:t>
      </w:r>
    </w:p>
    <w:p>
      <w:pPr>
        <w:ind w:firstLine="560" w:firstLineChars="200"/>
        <w:rPr>
          <w:rFonts w:hint="eastAsia" w:ascii="宋体" w:hAnsi="宋体" w:eastAsia="宋体" w:cs="Times New Roman"/>
          <w:kern w:val="2"/>
          <w:sz w:val="28"/>
          <w:szCs w:val="28"/>
          <w:lang w:val="en-US" w:eastAsia="zh-CN"/>
        </w:rPr>
      </w:pPr>
      <w:r>
        <w:rPr>
          <w:rFonts w:hint="eastAsia" w:ascii="宋体" w:hAnsi="宋体" w:eastAsia="宋体" w:cs="Times New Roman"/>
          <w:kern w:val="2"/>
          <w:sz w:val="28"/>
          <w:szCs w:val="28"/>
          <w:lang w:val="en-US" w:eastAsia="zh-CN"/>
        </w:rPr>
        <w:t>①项目建设符合《中共中央关于坚持和完善中国特色社会主义制度推进国家治理体系和治理能力现代化若干重大问题的决定》、《关于加强昆明市社会治安综合治理中心规范化建设的指导意见（试行）》相关规定和要求。</w:t>
      </w:r>
    </w:p>
    <w:p>
      <w:pPr>
        <w:ind w:firstLine="560" w:firstLineChars="200"/>
        <w:rPr>
          <w:rFonts w:hint="eastAsia" w:ascii="宋体" w:hAnsi="宋体" w:eastAsia="宋体" w:cs="Times New Roman"/>
          <w:kern w:val="2"/>
          <w:sz w:val="28"/>
          <w:szCs w:val="28"/>
          <w:lang w:val="en-US" w:eastAsia="zh-CN"/>
        </w:rPr>
      </w:pPr>
      <w:r>
        <w:rPr>
          <w:rFonts w:hint="eastAsia" w:ascii="宋体" w:hAnsi="宋体" w:eastAsia="宋体" w:cs="Times New Roman"/>
          <w:kern w:val="2"/>
          <w:sz w:val="28"/>
          <w:szCs w:val="28"/>
          <w:lang w:val="en-US" w:eastAsia="zh-CN"/>
        </w:rPr>
        <w:t>②本目建设可推动“平安五华”“法治五华”建设工作常态长效，实现五华社会治理能力和治理水平提升。</w:t>
      </w:r>
    </w:p>
    <w:p>
      <w:pPr>
        <w:ind w:firstLine="560" w:firstLineChars="200"/>
        <w:rPr>
          <w:rFonts w:hint="eastAsia" w:ascii="宋体" w:hAnsi="宋体" w:eastAsia="宋体" w:cs="Times New Roman"/>
          <w:kern w:val="2"/>
          <w:sz w:val="28"/>
          <w:szCs w:val="28"/>
          <w:lang w:val="en-US" w:eastAsia="zh-CN"/>
        </w:rPr>
      </w:pPr>
      <w:r>
        <w:rPr>
          <w:rFonts w:hint="eastAsia" w:ascii="宋体" w:hAnsi="宋体" w:eastAsia="宋体" w:cs="Times New Roman"/>
          <w:kern w:val="2"/>
          <w:sz w:val="28"/>
          <w:szCs w:val="28"/>
          <w:lang w:val="en-US" w:eastAsia="zh-CN"/>
        </w:rPr>
        <w:t>③项目建设包括社会治安综合治理平台、信息安全系统、指挥中心建设、云计算平台、机房建设、网络链路等，建设内容适当，建设方案和周期合理，满足中共五华区委政法委员会业务需求，具有实施的可操作性及实用性。</w:t>
      </w:r>
    </w:p>
    <w:p>
      <w:pPr>
        <w:pStyle w:val="2"/>
        <w:rPr>
          <w:rFonts w:hint="eastAsia"/>
          <w:lang w:val="en-US" w:eastAsia="zh-CN"/>
        </w:rPr>
      </w:pPr>
    </w:p>
    <w:p>
      <w:pPr>
        <w:ind w:firstLine="560" w:firstLineChars="200"/>
        <w:rPr>
          <w:rFonts w:hint="eastAsia" w:ascii="宋体" w:hAnsi="宋体" w:eastAsia="宋体"/>
          <w:b w:val="0"/>
          <w:bCs w:val="0"/>
          <w:kern w:val="2"/>
          <w:sz w:val="28"/>
          <w:szCs w:val="28"/>
          <w:lang w:val="en-US" w:eastAsia="zh-CN"/>
        </w:rPr>
      </w:pPr>
      <w:r>
        <w:rPr>
          <w:rFonts w:hint="eastAsia" w:ascii="宋体" w:hAnsi="宋体"/>
          <w:b w:val="0"/>
          <w:bCs w:val="0"/>
          <w:kern w:val="2"/>
          <w:sz w:val="28"/>
          <w:szCs w:val="28"/>
          <w:lang w:val="en-US" w:eastAsia="zh-CN"/>
        </w:rPr>
        <w:t>2.</w:t>
      </w:r>
      <w:r>
        <w:rPr>
          <w:rFonts w:hint="eastAsia" w:ascii="宋体" w:hAnsi="宋体" w:eastAsia="宋体"/>
          <w:b w:val="0"/>
          <w:bCs w:val="0"/>
          <w:kern w:val="2"/>
          <w:sz w:val="28"/>
          <w:szCs w:val="28"/>
          <w:lang w:val="en-US" w:eastAsia="zh-CN"/>
        </w:rPr>
        <w:t>研究文件</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①</w:t>
      </w:r>
      <w:r>
        <w:rPr>
          <w:rFonts w:hint="eastAsia" w:ascii="宋体" w:hAnsi="宋体" w:eastAsia="宋体"/>
          <w:bCs/>
          <w:kern w:val="2"/>
          <w:sz w:val="28"/>
          <w:szCs w:val="28"/>
        </w:rPr>
        <w:t>《中华人民共和国预算法（2014年修订）》；</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②</w:t>
      </w:r>
      <w:r>
        <w:rPr>
          <w:rFonts w:hint="eastAsia" w:ascii="宋体" w:hAnsi="宋体" w:eastAsia="宋体"/>
          <w:bCs/>
          <w:kern w:val="2"/>
          <w:sz w:val="28"/>
          <w:szCs w:val="28"/>
        </w:rPr>
        <w:t>中华人民共和国预算法实施条例》（国务院令第729号修订）；</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③</w:t>
      </w:r>
      <w:r>
        <w:rPr>
          <w:rFonts w:hint="eastAsia" w:ascii="宋体" w:hAnsi="宋体" w:eastAsia="宋体"/>
          <w:bCs/>
          <w:kern w:val="2"/>
          <w:sz w:val="28"/>
          <w:szCs w:val="28"/>
        </w:rPr>
        <w:t>《中共中央国务院关于全面实施预算绩效管理的意见》(中发〔2018〕34号）；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④</w:t>
      </w:r>
      <w:r>
        <w:rPr>
          <w:rFonts w:hint="eastAsia" w:ascii="宋体" w:hAnsi="宋体" w:eastAsia="宋体"/>
          <w:bCs/>
          <w:kern w:val="2"/>
          <w:sz w:val="28"/>
          <w:szCs w:val="28"/>
        </w:rPr>
        <w:t>《中共云南省委云南省人民政府关于全面实施预算绩效管理的实施意见》（云发〔2019〕11号）；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⑤</w:t>
      </w:r>
      <w:r>
        <w:rPr>
          <w:rFonts w:hint="eastAsia" w:ascii="宋体" w:hAnsi="宋体" w:eastAsia="宋体"/>
          <w:bCs/>
          <w:kern w:val="2"/>
          <w:sz w:val="28"/>
          <w:szCs w:val="28"/>
        </w:rPr>
        <w:t>《财政部关于印发&lt;项目支出绩效评价管理办法&gt;的通知》（财预〔2020〕10号）；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⑥</w:t>
      </w:r>
      <w:r>
        <w:rPr>
          <w:rFonts w:hint="eastAsia" w:ascii="宋体" w:hAnsi="宋体" w:eastAsia="宋体"/>
          <w:bCs/>
          <w:kern w:val="2"/>
          <w:sz w:val="28"/>
          <w:szCs w:val="28"/>
        </w:rPr>
        <w:t>《云南省财政厅关于印发&lt;云南省项目支出绩效评价管理办法&gt;的通知》（云财绩〔2020〕11号）；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⑦</w:t>
      </w:r>
      <w:r>
        <w:rPr>
          <w:rFonts w:hint="eastAsia" w:ascii="宋体" w:hAnsi="宋体" w:eastAsia="宋体"/>
          <w:bCs/>
          <w:kern w:val="2"/>
          <w:sz w:val="28"/>
          <w:szCs w:val="28"/>
        </w:rPr>
        <w:t>《中共昆明市委昆明市人民政府关于全面实施预算绩效管理的实施意见》（昆发〔2019〕12号）；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⑧</w:t>
      </w:r>
      <w:r>
        <w:rPr>
          <w:rFonts w:hint="eastAsia" w:ascii="宋体" w:hAnsi="宋体" w:eastAsia="宋体"/>
          <w:bCs/>
          <w:kern w:val="2"/>
          <w:sz w:val="28"/>
          <w:szCs w:val="28"/>
        </w:rPr>
        <w:t>《昆明市五华区人民政府办公室关于印发&lt;五华区预算绩效管理暂行办法&gt;的通知》（五政办通〔2017〕10号）；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⑨</w:t>
      </w:r>
      <w:r>
        <w:rPr>
          <w:rFonts w:hint="eastAsia" w:ascii="宋体" w:hAnsi="宋体" w:eastAsia="宋体"/>
          <w:bCs/>
          <w:kern w:val="2"/>
          <w:sz w:val="28"/>
          <w:szCs w:val="28"/>
        </w:rPr>
        <w:t>《中共昆明市五华区委昆明市五华区人民政府印发&lt;关于全面实施预算绩效管理的实施意见&gt;的通知》（五发〔2021〕10号）；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⑩</w:t>
      </w:r>
      <w:r>
        <w:rPr>
          <w:rFonts w:hint="eastAsia" w:ascii="宋体" w:hAnsi="宋体" w:eastAsia="宋体"/>
          <w:bCs/>
          <w:kern w:val="2"/>
          <w:sz w:val="28"/>
          <w:szCs w:val="28"/>
        </w:rPr>
        <w:t>《五华区财政局关于开展2020年度财政支出绩效重点评价工作的通知》（五财〔2021〕30号）；</w:t>
      </w:r>
    </w:p>
    <w:p>
      <w:pPr>
        <w:ind w:firstLine="560" w:firstLineChars="200"/>
        <w:rPr>
          <w:rFonts w:ascii="宋体" w:hAnsi="宋体" w:eastAsia="宋体"/>
          <w:bCs/>
          <w:kern w:val="2"/>
          <w:sz w:val="28"/>
          <w:szCs w:val="28"/>
        </w:rPr>
      </w:pPr>
      <w:r>
        <w:rPr>
          <w:rFonts w:hint="eastAsia" w:ascii="宋体" w:hAnsi="宋体"/>
          <w:bCs/>
          <w:kern w:val="2"/>
          <w:sz w:val="28"/>
          <w:szCs w:val="28"/>
          <w:lang w:eastAsia="zh-CN"/>
        </w:rPr>
        <w:t>⑪</w:t>
      </w:r>
      <w:r>
        <w:rPr>
          <w:rFonts w:hint="eastAsia" w:ascii="宋体" w:hAnsi="宋体" w:eastAsia="宋体"/>
          <w:bCs/>
          <w:kern w:val="2"/>
          <w:sz w:val="28"/>
          <w:szCs w:val="28"/>
        </w:rPr>
        <w:t>项目管理、资金管理、财务管理政策制度文件、批复文件、资金下达文件、验收等其他资料；</w:t>
      </w:r>
    </w:p>
    <w:p>
      <w:pPr>
        <w:ind w:firstLine="560" w:firstLineChars="200"/>
        <w:rPr>
          <w:rFonts w:hint="eastAsia" w:ascii="宋体" w:hAnsi="宋体" w:eastAsia="宋体" w:cs="宋体"/>
          <w:sz w:val="28"/>
          <w:szCs w:val="28"/>
        </w:rPr>
      </w:pPr>
      <w:r>
        <w:rPr>
          <w:rFonts w:hint="eastAsia" w:ascii="宋体" w:hAnsi="宋体"/>
          <w:bCs/>
          <w:kern w:val="2"/>
          <w:sz w:val="28"/>
          <w:szCs w:val="28"/>
          <w:lang w:eastAsia="zh-CN"/>
        </w:rPr>
        <w:t>⑫</w:t>
      </w:r>
      <w:r>
        <w:rPr>
          <w:rFonts w:hint="eastAsia" w:ascii="宋体" w:hAnsi="宋体" w:eastAsia="宋体"/>
          <w:bCs/>
          <w:kern w:val="2"/>
          <w:sz w:val="28"/>
          <w:szCs w:val="28"/>
        </w:rPr>
        <w:t>其他相关材料</w:t>
      </w:r>
      <w:r>
        <w:rPr>
          <w:rFonts w:hint="eastAsia" w:ascii="宋体" w:hAnsi="宋体" w:eastAsia="宋体" w:cs="宋体"/>
          <w:sz w:val="28"/>
          <w:szCs w:val="28"/>
        </w:rPr>
        <w:t>。</w:t>
      </w:r>
    </w:p>
    <w:p>
      <w:pPr>
        <w:pStyle w:val="2"/>
        <w:rPr>
          <w:rFonts w:hint="eastAsia"/>
          <w:lang w:val="en-US" w:eastAsia="zh-CN"/>
        </w:rPr>
      </w:pPr>
    </w:p>
    <w:p>
      <w:pPr>
        <w:numPr>
          <w:ilvl w:val="0"/>
          <w:numId w:val="0"/>
        </w:numPr>
        <w:ind w:firstLine="560" w:firstLineChars="200"/>
        <w:rPr>
          <w:rFonts w:hint="eastAsia" w:ascii="宋体" w:hAnsi="宋体" w:eastAsia="宋体"/>
          <w:b w:val="0"/>
          <w:bCs w:val="0"/>
          <w:color w:val="auto"/>
          <w:kern w:val="2"/>
          <w:sz w:val="28"/>
          <w:szCs w:val="28"/>
          <w:lang w:val="en-US" w:eastAsia="zh-CN"/>
        </w:rPr>
      </w:pPr>
      <w:r>
        <w:rPr>
          <w:rFonts w:hint="eastAsia" w:ascii="宋体" w:hAnsi="宋体"/>
          <w:b w:val="0"/>
          <w:bCs w:val="0"/>
          <w:color w:val="auto"/>
          <w:kern w:val="2"/>
          <w:sz w:val="28"/>
          <w:szCs w:val="28"/>
          <w:lang w:val="en-US" w:eastAsia="zh-CN"/>
        </w:rPr>
        <w:t>3.</w:t>
      </w:r>
      <w:r>
        <w:rPr>
          <w:rFonts w:hint="eastAsia" w:ascii="宋体" w:hAnsi="宋体" w:eastAsia="宋体"/>
          <w:b w:val="0"/>
          <w:bCs w:val="0"/>
          <w:color w:val="auto"/>
          <w:kern w:val="2"/>
          <w:sz w:val="28"/>
          <w:szCs w:val="28"/>
          <w:lang w:val="en-US" w:eastAsia="zh-CN"/>
        </w:rPr>
        <w:t>绩效评价指标体系及工作方案的设计。</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ascii="宋体" w:hAnsi="宋体" w:eastAsia="宋体"/>
          <w:kern w:val="2"/>
          <w:sz w:val="28"/>
          <w:szCs w:val="28"/>
        </w:rPr>
      </w:pPr>
      <w:r>
        <w:rPr>
          <w:rFonts w:hint="eastAsia" w:ascii="宋体" w:hAnsi="宋体" w:eastAsia="宋体"/>
          <w:kern w:val="2"/>
          <w:sz w:val="28"/>
          <w:szCs w:val="28"/>
        </w:rPr>
        <w:t>根据《中共昆明市委昆明市人民政府关于全面实施预算绩效管理的实施意见》（昆发〔2019〕12号）《中共昆明市五华区委昆明市五华区人民政府印发&lt;关于全面实施预算绩效管理的实施意见&gt;的通知》（五发〔2021〕10号）《五华区财政局关于开展202</w:t>
      </w:r>
      <w:r>
        <w:rPr>
          <w:rFonts w:hint="eastAsia" w:ascii="宋体" w:hAnsi="宋体"/>
          <w:kern w:val="2"/>
          <w:sz w:val="28"/>
          <w:szCs w:val="28"/>
          <w:lang w:val="en-US" w:eastAsia="zh-CN"/>
        </w:rPr>
        <w:t>3</w:t>
      </w:r>
      <w:r>
        <w:rPr>
          <w:rFonts w:hint="eastAsia" w:ascii="宋体" w:hAnsi="宋体" w:eastAsia="宋体"/>
          <w:kern w:val="2"/>
          <w:sz w:val="28"/>
          <w:szCs w:val="28"/>
        </w:rPr>
        <w:t>年度财政支出绩效重点评价工作的通知》（五财〔202</w:t>
      </w:r>
      <w:r>
        <w:rPr>
          <w:rFonts w:hint="eastAsia" w:ascii="宋体" w:hAnsi="宋体"/>
          <w:kern w:val="2"/>
          <w:sz w:val="28"/>
          <w:szCs w:val="28"/>
          <w:lang w:val="en-US" w:eastAsia="zh-CN"/>
        </w:rPr>
        <w:t>4</w:t>
      </w:r>
      <w:r>
        <w:rPr>
          <w:rFonts w:hint="eastAsia" w:ascii="宋体" w:hAnsi="宋体" w:eastAsia="宋体"/>
          <w:kern w:val="2"/>
          <w:sz w:val="28"/>
          <w:szCs w:val="28"/>
        </w:rPr>
        <w:t>〕</w:t>
      </w:r>
      <w:r>
        <w:rPr>
          <w:rFonts w:hint="eastAsia" w:ascii="宋体" w:hAnsi="宋体"/>
          <w:kern w:val="2"/>
          <w:sz w:val="28"/>
          <w:szCs w:val="28"/>
          <w:lang w:val="en-US" w:eastAsia="zh-CN"/>
        </w:rPr>
        <w:t>25</w:t>
      </w:r>
      <w:r>
        <w:rPr>
          <w:rFonts w:hint="eastAsia" w:ascii="宋体" w:hAnsi="宋体" w:eastAsia="宋体"/>
          <w:kern w:val="2"/>
          <w:sz w:val="28"/>
          <w:szCs w:val="28"/>
        </w:rPr>
        <w:t>号）的规定和要求，本次重点绩效评价采用定量与定性结合、审阅自评相结合，对收集的相关基础资料、各种技术经济数据，在归集、整理、分析的基础上，主要运用资料审阅法、分析比较法、问卷调查法等方法，以系统、科学地反映评价部门综合绩效情况。</w:t>
      </w:r>
    </w:p>
    <w:p>
      <w:pPr>
        <w:ind w:firstLine="560" w:firstLineChars="200"/>
        <w:rPr>
          <w:rFonts w:ascii="宋体" w:hAnsi="宋体" w:eastAsia="宋体"/>
          <w:kern w:val="2"/>
          <w:sz w:val="28"/>
          <w:szCs w:val="28"/>
        </w:rPr>
      </w:pPr>
      <w:r>
        <w:rPr>
          <w:rFonts w:hint="eastAsia" w:ascii="宋体" w:hAnsi="宋体"/>
          <w:kern w:val="2"/>
          <w:sz w:val="28"/>
          <w:szCs w:val="28"/>
          <w:lang w:eastAsia="zh-CN"/>
        </w:rPr>
        <w:t>（</w:t>
      </w:r>
      <w:r>
        <w:rPr>
          <w:rFonts w:hint="eastAsia" w:ascii="宋体" w:hAnsi="宋体"/>
          <w:kern w:val="2"/>
          <w:sz w:val="28"/>
          <w:szCs w:val="28"/>
          <w:lang w:val="en-US" w:eastAsia="zh-CN"/>
        </w:rPr>
        <w:t>1</w:t>
      </w:r>
      <w:r>
        <w:rPr>
          <w:rFonts w:hint="eastAsia" w:ascii="宋体" w:hAnsi="宋体"/>
          <w:kern w:val="2"/>
          <w:sz w:val="28"/>
          <w:szCs w:val="28"/>
          <w:lang w:eastAsia="zh-CN"/>
        </w:rPr>
        <w:t>）、</w:t>
      </w:r>
      <w:r>
        <w:rPr>
          <w:rFonts w:hint="eastAsia" w:ascii="宋体" w:hAnsi="宋体" w:eastAsia="宋体"/>
          <w:kern w:val="2"/>
          <w:sz w:val="28"/>
          <w:szCs w:val="28"/>
        </w:rPr>
        <w:t>审阅资料</w:t>
      </w:r>
    </w:p>
    <w:p>
      <w:pPr>
        <w:ind w:firstLine="560" w:firstLineChars="200"/>
        <w:rPr>
          <w:rFonts w:ascii="宋体" w:hAnsi="宋体" w:eastAsia="宋体"/>
          <w:kern w:val="2"/>
          <w:sz w:val="28"/>
          <w:szCs w:val="28"/>
        </w:rPr>
      </w:pPr>
      <w:r>
        <w:rPr>
          <w:rFonts w:hint="eastAsia" w:ascii="宋体" w:hAnsi="宋体" w:eastAsia="宋体"/>
          <w:kern w:val="2"/>
          <w:sz w:val="28"/>
          <w:szCs w:val="28"/>
        </w:rPr>
        <w:t>通过对评价单位的自评报告进行审阅，详细查阅各类评分依据材料。查阅被评价单位有关立项申报等资料，项目决策、项目管理、项目绩效等情况</w:t>
      </w:r>
      <w:r>
        <w:rPr>
          <w:rFonts w:hint="eastAsia" w:ascii="宋体" w:hAnsi="宋体"/>
          <w:kern w:val="2"/>
          <w:sz w:val="28"/>
          <w:szCs w:val="28"/>
          <w:lang w:eastAsia="zh-CN"/>
        </w:rPr>
        <w:t>，</w:t>
      </w:r>
      <w:r>
        <w:rPr>
          <w:rFonts w:hint="eastAsia" w:ascii="宋体" w:hAnsi="宋体" w:eastAsia="宋体"/>
          <w:kern w:val="2"/>
          <w:sz w:val="28"/>
          <w:szCs w:val="28"/>
        </w:rPr>
        <w:t>查阅会计凭证、会计账簿等，检查资金到位情况，资金拨付、支出情况，相关财务、预算、绩效等制度执行情况，是否存在违规现象，对预算执行情况、资金拨付执行情况、资金使用规范情况、主要项目内容完成情况进行检查。</w:t>
      </w:r>
    </w:p>
    <w:p>
      <w:pPr>
        <w:ind w:firstLine="560" w:firstLineChars="200"/>
        <w:rPr>
          <w:rFonts w:ascii="宋体" w:hAnsi="宋体" w:eastAsia="宋体"/>
          <w:kern w:val="2"/>
          <w:sz w:val="28"/>
          <w:szCs w:val="28"/>
        </w:rPr>
      </w:pPr>
      <w:r>
        <w:rPr>
          <w:rFonts w:hint="eastAsia" w:ascii="宋体" w:hAnsi="宋体"/>
          <w:kern w:val="2"/>
          <w:sz w:val="28"/>
          <w:szCs w:val="28"/>
          <w:lang w:eastAsia="zh-CN"/>
        </w:rPr>
        <w:t>（</w:t>
      </w:r>
      <w:r>
        <w:rPr>
          <w:rFonts w:hint="eastAsia" w:ascii="宋体" w:hAnsi="宋体"/>
          <w:kern w:val="2"/>
          <w:sz w:val="28"/>
          <w:szCs w:val="28"/>
          <w:lang w:val="en-US" w:eastAsia="zh-CN"/>
        </w:rPr>
        <w:t>2</w:t>
      </w:r>
      <w:r>
        <w:rPr>
          <w:rFonts w:hint="eastAsia" w:ascii="宋体" w:hAnsi="宋体"/>
          <w:kern w:val="2"/>
          <w:sz w:val="28"/>
          <w:szCs w:val="28"/>
          <w:lang w:eastAsia="zh-CN"/>
        </w:rPr>
        <w:t>）、</w:t>
      </w:r>
      <w:r>
        <w:rPr>
          <w:rFonts w:hint="eastAsia" w:ascii="宋体" w:hAnsi="宋体" w:eastAsia="宋体"/>
          <w:kern w:val="2"/>
          <w:sz w:val="28"/>
          <w:szCs w:val="28"/>
        </w:rPr>
        <w:t>分析比较法</w:t>
      </w:r>
    </w:p>
    <w:p>
      <w:pPr>
        <w:ind w:firstLine="560" w:firstLineChars="200"/>
        <w:rPr>
          <w:rFonts w:ascii="宋体" w:hAnsi="宋体" w:eastAsia="宋体"/>
          <w:kern w:val="2"/>
          <w:sz w:val="28"/>
          <w:szCs w:val="28"/>
        </w:rPr>
      </w:pPr>
      <w:r>
        <w:rPr>
          <w:rFonts w:hint="eastAsia" w:ascii="宋体" w:hAnsi="宋体" w:eastAsia="宋体"/>
          <w:kern w:val="2"/>
          <w:sz w:val="28"/>
          <w:szCs w:val="28"/>
        </w:rPr>
        <w:t>依据下达的项目支出绩效目标，对照项目绩效目标实际完成内容，评价实际实施内容与批复预算的完成情况。依据相关政策文件，评价项目绩效目标是否按照单位管理办法、制度等管理文件执行。依据项目绩效目标资金计划文件和凭证，评价预算资金下拨、到位及使用情况。将项目绩效目标与实施结果对比分析，判断项目绩效目标的完成情况。将项目绩效目标的预期效益与实施效果进行综合分析对比。结合已开展的问卷调查工作，评价项目绩效目标完成情况。</w:t>
      </w:r>
    </w:p>
    <w:p>
      <w:pPr>
        <w:numPr>
          <w:ilvl w:val="0"/>
          <w:numId w:val="0"/>
        </w:numPr>
        <w:ind w:left="630" w:leftChars="0"/>
        <w:rPr>
          <w:rFonts w:hint="eastAsia" w:ascii="宋体" w:hAnsi="宋体" w:eastAsia="宋体"/>
          <w:kern w:val="2"/>
          <w:sz w:val="28"/>
          <w:szCs w:val="28"/>
        </w:rPr>
      </w:pPr>
      <w:r>
        <w:rPr>
          <w:rFonts w:hint="eastAsia" w:ascii="宋体" w:hAnsi="宋体"/>
          <w:kern w:val="2"/>
          <w:sz w:val="28"/>
          <w:szCs w:val="28"/>
          <w:lang w:eastAsia="zh-CN"/>
        </w:rPr>
        <w:t>（</w:t>
      </w:r>
      <w:r>
        <w:rPr>
          <w:rFonts w:hint="eastAsia" w:ascii="宋体" w:hAnsi="宋体"/>
          <w:kern w:val="2"/>
          <w:sz w:val="28"/>
          <w:szCs w:val="28"/>
          <w:lang w:val="en-US" w:eastAsia="zh-CN"/>
        </w:rPr>
        <w:t>3</w:t>
      </w:r>
      <w:r>
        <w:rPr>
          <w:rFonts w:hint="eastAsia" w:ascii="宋体" w:hAnsi="宋体"/>
          <w:kern w:val="2"/>
          <w:sz w:val="28"/>
          <w:szCs w:val="28"/>
          <w:lang w:eastAsia="zh-CN"/>
        </w:rPr>
        <w:t>）、</w:t>
      </w:r>
      <w:r>
        <w:rPr>
          <w:rFonts w:hint="eastAsia" w:ascii="宋体" w:hAnsi="宋体" w:eastAsia="宋体"/>
          <w:kern w:val="2"/>
          <w:sz w:val="28"/>
          <w:szCs w:val="28"/>
        </w:rPr>
        <w:t>问卷调查法</w:t>
      </w:r>
    </w:p>
    <w:p>
      <w:pPr>
        <w:numPr>
          <w:ilvl w:val="0"/>
          <w:numId w:val="0"/>
        </w:numPr>
        <w:ind w:firstLine="560" w:firstLineChars="200"/>
        <w:rPr>
          <w:rFonts w:ascii="宋体" w:hAnsi="宋体" w:eastAsia="宋体"/>
          <w:kern w:val="2"/>
          <w:sz w:val="28"/>
          <w:szCs w:val="28"/>
        </w:rPr>
      </w:pPr>
      <w:r>
        <w:rPr>
          <w:rFonts w:hint="eastAsia" w:ascii="宋体" w:hAnsi="宋体" w:eastAsia="宋体"/>
          <w:kern w:val="2"/>
          <w:sz w:val="28"/>
          <w:szCs w:val="28"/>
        </w:rPr>
        <w:t>通过公众问卷或直接对公众进行抽样调查等方式对财政支出效果进行评判，以评价绩效目标实现程度。适用于无法直接用指标计量其效益的支出，通过选择对应社会公众开展问卷调查从而评判财政支出效益。</w:t>
      </w:r>
    </w:p>
    <w:p>
      <w:pPr>
        <w:numPr>
          <w:ilvl w:val="0"/>
          <w:numId w:val="0"/>
        </w:numPr>
        <w:ind w:firstLine="560" w:firstLineChars="200"/>
        <w:rPr>
          <w:rFonts w:hint="eastAsia" w:ascii="宋体" w:hAnsi="宋体" w:eastAsia="宋体"/>
          <w:color w:val="auto"/>
          <w:kern w:val="2"/>
          <w:sz w:val="28"/>
          <w:szCs w:val="28"/>
          <w:lang w:val="en-US" w:eastAsia="zh-CN"/>
        </w:rPr>
      </w:pPr>
    </w:p>
    <w:p>
      <w:pPr>
        <w:pStyle w:val="6"/>
        <w:bidi w:val="0"/>
        <w:rPr>
          <w:rFonts w:hint="eastAsia"/>
          <w:lang w:val="en-US" w:eastAsia="zh-CN"/>
        </w:rPr>
      </w:pPr>
      <w:r>
        <w:rPr>
          <w:rFonts w:hint="eastAsia"/>
          <w:lang w:val="en-US" w:eastAsia="zh-CN"/>
        </w:rPr>
        <w:t>（四）绩效评价原则、评价方法</w:t>
      </w:r>
    </w:p>
    <w:p>
      <w:pPr>
        <w:ind w:firstLine="560" w:firstLineChars="200"/>
        <w:rPr>
          <w:rFonts w:hint="eastAsia" w:ascii="宋体" w:hAnsi="宋体" w:eastAsia="宋体"/>
          <w:b w:val="0"/>
          <w:bCs w:val="0"/>
          <w:kern w:val="2"/>
          <w:sz w:val="28"/>
          <w:szCs w:val="28"/>
          <w:lang w:val="en-US" w:eastAsia="zh-CN"/>
        </w:rPr>
      </w:pPr>
      <w:r>
        <w:rPr>
          <w:rFonts w:hint="eastAsia" w:ascii="宋体" w:hAnsi="宋体" w:eastAsia="宋体"/>
          <w:b w:val="0"/>
          <w:bCs w:val="0"/>
          <w:kern w:val="2"/>
          <w:sz w:val="28"/>
          <w:szCs w:val="28"/>
          <w:lang w:val="en-US" w:eastAsia="zh-CN"/>
        </w:rPr>
        <w:t>1.绩效评价原则。</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560" w:firstLineChars="200"/>
        <w:jc w:val="left"/>
        <w:rPr>
          <w:rFonts w:hint="eastAsia" w:ascii="宋体" w:hAnsi="宋体" w:eastAsia="宋体" w:cs="Times New Roman"/>
          <w:i w:val="0"/>
          <w:iCs w:val="0"/>
          <w:caps w:val="0"/>
          <w:color w:val="auto"/>
          <w:spacing w:val="0"/>
          <w:kern w:val="2"/>
          <w:sz w:val="28"/>
          <w:szCs w:val="28"/>
          <w:lang w:bidi="ar-SA"/>
        </w:rPr>
      </w:pPr>
      <w:r>
        <w:rPr>
          <w:rFonts w:hint="eastAsia" w:ascii="宋体" w:hAnsi="宋体" w:eastAsia="宋体" w:cs="Times New Roman"/>
          <w:i w:val="0"/>
          <w:iCs w:val="0"/>
          <w:caps w:val="0"/>
          <w:color w:val="auto"/>
          <w:spacing w:val="0"/>
          <w:kern w:val="2"/>
          <w:sz w:val="28"/>
          <w:szCs w:val="28"/>
          <w:shd w:val="clear" w:color="auto" w:fill="auto"/>
          <w:lang w:bidi="ar-SA"/>
        </w:rPr>
        <w:t>(1)客观、科学、公正的原则;</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560" w:firstLineChars="200"/>
        <w:jc w:val="left"/>
        <w:rPr>
          <w:rFonts w:hint="eastAsia" w:ascii="宋体" w:hAnsi="宋体" w:eastAsia="宋体" w:cs="Times New Roman"/>
          <w:i w:val="0"/>
          <w:iCs w:val="0"/>
          <w:caps w:val="0"/>
          <w:color w:val="auto"/>
          <w:spacing w:val="0"/>
          <w:kern w:val="2"/>
          <w:sz w:val="28"/>
          <w:szCs w:val="28"/>
          <w:lang w:bidi="ar-SA"/>
        </w:rPr>
      </w:pPr>
      <w:r>
        <w:rPr>
          <w:rFonts w:hint="eastAsia" w:ascii="宋体" w:hAnsi="宋体" w:eastAsia="宋体" w:cs="Times New Roman"/>
          <w:i w:val="0"/>
          <w:iCs w:val="0"/>
          <w:caps w:val="0"/>
          <w:color w:val="auto"/>
          <w:spacing w:val="0"/>
          <w:kern w:val="2"/>
          <w:sz w:val="28"/>
          <w:szCs w:val="28"/>
          <w:shd w:val="clear" w:color="auto" w:fill="auto"/>
          <w:lang w:bidi="ar-SA"/>
        </w:rPr>
        <w:t>(2)综合绩效评价的原则;</w:t>
      </w:r>
    </w:p>
    <w:p>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05" w:beforeAutospacing="0" w:after="105" w:afterAutospacing="0" w:line="30" w:lineRule="atLeast"/>
        <w:ind w:left="0" w:right="0" w:firstLine="560" w:firstLineChars="200"/>
        <w:jc w:val="left"/>
        <w:rPr>
          <w:rFonts w:hint="eastAsia" w:ascii="宋体" w:hAnsi="宋体" w:eastAsia="宋体" w:cs="Times New Roman"/>
          <w:i w:val="0"/>
          <w:iCs w:val="0"/>
          <w:caps w:val="0"/>
          <w:color w:val="auto"/>
          <w:spacing w:val="0"/>
          <w:kern w:val="2"/>
          <w:sz w:val="28"/>
          <w:szCs w:val="28"/>
          <w:lang w:bidi="ar-SA"/>
        </w:rPr>
      </w:pPr>
      <w:r>
        <w:rPr>
          <w:rFonts w:hint="eastAsia" w:ascii="宋体" w:hAnsi="宋体" w:eastAsia="宋体" w:cs="Times New Roman"/>
          <w:i w:val="0"/>
          <w:iCs w:val="0"/>
          <w:caps w:val="0"/>
          <w:color w:val="auto"/>
          <w:spacing w:val="0"/>
          <w:kern w:val="2"/>
          <w:sz w:val="28"/>
          <w:szCs w:val="28"/>
          <w:shd w:val="clear" w:color="auto" w:fill="auto"/>
          <w:lang w:bidi="ar-SA"/>
        </w:rPr>
        <w:t>(3)定量分析与定性分析的原则;</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宋体" w:hAnsi="宋体" w:eastAsia="宋体"/>
          <w:kern w:val="2"/>
          <w:sz w:val="28"/>
          <w:szCs w:val="28"/>
          <w:lang w:val="en-US" w:eastAsia="zh-CN"/>
        </w:rPr>
      </w:pPr>
      <w:r>
        <w:rPr>
          <w:rFonts w:hint="eastAsia" w:ascii="宋体" w:hAnsi="宋体"/>
          <w:kern w:val="2"/>
          <w:sz w:val="28"/>
          <w:szCs w:val="28"/>
          <w:lang w:val="en-US" w:eastAsia="zh-CN"/>
        </w:rPr>
        <w:t>2.</w:t>
      </w:r>
      <w:r>
        <w:rPr>
          <w:rFonts w:hint="eastAsia" w:ascii="宋体" w:hAnsi="宋体" w:eastAsia="宋体"/>
          <w:kern w:val="2"/>
          <w:sz w:val="28"/>
          <w:szCs w:val="28"/>
          <w:lang w:val="en-US" w:eastAsia="zh-CN"/>
        </w:rPr>
        <w:t>绩效评价方法。</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自评,群众满意度调查。设定资金执行率、产出指标、效益指标和满意度指标4个一级指标,每个指标下设二级指标和三级指标,并设定每一个指标的评分标准,经项目处室自评打分,再由绩效评价小组进行内部考核评分,最后形成绩效考核结果。</w:t>
      </w:r>
    </w:p>
    <w:p>
      <w:pPr>
        <w:ind w:firstLine="480" w:firstLineChars="200"/>
        <w:rPr>
          <w:rFonts w:hint="eastAsia" w:ascii="宋体" w:hAnsi="宋体" w:eastAsia="宋体"/>
          <w:kern w:val="2"/>
          <w:sz w:val="28"/>
          <w:szCs w:val="28"/>
          <w:lang w:val="en-US" w:eastAsia="zh-CN"/>
        </w:rPr>
      </w:pPr>
      <w:r>
        <w:rPr>
          <w:rFonts w:ascii="微软雅黑" w:hAnsi="微软雅黑" w:eastAsia="微软雅黑" w:cs="微软雅黑"/>
          <w:b/>
          <w:bCs/>
          <w:i w:val="0"/>
          <w:iCs w:val="0"/>
          <w:caps w:val="0"/>
          <w:color w:val="333333"/>
          <w:spacing w:val="0"/>
          <w:sz w:val="24"/>
          <w:szCs w:val="24"/>
          <w:shd w:val="clear" w:color="auto" w:fill="FFFFFF"/>
        </w:rPr>
        <w:t>评价标准</w:t>
      </w:r>
      <w:r>
        <w:rPr>
          <w:rFonts w:hint="eastAsia" w:ascii="微软雅黑" w:hAnsi="微软雅黑" w:eastAsia="微软雅黑" w:cs="微软雅黑"/>
          <w:i w:val="0"/>
          <w:iCs w:val="0"/>
          <w:caps w:val="0"/>
          <w:color w:val="333333"/>
          <w:spacing w:val="0"/>
          <w:sz w:val="24"/>
          <w:szCs w:val="24"/>
          <w:shd w:val="clear" w:color="auto" w:fill="FFFFFF"/>
        </w:rPr>
        <w:t>:见下表</w:t>
      </w:r>
    </w:p>
    <w:tbl>
      <w:tblPr>
        <w:tblW w:w="8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080"/>
        <w:gridCol w:w="1080"/>
        <w:gridCol w:w="1080"/>
        <w:gridCol w:w="1080"/>
        <w:gridCol w:w="1080"/>
        <w:gridCol w:w="1080"/>
        <w:gridCol w:w="1080"/>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3240" w:type="dxa"/>
            <w:gridSpan w:val="3"/>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绩效指标</w:t>
            </w:r>
          </w:p>
        </w:tc>
        <w:tc>
          <w:tcPr>
            <w:tcW w:w="1080" w:type="dxa"/>
            <w:tcBorders>
              <w:top w:val="single" w:color="000000" w:sz="4" w:space="0"/>
              <w:left w:val="nil"/>
              <w:bottom w:val="single" w:color="000000" w:sz="4" w:space="0"/>
              <w:right w:val="nil"/>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 xml:space="preserve">年度指标值 </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实际完成值</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分值</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得分</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偏差原因分析及改进措施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600" w:hRule="atLeast"/>
        </w:trPr>
        <w:tc>
          <w:tcPr>
            <w:tcW w:w="1080" w:type="dxa"/>
            <w:tcBorders>
              <w:top w:val="single" w:color="000000" w:sz="4" w:space="0"/>
              <w:left w:val="single" w:color="000000" w:sz="4" w:space="0"/>
              <w:bottom w:val="single" w:color="000000" w:sz="4" w:space="0"/>
              <w:right w:val="nil"/>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一级指标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二级指标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三级指标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指标值</w:t>
            </w: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产出指标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数量指标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项目规划建设数量</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以批复的项目设计规划建设内容和规模为准</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质量指标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安全生产情况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项目实施中安全生产事故的发生情况</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无安全事故发生</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工程验收规范性</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项目竣工验收资料完整、程序合规</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竣工验收资料完整、程序合规</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项目建设验收合格率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9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时效指标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项目完成时间</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以项目设计规划时限为准</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总工期11个月</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因为开工时处于疫情刚放开的时候，且施工地点仅能晚上施工所以比预计工期久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85"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成本指标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成本节约率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＜概算金额</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＜概算金额</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预算编制科学性</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预算编制科学合理</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4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效益指标</w:t>
            </w:r>
          </w:p>
        </w:tc>
        <w:tc>
          <w:tcPr>
            <w:tcW w:w="1080" w:type="dxa"/>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社会效益</w:t>
            </w:r>
            <w:r>
              <w:rPr>
                <w:rFonts w:hint="eastAsia" w:ascii="宋体" w:hAnsi="宋体" w:eastAsia="宋体" w:cs="宋体"/>
                <w:b/>
                <w:bCs/>
                <w:i w:val="0"/>
                <w:iCs w:val="0"/>
                <w:color w:val="0070C0"/>
                <w:kern w:val="0"/>
                <w:sz w:val="20"/>
                <w:szCs w:val="20"/>
                <w:u w:val="none"/>
                <w:bdr w:val="none" w:color="auto" w:sz="0" w:space="0"/>
                <w:lang w:val="en-US" w:eastAsia="zh-CN" w:bidi="ar"/>
              </w:rPr>
              <w:br w:type="textWrapping"/>
            </w:r>
            <w:r>
              <w:rPr>
                <w:rFonts w:hint="eastAsia" w:ascii="宋体" w:hAnsi="宋体" w:eastAsia="宋体" w:cs="宋体"/>
                <w:b/>
                <w:bCs/>
                <w:i w:val="0"/>
                <w:iCs w:val="0"/>
                <w:color w:val="0070C0"/>
                <w:kern w:val="0"/>
                <w:sz w:val="20"/>
                <w:szCs w:val="20"/>
                <w:u w:val="none"/>
                <w:bdr w:val="none" w:color="auto" w:sz="0" w:space="0"/>
                <w:lang w:val="en-US" w:eastAsia="zh-CN" w:bidi="ar"/>
              </w:rPr>
              <w:t>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代建项目建设成效</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6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提升五华区管理水平和公共服务水平</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降低社会治理成本</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可持续影响</w:t>
            </w:r>
            <w:r>
              <w:rPr>
                <w:rFonts w:hint="eastAsia" w:ascii="宋体" w:hAnsi="宋体" w:eastAsia="宋体" w:cs="宋体"/>
                <w:b/>
                <w:bCs/>
                <w:i w:val="0"/>
                <w:iCs w:val="0"/>
                <w:color w:val="0070C0"/>
                <w:kern w:val="0"/>
                <w:sz w:val="20"/>
                <w:szCs w:val="20"/>
                <w:u w:val="none"/>
                <w:bdr w:val="none" w:color="auto" w:sz="0" w:space="0"/>
                <w:lang w:val="en-US" w:eastAsia="zh-CN" w:bidi="ar"/>
              </w:rPr>
              <w:br w:type="textWrapping"/>
            </w:r>
            <w:r>
              <w:rPr>
                <w:rFonts w:hint="eastAsia" w:ascii="宋体" w:hAnsi="宋体" w:eastAsia="宋体" w:cs="宋体"/>
                <w:b/>
                <w:bCs/>
                <w:i w:val="0"/>
                <w:iCs w:val="0"/>
                <w:color w:val="0070C0"/>
                <w:kern w:val="0"/>
                <w:sz w:val="20"/>
                <w:szCs w:val="20"/>
                <w:u w:val="none"/>
                <w:bdr w:val="none" w:color="auto" w:sz="0" w:space="0"/>
                <w:lang w:val="en-US" w:eastAsia="zh-CN" w:bidi="ar"/>
              </w:rPr>
              <w:t>指标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项目质量维护可持续情况</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效果良好</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1080" w:type="dxa"/>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执行率</w:t>
            </w:r>
          </w:p>
        </w:tc>
        <w:tc>
          <w:tcPr>
            <w:tcW w:w="1080" w:type="dxa"/>
            <w:tcBorders>
              <w:top w:val="single" w:color="000000" w:sz="4" w:space="0"/>
              <w:left w:val="single" w:color="000000" w:sz="4" w:space="0"/>
              <w:bottom w:val="nil"/>
              <w:right w:val="single" w:color="000000" w:sz="4" w:space="0"/>
            </w:tcBorders>
            <w:shd w:val="clear"/>
            <w:vAlign w:val="center"/>
          </w:tcPr>
          <w:p>
            <w:pPr>
              <w:jc w:val="center"/>
              <w:rPr>
                <w:rFonts w:hint="eastAsia" w:ascii="宋体" w:hAnsi="宋体" w:eastAsia="宋体" w:cs="宋体"/>
                <w:b/>
                <w:bCs/>
                <w:i w:val="0"/>
                <w:iCs w:val="0"/>
                <w:color w:val="0070C0"/>
                <w:sz w:val="20"/>
                <w:szCs w:val="20"/>
                <w:u w:val="none"/>
              </w:rPr>
            </w:pP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全年预算执行率</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300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202</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6.7</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080" w:type="dxa"/>
            <w:tcBorders>
              <w:top w:val="single" w:color="000000" w:sz="4" w:space="0"/>
              <w:left w:val="single" w:color="000000" w:sz="4" w:space="0"/>
              <w:bottom w:val="nil"/>
              <w:right w:val="nil"/>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满意度指标</w:t>
            </w:r>
          </w:p>
        </w:tc>
        <w:tc>
          <w:tcPr>
            <w:tcW w:w="1080" w:type="dxa"/>
            <w:tcBorders>
              <w:top w:val="single" w:color="000000" w:sz="4" w:space="0"/>
              <w:left w:val="single" w:color="000000" w:sz="4" w:space="0"/>
              <w:bottom w:val="nil"/>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b/>
                <w:bCs/>
                <w:i w:val="0"/>
                <w:iCs w:val="0"/>
                <w:color w:val="0070C0"/>
                <w:sz w:val="20"/>
                <w:szCs w:val="20"/>
                <w:u w:val="none"/>
              </w:rPr>
            </w:pPr>
            <w:r>
              <w:rPr>
                <w:rFonts w:hint="eastAsia" w:ascii="宋体" w:hAnsi="宋体" w:eastAsia="宋体" w:cs="宋体"/>
                <w:b/>
                <w:bCs/>
                <w:i w:val="0"/>
                <w:iCs w:val="0"/>
                <w:color w:val="0070C0"/>
                <w:kern w:val="0"/>
                <w:sz w:val="20"/>
                <w:szCs w:val="20"/>
                <w:u w:val="none"/>
                <w:bdr w:val="none" w:color="auto" w:sz="0" w:space="0"/>
                <w:lang w:val="en-US" w:eastAsia="zh-CN" w:bidi="ar"/>
              </w:rPr>
              <w:t>服务对象满意度指标等</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服务对象满意度</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95%</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nil"/>
              <w:left w:val="single" w:color="000000" w:sz="4" w:space="0"/>
              <w:bottom w:val="single" w:color="000000" w:sz="4" w:space="0"/>
              <w:right w:val="single" w:color="000000" w:sz="4" w:space="0"/>
            </w:tcBorders>
            <w:shd w:val="clear" w:color="auto" w:fill="FFFFFF"/>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w:t>
            </w:r>
          </w:p>
        </w:tc>
        <w:tc>
          <w:tcPr>
            <w:tcW w:w="1080" w:type="dxa"/>
            <w:tcBorders>
              <w:top w:val="single" w:color="000000" w:sz="4" w:space="0"/>
              <w:left w:val="single" w:color="000000" w:sz="4" w:space="0"/>
              <w:bottom w:val="single" w:color="000000" w:sz="4" w:space="0"/>
              <w:right w:val="single" w:color="000000" w:sz="4" w:space="0"/>
            </w:tcBorders>
            <w:shd w:val="clear"/>
            <w:vAlign w:val="top"/>
          </w:tcPr>
          <w:p>
            <w:pPr>
              <w:jc w:val="left"/>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3240" w:type="dxa"/>
            <w:gridSpan w:val="3"/>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其他需要说明事项</w:t>
            </w:r>
          </w:p>
        </w:tc>
        <w:tc>
          <w:tcPr>
            <w:tcW w:w="5400" w:type="dxa"/>
            <w:gridSpan w:val="5"/>
            <w:tcBorders>
              <w:top w:val="single" w:color="000000" w:sz="4" w:space="0"/>
              <w:left w:val="single" w:color="000000" w:sz="4" w:space="0"/>
              <w:bottom w:val="single" w:color="000000" w:sz="4" w:space="0"/>
              <w:right w:val="single" w:color="000000" w:sz="4" w:space="0"/>
            </w:tcBorders>
            <w:shd w:val="clear"/>
            <w:vAlign w:val="bottom"/>
          </w:tcPr>
          <w:p>
            <w:pPr>
              <w:jc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400" w:type="dxa"/>
            <w:gridSpan w:val="5"/>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bdr w:val="none" w:color="auto" w:sz="0" w:space="0"/>
                <w:lang w:val="en-US" w:eastAsia="zh-CN" w:bidi="ar"/>
              </w:rPr>
              <w:t>92.7</w:t>
            </w:r>
          </w:p>
        </w:tc>
        <w:tc>
          <w:tcPr>
            <w:tcW w:w="1080" w:type="dxa"/>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none" w:color="auto" w:sz="0" w:space="0"/>
                <w:lang w:val="en-US" w:eastAsia="zh-CN" w:bidi="ar"/>
              </w:rPr>
              <w:t>优秀</w:t>
            </w:r>
          </w:p>
        </w:tc>
      </w:tr>
    </w:tbl>
    <w:p>
      <w:pPr>
        <w:ind w:firstLine="560" w:firstLineChars="200"/>
        <w:rPr>
          <w:rFonts w:hint="eastAsia" w:ascii="宋体" w:hAnsi="宋体" w:eastAsia="宋体"/>
          <w:kern w:val="2"/>
          <w:sz w:val="28"/>
          <w:szCs w:val="28"/>
          <w:lang w:val="en-US" w:eastAsia="zh-CN"/>
        </w:rPr>
      </w:pPr>
      <w:bookmarkStart w:id="150" w:name="_GoBack"/>
      <w:bookmarkEnd w:id="150"/>
    </w:p>
    <w:p>
      <w:pPr>
        <w:ind w:firstLine="560" w:firstLineChars="200"/>
        <w:rPr>
          <w:rFonts w:hint="eastAsia" w:ascii="宋体" w:hAnsi="宋体" w:eastAsia="宋体"/>
          <w:kern w:val="2"/>
          <w:sz w:val="28"/>
          <w:szCs w:val="28"/>
          <w:lang w:val="en-US" w:eastAsia="zh-CN"/>
        </w:rPr>
      </w:pPr>
    </w:p>
    <w:p>
      <w:pPr>
        <w:pStyle w:val="6"/>
        <w:bidi w:val="0"/>
        <w:rPr>
          <w:rFonts w:hint="eastAsia"/>
          <w:lang w:val="en-US" w:eastAsia="zh-CN"/>
        </w:rPr>
      </w:pPr>
      <w:r>
        <w:rPr>
          <w:rFonts w:hint="eastAsia"/>
          <w:lang w:val="en-US" w:eastAsia="zh-CN"/>
        </w:rPr>
        <w:t>（四）绩效评价实施过程</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 xml:space="preserve">评价小组首先着重资料的搜集。将所有文件资料汇集整理、调研的基础上，完成了项目绩效评价工作方案，明确了评价的目的、方法、评价的原则、指标体系、评价标准等，项目组严格按照工作方案、相关文件的解读、数据采集、数据分析和报告撰写等环节，顺利完成了绩效评价报告工作。具体实施过程如下： </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 xml:space="preserve">1.数据填报和采集。 </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202</w:t>
      </w:r>
      <w:r>
        <w:rPr>
          <w:rFonts w:hint="eastAsia" w:ascii="宋体" w:hAnsi="宋体"/>
          <w:kern w:val="2"/>
          <w:sz w:val="28"/>
          <w:szCs w:val="28"/>
          <w:lang w:val="en-US" w:eastAsia="zh-CN"/>
        </w:rPr>
        <w:t>4</w:t>
      </w:r>
      <w:r>
        <w:rPr>
          <w:rFonts w:hint="eastAsia" w:ascii="宋体" w:hAnsi="宋体" w:eastAsia="宋体"/>
          <w:kern w:val="2"/>
          <w:sz w:val="28"/>
          <w:szCs w:val="28"/>
          <w:lang w:val="en-US" w:eastAsia="zh-CN"/>
        </w:rPr>
        <w:t xml:space="preserve">年评价小组对相关数据进行收集、核查、汇总。 </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 xml:space="preserve">2.社会调查 </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 xml:space="preserve">项目执行部门进行初步准备后，评价小组先后深入项目执行部门以面访、座谈、查阅相关资料、核查财务凭证等多种形式采集信息，并多次就相关资料的补充、完善进行沟通。 </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 xml:space="preserve">3.数据分析和报告形成阶段 </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项目组根据绩效评价的原则和规范，对采集的数据进行甄别、分析和评分，并提炼结论撰写报告。</w:t>
      </w:r>
    </w:p>
    <w:p>
      <w:pPr>
        <w:pStyle w:val="6"/>
        <w:numPr>
          <w:ilvl w:val="0"/>
          <w:numId w:val="3"/>
        </w:numPr>
        <w:bidi w:val="0"/>
        <w:rPr>
          <w:rFonts w:hint="eastAsia"/>
          <w:lang w:val="en-US" w:eastAsia="zh-CN"/>
        </w:rPr>
      </w:pPr>
      <w:r>
        <w:rPr>
          <w:rFonts w:hint="eastAsia"/>
          <w:lang w:val="en-US" w:eastAsia="zh-CN"/>
        </w:rPr>
        <w:t>本次绩效评价的局限性。</w:t>
      </w:r>
    </w:p>
    <w:p>
      <w:pPr>
        <w:ind w:firstLine="560" w:firstLineChars="200"/>
        <w:rPr>
          <w:rFonts w:hint="eastAsia" w:ascii="宋体" w:hAnsi="宋体" w:eastAsia="宋体"/>
          <w:kern w:val="2"/>
          <w:sz w:val="28"/>
          <w:szCs w:val="28"/>
          <w:lang w:val="en-US" w:eastAsia="zh-CN"/>
        </w:rPr>
      </w:pPr>
      <w:r>
        <w:rPr>
          <w:rFonts w:hint="eastAsia" w:ascii="宋体" w:hAnsi="宋体" w:eastAsia="宋体"/>
          <w:kern w:val="2"/>
          <w:sz w:val="28"/>
          <w:szCs w:val="28"/>
          <w:lang w:val="en-US" w:eastAsia="zh-CN"/>
        </w:rPr>
        <w:t>本次项目组织评价小组进行评价，由于时间紧迫，只能在相关部门和单位提供的现有资料的前提下，尽可能地做出可靠的评价结论。</w:t>
      </w:r>
    </w:p>
    <w:p>
      <w:pPr>
        <w:ind w:firstLine="560" w:firstLineChars="200"/>
        <w:rPr>
          <w:rFonts w:hint="eastAsia" w:ascii="宋体" w:hAnsi="宋体" w:eastAsia="宋体"/>
          <w:kern w:val="2"/>
          <w:sz w:val="28"/>
          <w:szCs w:val="28"/>
          <w:lang w:val="en-US" w:eastAsia="zh-CN"/>
        </w:rPr>
      </w:pPr>
    </w:p>
    <w:p>
      <w:pPr>
        <w:pStyle w:val="5"/>
        <w:bidi w:val="0"/>
        <w:outlineLvl w:val="0"/>
        <w:rPr>
          <w:rFonts w:hint="eastAsia"/>
          <w:lang w:val="en-US" w:eastAsia="zh-CN"/>
        </w:rPr>
      </w:pPr>
      <w:bookmarkStart w:id="93" w:name="_Toc10211"/>
      <w:bookmarkStart w:id="94" w:name="_Toc8277"/>
      <w:bookmarkStart w:id="95" w:name="_Toc5457"/>
      <w:bookmarkStart w:id="96" w:name="_Toc13286"/>
      <w:bookmarkStart w:id="97" w:name="_Toc6615"/>
      <w:r>
        <w:rPr>
          <w:rFonts w:hint="eastAsia"/>
          <w:lang w:val="en-US" w:eastAsia="zh-CN"/>
        </w:rPr>
        <w:t>三、评价结论和绩效分析</w:t>
      </w:r>
      <w:bookmarkEnd w:id="93"/>
      <w:bookmarkEnd w:id="94"/>
      <w:bookmarkEnd w:id="95"/>
      <w:bookmarkEnd w:id="96"/>
      <w:bookmarkEnd w:id="97"/>
    </w:p>
    <w:p>
      <w:pPr>
        <w:pStyle w:val="6"/>
        <w:bidi w:val="0"/>
        <w:rPr>
          <w:rFonts w:hint="eastAsia"/>
          <w:lang w:val="en-US" w:eastAsia="zh-CN"/>
        </w:rPr>
      </w:pPr>
      <w:r>
        <w:rPr>
          <w:rFonts w:hint="eastAsia"/>
          <w:lang w:val="en-US" w:eastAsia="zh-CN"/>
        </w:rPr>
        <w:t>（一）评价结论。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eastAsia="宋体" w:cs="宋体"/>
          <w:sz w:val="28"/>
          <w:szCs w:val="28"/>
        </w:rPr>
      </w:pPr>
      <w:r>
        <w:rPr>
          <w:rFonts w:hint="eastAsia" w:ascii="黑体" w:hAnsi="黑体" w:eastAsia="黑体"/>
          <w:szCs w:val="32"/>
          <w:lang w:val="en-US" w:eastAsia="zh-CN"/>
        </w:rPr>
        <w:t xml:space="preserve"> </w:t>
      </w:r>
      <w:r>
        <w:rPr>
          <w:rFonts w:hint="eastAsia" w:ascii="宋体" w:hAnsi="宋体" w:eastAsia="宋体" w:cs="宋体"/>
          <w:sz w:val="28"/>
          <w:szCs w:val="28"/>
        </w:rPr>
        <w:t>五华国投公司国有资本金注入专项资金项目绩效评价得分</w:t>
      </w:r>
      <w:r>
        <w:rPr>
          <w:rFonts w:hint="eastAsia" w:ascii="宋体" w:hAnsi="宋体" w:cs="宋体"/>
          <w:sz w:val="28"/>
          <w:szCs w:val="28"/>
          <w:lang w:val="en-US" w:eastAsia="zh-CN"/>
        </w:rPr>
        <w:t>92.7</w:t>
      </w:r>
      <w:r>
        <w:rPr>
          <w:rFonts w:hint="eastAsia" w:ascii="宋体" w:hAnsi="宋体" w:eastAsia="宋体" w:cs="宋体"/>
          <w:sz w:val="28"/>
          <w:szCs w:val="28"/>
        </w:rPr>
        <w:t>分，评价等级为“</w:t>
      </w:r>
      <w:r>
        <w:rPr>
          <w:rFonts w:hint="eastAsia" w:ascii="宋体" w:hAnsi="宋体" w:eastAsia="宋体" w:cs="宋体"/>
          <w:sz w:val="28"/>
          <w:szCs w:val="28"/>
          <w:lang w:eastAsia="zh-CN"/>
        </w:rPr>
        <w:t>优</w:t>
      </w:r>
      <w:r>
        <w:rPr>
          <w:rFonts w:hint="eastAsia" w:ascii="宋体" w:hAnsi="宋体" w:eastAsia="宋体" w:cs="宋体"/>
          <w:sz w:val="28"/>
          <w:szCs w:val="28"/>
        </w:rPr>
        <w:t>”。</w:t>
      </w:r>
    </w:p>
    <w:p>
      <w:pPr>
        <w:pStyle w:val="6"/>
        <w:bidi w:val="0"/>
        <w:rPr>
          <w:rFonts w:hint="eastAsia"/>
          <w:lang w:val="en-US" w:eastAsia="zh-CN"/>
        </w:rPr>
      </w:pPr>
      <w:r>
        <w:rPr>
          <w:rFonts w:hint="eastAsia"/>
          <w:lang w:val="en-US" w:eastAsia="zh-CN"/>
        </w:rPr>
        <w:t>（二）具体绩效分析</w:t>
      </w:r>
    </w:p>
    <w:p>
      <w:pPr>
        <w:ind w:firstLine="562" w:firstLineChars="200"/>
        <w:outlineLvl w:val="1"/>
        <w:rPr>
          <w:rFonts w:ascii="宋体" w:hAnsi="宋体" w:eastAsia="宋体" w:cs="宋体"/>
          <w:sz w:val="28"/>
          <w:szCs w:val="28"/>
        </w:rPr>
      </w:pPr>
      <w:bookmarkStart w:id="98" w:name="_Toc13945"/>
      <w:bookmarkStart w:id="99" w:name="_Toc32086"/>
      <w:bookmarkStart w:id="100" w:name="_Toc18337"/>
      <w:bookmarkStart w:id="101" w:name="_Toc31722"/>
      <w:bookmarkStart w:id="102" w:name="_Toc13337"/>
      <w:r>
        <w:rPr>
          <w:rFonts w:hint="eastAsia" w:ascii="宋体" w:hAnsi="宋体" w:eastAsia="宋体" w:cs="宋体"/>
          <w:b/>
          <w:bCs/>
          <w:sz w:val="28"/>
          <w:szCs w:val="28"/>
        </w:rPr>
        <w:t>产出</w:t>
      </w:r>
      <w:r>
        <w:rPr>
          <w:rFonts w:hint="eastAsia" w:ascii="宋体" w:hAnsi="宋体" w:cs="宋体"/>
          <w:b/>
          <w:bCs/>
          <w:sz w:val="28"/>
          <w:szCs w:val="28"/>
          <w:lang w:eastAsia="zh-CN"/>
        </w:rPr>
        <w:t>指标</w:t>
      </w:r>
      <w:r>
        <w:rPr>
          <w:rFonts w:hint="eastAsia" w:ascii="宋体" w:hAnsi="宋体" w:eastAsia="宋体" w:cs="宋体"/>
          <w:b/>
          <w:bCs/>
          <w:sz w:val="28"/>
          <w:szCs w:val="28"/>
        </w:rPr>
        <w:t>分析</w:t>
      </w:r>
      <w:bookmarkEnd w:id="98"/>
      <w:bookmarkEnd w:id="99"/>
      <w:bookmarkEnd w:id="100"/>
      <w:bookmarkEnd w:id="101"/>
      <w:bookmarkEnd w:id="102"/>
    </w:p>
    <w:p>
      <w:pPr>
        <w:ind w:firstLine="560" w:firstLineChars="200"/>
        <w:rPr>
          <w:rFonts w:hint="eastAsia" w:ascii="宋体" w:hAnsi="宋体" w:eastAsia="宋体" w:cs="宋体"/>
          <w:sz w:val="28"/>
          <w:szCs w:val="28"/>
        </w:rPr>
      </w:pPr>
      <w:r>
        <w:rPr>
          <w:rFonts w:hint="eastAsia" w:ascii="宋体" w:hAnsi="宋体" w:eastAsia="宋体" w:cs="宋体"/>
          <w:sz w:val="28"/>
          <w:szCs w:val="28"/>
        </w:rPr>
        <w:t>产出指标满分</w:t>
      </w:r>
      <w:r>
        <w:rPr>
          <w:rFonts w:hint="eastAsia" w:ascii="宋体" w:hAnsi="宋体" w:cs="宋体"/>
          <w:sz w:val="28"/>
          <w:szCs w:val="28"/>
          <w:lang w:val="en-US" w:eastAsia="zh-CN"/>
        </w:rPr>
        <w:t>40</w:t>
      </w:r>
      <w:r>
        <w:rPr>
          <w:rFonts w:hint="eastAsia" w:ascii="宋体" w:hAnsi="宋体" w:eastAsia="宋体" w:cs="宋体"/>
          <w:sz w:val="28"/>
          <w:szCs w:val="28"/>
        </w:rPr>
        <w:t>分，主要针对国投公司国有资本金注入专项资金项目整体产出情况开展评价工作，主要包括产出数量、产出质量、产出成本、产出时效</w:t>
      </w:r>
      <w:r>
        <w:rPr>
          <w:rFonts w:hint="eastAsia" w:ascii="宋体" w:hAnsi="宋体" w:cs="宋体"/>
          <w:sz w:val="28"/>
          <w:szCs w:val="28"/>
          <w:lang w:val="en-US" w:eastAsia="zh-CN"/>
        </w:rPr>
        <w:t>4</w:t>
      </w:r>
      <w:r>
        <w:rPr>
          <w:rFonts w:hint="eastAsia" w:ascii="宋体" w:hAnsi="宋体" w:eastAsia="宋体" w:cs="宋体"/>
          <w:sz w:val="28"/>
          <w:szCs w:val="28"/>
        </w:rPr>
        <w:t>个二级指标。此项综合评价得分为</w:t>
      </w:r>
      <w:r>
        <w:rPr>
          <w:rFonts w:hint="eastAsia" w:ascii="宋体" w:hAnsi="宋体" w:cs="宋体"/>
          <w:sz w:val="28"/>
          <w:szCs w:val="28"/>
          <w:lang w:val="en-US" w:eastAsia="zh-CN"/>
        </w:rPr>
        <w:t>40</w:t>
      </w:r>
      <w:r>
        <w:rPr>
          <w:rFonts w:hint="eastAsia" w:ascii="宋体" w:hAnsi="宋体" w:eastAsia="宋体" w:cs="宋体"/>
          <w:sz w:val="28"/>
          <w:szCs w:val="28"/>
        </w:rPr>
        <w:t>分，得分率</w:t>
      </w:r>
      <w:r>
        <w:rPr>
          <w:rFonts w:hint="eastAsia" w:ascii="宋体" w:hAnsi="宋体" w:cs="宋体"/>
          <w:sz w:val="28"/>
          <w:szCs w:val="28"/>
          <w:lang w:val="en-US" w:eastAsia="zh-CN"/>
        </w:rPr>
        <w:t>90</w:t>
      </w:r>
      <w:r>
        <w:rPr>
          <w:rFonts w:hint="eastAsia" w:ascii="宋体" w:hAnsi="宋体" w:eastAsia="宋体" w:cs="宋体"/>
          <w:sz w:val="28"/>
          <w:szCs w:val="28"/>
        </w:rPr>
        <w:t>%。</w:t>
      </w:r>
    </w:p>
    <w:p>
      <w:pPr>
        <w:numPr>
          <w:ilvl w:val="0"/>
          <w:numId w:val="4"/>
        </w:numPr>
        <w:ind w:firstLine="560" w:firstLineChars="200"/>
        <w:rPr>
          <w:rFonts w:hint="eastAsia" w:ascii="宋体" w:hAnsi="宋体" w:eastAsia="宋体" w:cs="宋体"/>
          <w:sz w:val="28"/>
          <w:szCs w:val="28"/>
        </w:rPr>
      </w:pPr>
      <w:r>
        <w:rPr>
          <w:rFonts w:hint="eastAsia" w:ascii="宋体" w:hAnsi="宋体" w:eastAsia="宋体" w:cs="宋体"/>
          <w:sz w:val="28"/>
          <w:szCs w:val="28"/>
        </w:rPr>
        <w:t>产出数量</w:t>
      </w:r>
    </w:p>
    <w:p>
      <w:pPr>
        <w:pStyle w:val="2"/>
        <w:numPr>
          <w:ilvl w:val="0"/>
          <w:numId w:val="0"/>
        </w:numPr>
        <w:ind w:firstLine="560" w:firstLineChars="200"/>
        <w:rPr>
          <w:rFonts w:hint="eastAsia" w:ascii="宋体" w:hAnsi="宋体" w:eastAsia="宋体" w:cs="宋体"/>
          <w:color w:val="auto"/>
          <w:kern w:val="2"/>
          <w:sz w:val="28"/>
          <w:szCs w:val="28"/>
          <w:lang w:val="en-US" w:eastAsia="zh-CN" w:bidi="ar-SA"/>
        </w:rPr>
      </w:pPr>
      <w:r>
        <w:rPr>
          <w:rFonts w:hint="eastAsia" w:ascii="宋体" w:hAnsi="宋体" w:eastAsia="宋体" w:cs="宋体"/>
          <w:color w:val="auto"/>
          <w:kern w:val="2"/>
          <w:sz w:val="28"/>
          <w:szCs w:val="28"/>
          <w:lang w:val="en-US" w:eastAsia="zh-CN" w:bidi="ar-SA"/>
        </w:rPr>
        <w:t>工程设计文件及合同要求的装饰装修、建筑给水排水、通风与空调、建筑电气等所有工程内容。目前本工程已经完成了工程设计文件及合同要求的各项内容，工程实际完成的工作量已经达到计划工作量的100%，施工过程中施工组织、质量、环境、安全管理符合各项法律、法规、标准和规范有关规定。</w:t>
      </w:r>
    </w:p>
    <w:p>
      <w:pPr>
        <w:ind w:firstLine="560" w:firstLineChars="200"/>
        <w:rPr>
          <w:rFonts w:ascii="宋体" w:hAnsi="宋体" w:eastAsia="宋体" w:cs="宋体"/>
          <w:sz w:val="28"/>
          <w:szCs w:val="28"/>
        </w:rPr>
      </w:pPr>
      <w:r>
        <w:rPr>
          <w:rFonts w:hint="eastAsia" w:ascii="宋体" w:hAnsi="宋体" w:eastAsia="宋体" w:cs="宋体"/>
          <w:sz w:val="28"/>
          <w:szCs w:val="28"/>
        </w:rPr>
        <w:t>2、产出质量</w:t>
      </w:r>
    </w:p>
    <w:p>
      <w:pPr>
        <w:ind w:firstLine="560" w:firstLineChars="200"/>
        <w:rPr>
          <w:rFonts w:ascii="宋体" w:hAnsi="宋体" w:eastAsia="宋体" w:cs="宋体"/>
          <w:sz w:val="28"/>
          <w:szCs w:val="28"/>
        </w:rPr>
      </w:pPr>
      <w:r>
        <w:rPr>
          <w:rFonts w:hint="eastAsia" w:ascii="宋体" w:hAnsi="宋体" w:eastAsia="宋体" w:cs="宋体"/>
          <w:sz w:val="28"/>
          <w:szCs w:val="28"/>
        </w:rPr>
        <w:t>（1）依据项目《各级管理人员安全生产责任制》及监理出具的《项目施工阶段无事故证明》，项目有专门的施工安全管理条例，并在工程实施中定期进行安全生产检查，实施阶段无安全事故发生。</w:t>
      </w:r>
    </w:p>
    <w:p>
      <w:pPr>
        <w:ind w:firstLine="560" w:firstLineChars="200"/>
        <w:rPr>
          <w:rFonts w:hint="eastAsia" w:ascii="宋体" w:hAnsi="宋体" w:cs="宋体"/>
          <w:sz w:val="28"/>
          <w:szCs w:val="28"/>
          <w:lang w:eastAsia="zh-CN"/>
        </w:rPr>
      </w:pPr>
      <w:r>
        <w:rPr>
          <w:rFonts w:hint="eastAsia" w:ascii="宋体" w:hAnsi="宋体" w:eastAsia="宋体" w:cs="宋体"/>
          <w:sz w:val="28"/>
          <w:szCs w:val="28"/>
        </w:rPr>
        <w:t>（2）依据</w:t>
      </w:r>
      <w:r>
        <w:rPr>
          <w:rFonts w:hint="eastAsia" w:ascii="宋体" w:hAnsi="宋体" w:cs="宋体"/>
          <w:sz w:val="28"/>
          <w:szCs w:val="28"/>
          <w:lang w:eastAsia="zh-CN"/>
        </w:rPr>
        <w:t>《五华区综合治理中心工程竣工验收文件》</w:t>
      </w:r>
      <w:r>
        <w:rPr>
          <w:rFonts w:hint="eastAsia" w:ascii="宋体" w:hAnsi="宋体" w:eastAsia="宋体" w:cs="宋体"/>
          <w:sz w:val="28"/>
          <w:szCs w:val="28"/>
        </w:rPr>
        <w:t>，项目</w:t>
      </w:r>
      <w:r>
        <w:rPr>
          <w:rFonts w:hint="eastAsia" w:ascii="宋体" w:hAnsi="宋体" w:cs="宋体"/>
          <w:sz w:val="28"/>
          <w:szCs w:val="28"/>
          <w:lang w:eastAsia="zh-CN"/>
        </w:rPr>
        <w:t>终验</w:t>
      </w:r>
      <w:r>
        <w:rPr>
          <w:rFonts w:hint="eastAsia" w:ascii="宋体" w:hAnsi="宋体" w:eastAsia="宋体" w:cs="宋体"/>
          <w:sz w:val="28"/>
          <w:szCs w:val="28"/>
        </w:rPr>
        <w:t>过程程序较为完整、合规，</w:t>
      </w:r>
      <w:r>
        <w:rPr>
          <w:rFonts w:hint="eastAsia" w:ascii="宋体" w:hAnsi="宋体" w:cs="宋体"/>
          <w:sz w:val="28"/>
          <w:szCs w:val="28"/>
          <w:lang w:eastAsia="zh-CN"/>
        </w:rPr>
        <w:t>终验</w:t>
      </w:r>
      <w:r>
        <w:rPr>
          <w:rFonts w:hint="eastAsia" w:ascii="宋体" w:hAnsi="宋体" w:eastAsia="宋体" w:cs="宋体"/>
          <w:sz w:val="28"/>
          <w:szCs w:val="28"/>
        </w:rPr>
        <w:t>中无重大质量安全问题</w:t>
      </w:r>
      <w:r>
        <w:rPr>
          <w:rFonts w:hint="eastAsia" w:ascii="宋体" w:hAnsi="宋体" w:cs="宋体"/>
          <w:sz w:val="28"/>
          <w:szCs w:val="28"/>
          <w:lang w:eastAsia="zh-CN"/>
        </w:rPr>
        <w:t>。</w:t>
      </w:r>
    </w:p>
    <w:p>
      <w:pPr>
        <w:ind w:firstLine="560" w:firstLineChars="200"/>
        <w:rPr>
          <w:rFonts w:ascii="宋体" w:hAnsi="宋体" w:eastAsia="宋体" w:cs="宋体"/>
          <w:color w:val="auto"/>
          <w:sz w:val="28"/>
          <w:szCs w:val="28"/>
        </w:rPr>
      </w:pPr>
      <w:r>
        <w:rPr>
          <w:rFonts w:hint="eastAsia" w:ascii="宋体" w:hAnsi="宋体" w:eastAsia="宋体" w:cs="宋体"/>
          <w:color w:val="auto"/>
          <w:sz w:val="28"/>
          <w:szCs w:val="28"/>
        </w:rPr>
        <w:t>3、产出成本</w:t>
      </w:r>
    </w:p>
    <w:p>
      <w:pPr>
        <w:ind w:firstLine="560" w:firstLineChars="200"/>
        <w:rPr>
          <w:rFonts w:hint="default" w:ascii="宋体" w:hAnsi="宋体" w:eastAsia="宋体" w:cs="宋体"/>
          <w:color w:val="auto"/>
          <w:sz w:val="28"/>
          <w:szCs w:val="28"/>
          <w:lang w:val="en-US" w:eastAsia="zh-CN"/>
        </w:rPr>
      </w:pPr>
      <w:r>
        <w:rPr>
          <w:rFonts w:hint="eastAsia" w:ascii="宋体" w:hAnsi="宋体" w:eastAsia="宋体" w:cs="宋体"/>
          <w:color w:val="auto"/>
          <w:sz w:val="28"/>
          <w:szCs w:val="28"/>
        </w:rPr>
        <w:t>由于项目尚未进行</w:t>
      </w:r>
      <w:r>
        <w:rPr>
          <w:rFonts w:hint="eastAsia" w:ascii="宋体" w:hAnsi="宋体" w:cs="宋体"/>
          <w:color w:val="auto"/>
          <w:sz w:val="28"/>
          <w:szCs w:val="28"/>
          <w:lang w:eastAsia="zh-CN"/>
        </w:rPr>
        <w:t>联合</w:t>
      </w:r>
      <w:r>
        <w:rPr>
          <w:rFonts w:hint="eastAsia" w:ascii="宋体" w:hAnsi="宋体" w:eastAsia="宋体" w:cs="宋体"/>
          <w:color w:val="auto"/>
          <w:sz w:val="28"/>
          <w:szCs w:val="28"/>
        </w:rPr>
        <w:t>竣工验收和审计工作，实际成本按信息化项目工程合同暂定总价:36129576.12元</w:t>
      </w:r>
      <w:r>
        <w:rPr>
          <w:rFonts w:hint="eastAsia" w:ascii="宋体" w:hAnsi="宋体" w:cs="宋体"/>
          <w:color w:val="auto"/>
          <w:sz w:val="28"/>
          <w:szCs w:val="28"/>
          <w:lang w:eastAsia="zh-CN"/>
        </w:rPr>
        <w:t>，</w:t>
      </w:r>
      <w:r>
        <w:rPr>
          <w:rFonts w:hint="eastAsia" w:ascii="宋体" w:hAnsi="宋体" w:eastAsia="宋体" w:cs="宋体"/>
          <w:color w:val="auto"/>
          <w:sz w:val="28"/>
          <w:szCs w:val="28"/>
          <w:lang w:eastAsia="zh-CN"/>
        </w:rPr>
        <w:t>装修项目工程合同暂定总价:5839512.00元</w:t>
      </w:r>
      <w:r>
        <w:rPr>
          <w:rFonts w:hint="eastAsia" w:ascii="宋体" w:hAnsi="宋体" w:cs="宋体"/>
          <w:color w:val="auto"/>
          <w:sz w:val="28"/>
          <w:szCs w:val="28"/>
          <w:lang w:eastAsia="zh-CN"/>
        </w:rPr>
        <w:t>，计划成本</w:t>
      </w:r>
      <w:r>
        <w:rPr>
          <w:rFonts w:hint="eastAsia" w:ascii="宋体" w:hAnsi="宋体" w:cs="宋体"/>
          <w:color w:val="auto"/>
          <w:sz w:val="28"/>
          <w:szCs w:val="28"/>
          <w:lang w:val="en-US" w:eastAsia="zh-CN"/>
        </w:rPr>
        <w:t>4616.86万元，成本节约率9.1%。</w:t>
      </w:r>
    </w:p>
    <w:p>
      <w:pPr>
        <w:ind w:firstLine="560" w:firstLineChars="200"/>
        <w:rPr>
          <w:rFonts w:ascii="宋体" w:hAnsi="宋体" w:eastAsia="宋体" w:cs="宋体"/>
          <w:sz w:val="28"/>
          <w:szCs w:val="28"/>
        </w:rPr>
      </w:pPr>
      <w:r>
        <w:rPr>
          <w:rFonts w:hint="eastAsia" w:ascii="宋体" w:hAnsi="宋体" w:eastAsia="宋体" w:cs="宋体"/>
          <w:sz w:val="28"/>
          <w:szCs w:val="28"/>
        </w:rPr>
        <w:t>4、产出时效</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根据《建设工程施工合同》，项目的</w:t>
      </w:r>
      <w:r>
        <w:rPr>
          <w:rFonts w:hint="eastAsia" w:ascii="宋体" w:hAnsi="宋体" w:cs="宋体"/>
          <w:sz w:val="28"/>
          <w:szCs w:val="28"/>
          <w:lang w:eastAsia="zh-CN"/>
        </w:rPr>
        <w:t>计划</w:t>
      </w:r>
      <w:r>
        <w:rPr>
          <w:rFonts w:hint="eastAsia" w:ascii="宋体" w:hAnsi="宋体" w:eastAsia="宋体" w:cs="宋体"/>
          <w:sz w:val="28"/>
          <w:szCs w:val="28"/>
        </w:rPr>
        <w:t>施工时间为</w:t>
      </w:r>
      <w:r>
        <w:rPr>
          <w:rFonts w:hint="eastAsia" w:ascii="宋体" w:hAnsi="宋体" w:cs="宋体"/>
          <w:sz w:val="28"/>
          <w:szCs w:val="28"/>
          <w:lang w:eastAsia="zh-CN"/>
        </w:rPr>
        <w:t>接到开工令后</w:t>
      </w:r>
      <w:r>
        <w:rPr>
          <w:rFonts w:hint="eastAsia" w:ascii="宋体" w:hAnsi="宋体" w:cs="宋体"/>
          <w:sz w:val="28"/>
          <w:szCs w:val="28"/>
          <w:lang w:val="en-US" w:eastAsia="zh-CN"/>
        </w:rPr>
        <w:t>110日历天</w:t>
      </w:r>
      <w:r>
        <w:rPr>
          <w:rFonts w:hint="eastAsia" w:ascii="宋体" w:hAnsi="宋体" w:cs="宋体"/>
          <w:sz w:val="28"/>
          <w:szCs w:val="28"/>
          <w:lang w:eastAsia="zh-CN"/>
        </w:rPr>
        <w:t>（具体时间以开工令为准），实际开工日期为</w:t>
      </w:r>
      <w:r>
        <w:rPr>
          <w:rFonts w:hint="eastAsia" w:ascii="宋体" w:hAnsi="宋体" w:cs="宋体"/>
          <w:sz w:val="28"/>
          <w:szCs w:val="28"/>
          <w:lang w:val="en-US" w:eastAsia="zh-CN"/>
        </w:rPr>
        <w:t>2023年1月30日至2023年12月18日，因为开工时处于疫情放开初期且施工地点仅能晚上施工，所以实际工期比预计工期久。</w:t>
      </w:r>
    </w:p>
    <w:p>
      <w:pPr>
        <w:ind w:firstLine="562" w:firstLineChars="200"/>
        <w:outlineLvl w:val="1"/>
        <w:rPr>
          <w:rFonts w:ascii="宋体" w:hAnsi="宋体" w:eastAsia="宋体" w:cs="宋体"/>
          <w:b/>
          <w:bCs/>
          <w:sz w:val="28"/>
          <w:szCs w:val="28"/>
        </w:rPr>
      </w:pPr>
      <w:bookmarkStart w:id="103" w:name="_Toc22244"/>
      <w:bookmarkStart w:id="104" w:name="_Toc7796"/>
      <w:bookmarkStart w:id="105" w:name="_Toc16813"/>
      <w:bookmarkStart w:id="106" w:name="_Toc975"/>
      <w:bookmarkStart w:id="107" w:name="_Toc8980"/>
      <w:r>
        <w:rPr>
          <w:rFonts w:hint="eastAsia" w:ascii="宋体" w:hAnsi="宋体" w:eastAsia="宋体" w:cs="宋体"/>
          <w:b/>
          <w:bCs/>
          <w:sz w:val="28"/>
          <w:szCs w:val="28"/>
        </w:rPr>
        <w:t>效果</w:t>
      </w:r>
      <w:r>
        <w:rPr>
          <w:rFonts w:hint="eastAsia" w:ascii="宋体" w:hAnsi="宋体" w:cs="宋体"/>
          <w:b/>
          <w:bCs/>
          <w:sz w:val="28"/>
          <w:szCs w:val="28"/>
          <w:lang w:eastAsia="zh-CN"/>
        </w:rPr>
        <w:t>指标</w:t>
      </w:r>
      <w:r>
        <w:rPr>
          <w:rFonts w:hint="eastAsia" w:ascii="宋体" w:hAnsi="宋体" w:eastAsia="宋体" w:cs="宋体"/>
          <w:b/>
          <w:bCs/>
          <w:sz w:val="28"/>
          <w:szCs w:val="28"/>
        </w:rPr>
        <w:t>分析</w:t>
      </w:r>
      <w:bookmarkEnd w:id="103"/>
      <w:bookmarkEnd w:id="104"/>
      <w:bookmarkEnd w:id="105"/>
      <w:bookmarkEnd w:id="106"/>
      <w:bookmarkEnd w:id="107"/>
    </w:p>
    <w:p>
      <w:pPr>
        <w:ind w:firstLine="560" w:firstLineChars="200"/>
        <w:rPr>
          <w:rFonts w:ascii="宋体" w:hAnsi="宋体" w:eastAsia="宋体" w:cs="宋体"/>
          <w:sz w:val="28"/>
          <w:szCs w:val="28"/>
        </w:rPr>
      </w:pPr>
      <w:r>
        <w:rPr>
          <w:rFonts w:hint="eastAsia" w:ascii="宋体" w:hAnsi="宋体" w:eastAsia="宋体" w:cs="宋体"/>
          <w:sz w:val="28"/>
          <w:szCs w:val="28"/>
        </w:rPr>
        <w:t>效果情况指标满分</w:t>
      </w:r>
      <w:r>
        <w:rPr>
          <w:rFonts w:hint="eastAsia" w:ascii="宋体" w:hAnsi="宋体" w:cs="宋体"/>
          <w:sz w:val="28"/>
          <w:szCs w:val="28"/>
          <w:lang w:val="en-US" w:eastAsia="zh-CN"/>
        </w:rPr>
        <w:t>4</w:t>
      </w:r>
      <w:r>
        <w:rPr>
          <w:rFonts w:ascii="宋体" w:hAnsi="宋体" w:eastAsia="宋体" w:cs="宋体"/>
          <w:sz w:val="28"/>
          <w:szCs w:val="28"/>
        </w:rPr>
        <w:t>0分，主要关注项目在结束后的效果如何及社会</w:t>
      </w:r>
      <w:r>
        <w:rPr>
          <w:rFonts w:hint="eastAsia" w:ascii="宋体" w:hAnsi="宋体" w:eastAsia="宋体" w:cs="宋体"/>
          <w:sz w:val="28"/>
          <w:szCs w:val="28"/>
        </w:rPr>
        <w:t>对</w:t>
      </w:r>
      <w:r>
        <w:rPr>
          <w:rFonts w:ascii="宋体" w:hAnsi="宋体" w:eastAsia="宋体" w:cs="宋体"/>
          <w:sz w:val="28"/>
          <w:szCs w:val="28"/>
        </w:rPr>
        <w:t>项目的满意度如何。主要包括</w:t>
      </w:r>
      <w:r>
        <w:rPr>
          <w:rFonts w:hint="eastAsia" w:ascii="宋体" w:hAnsi="宋体" w:eastAsia="宋体" w:cs="宋体"/>
          <w:sz w:val="28"/>
          <w:szCs w:val="28"/>
        </w:rPr>
        <w:t>社会</w:t>
      </w:r>
      <w:r>
        <w:rPr>
          <w:rFonts w:ascii="宋体" w:hAnsi="宋体" w:eastAsia="宋体" w:cs="宋体"/>
          <w:sz w:val="28"/>
          <w:szCs w:val="28"/>
        </w:rPr>
        <w:t>效益</w:t>
      </w:r>
      <w:r>
        <w:rPr>
          <w:rFonts w:hint="eastAsia" w:ascii="宋体" w:hAnsi="宋体" w:eastAsia="宋体" w:cs="宋体"/>
          <w:sz w:val="28"/>
          <w:szCs w:val="28"/>
        </w:rPr>
        <w:t>、可持续发展</w:t>
      </w:r>
      <w:r>
        <w:rPr>
          <w:rFonts w:ascii="宋体" w:hAnsi="宋体" w:eastAsia="宋体" w:cs="宋体"/>
          <w:sz w:val="28"/>
          <w:szCs w:val="28"/>
        </w:rPr>
        <w:t>和</w:t>
      </w:r>
      <w:r>
        <w:rPr>
          <w:rFonts w:hint="eastAsia" w:ascii="宋体" w:hAnsi="宋体" w:cs="宋体"/>
          <w:sz w:val="28"/>
          <w:szCs w:val="28"/>
          <w:lang w:eastAsia="zh-CN"/>
        </w:rPr>
        <w:t>经济效益</w:t>
      </w:r>
      <w:r>
        <w:rPr>
          <w:rFonts w:hint="eastAsia" w:ascii="宋体" w:hAnsi="宋体" w:cs="宋体"/>
          <w:sz w:val="28"/>
          <w:szCs w:val="28"/>
          <w:lang w:val="en-US" w:eastAsia="zh-CN"/>
        </w:rPr>
        <w:t>2</w:t>
      </w:r>
      <w:r>
        <w:rPr>
          <w:rFonts w:ascii="宋体" w:hAnsi="宋体" w:eastAsia="宋体" w:cs="宋体"/>
          <w:sz w:val="28"/>
          <w:szCs w:val="28"/>
        </w:rPr>
        <w:t>个二级指标。此项综合评价得分为</w:t>
      </w:r>
      <w:r>
        <w:rPr>
          <w:rFonts w:hint="eastAsia" w:ascii="宋体" w:hAnsi="宋体" w:cs="宋体"/>
          <w:sz w:val="28"/>
          <w:szCs w:val="28"/>
          <w:lang w:val="en-US" w:eastAsia="zh-CN"/>
        </w:rPr>
        <w:t>40</w:t>
      </w:r>
      <w:r>
        <w:rPr>
          <w:rFonts w:ascii="宋体" w:hAnsi="宋体" w:eastAsia="宋体" w:cs="宋体"/>
          <w:sz w:val="28"/>
          <w:szCs w:val="28"/>
        </w:rPr>
        <w:t>分，得分率</w:t>
      </w:r>
      <w:r>
        <w:rPr>
          <w:rFonts w:hint="eastAsia" w:ascii="宋体" w:hAnsi="宋体" w:cs="宋体"/>
          <w:sz w:val="28"/>
          <w:szCs w:val="28"/>
          <w:lang w:val="en-US" w:eastAsia="zh-CN"/>
        </w:rPr>
        <w:t>100</w:t>
      </w:r>
      <w:r>
        <w:rPr>
          <w:rFonts w:ascii="宋体" w:hAnsi="宋体" w:eastAsia="宋体" w:cs="宋体"/>
          <w:sz w:val="28"/>
          <w:szCs w:val="28"/>
        </w:rPr>
        <w:t>%。</w:t>
      </w:r>
      <w:r>
        <w:rPr>
          <w:rFonts w:hint="eastAsia" w:ascii="宋体" w:hAnsi="宋体" w:eastAsia="宋体" w:cs="宋体"/>
          <w:sz w:val="28"/>
          <w:szCs w:val="28"/>
        </w:rPr>
        <w:t>具体分析情况如下：</w:t>
      </w:r>
    </w:p>
    <w:p>
      <w:pPr>
        <w:ind w:firstLine="560" w:firstLineChars="200"/>
        <w:rPr>
          <w:rFonts w:ascii="宋体" w:hAnsi="宋体" w:eastAsia="宋体" w:cs="宋体"/>
          <w:sz w:val="28"/>
          <w:szCs w:val="28"/>
        </w:rPr>
      </w:pPr>
      <w:r>
        <w:rPr>
          <w:rFonts w:hint="eastAsia" w:ascii="宋体" w:hAnsi="宋体" w:eastAsia="宋体" w:cs="宋体"/>
          <w:sz w:val="28"/>
          <w:szCs w:val="28"/>
        </w:rPr>
        <w:t>1、社会</w:t>
      </w:r>
      <w:r>
        <w:rPr>
          <w:rFonts w:ascii="宋体" w:hAnsi="宋体" w:eastAsia="宋体" w:cs="宋体"/>
          <w:sz w:val="28"/>
          <w:szCs w:val="28"/>
        </w:rPr>
        <w:t>效益</w:t>
      </w:r>
    </w:p>
    <w:p>
      <w:pPr>
        <w:spacing w:before="266" w:line="376" w:lineRule="auto"/>
        <w:ind w:left="39" w:right="235" w:firstLine="509"/>
        <w:rPr>
          <w:rFonts w:hint="eastAsia" w:ascii="宋体" w:hAnsi="宋体" w:eastAsia="宋体" w:cs="宋体"/>
          <w:sz w:val="28"/>
          <w:szCs w:val="28"/>
        </w:rPr>
      </w:pPr>
      <w:r>
        <w:rPr>
          <w:rFonts w:hint="eastAsia" w:ascii="宋体" w:hAnsi="宋体" w:eastAsia="宋体" w:cs="宋体"/>
          <w:sz w:val="28"/>
          <w:szCs w:val="28"/>
        </w:rPr>
        <w:t>综治中心建设成为整合社会治理资源、创新社会治理方式的数据平台、枢纽平台、实战平台，形成上下对应的一体化组织体系，实现综治中心的实体化运行、实战化指挥、一体化管理、精细化治理。五华区社会治理项目的实施和推广可以整合各级政府的委办局、街道、社区的网络、设备等硬资源和技术、人才等软资源，实现资源共享，协同办公；减少各个部门的重复工作</w:t>
      </w:r>
      <w:r>
        <w:rPr>
          <w:rFonts w:hint="eastAsia" w:ascii="宋体" w:hAnsi="宋体" w:cs="宋体"/>
          <w:sz w:val="28"/>
          <w:szCs w:val="28"/>
          <w:lang w:eastAsia="zh-CN"/>
        </w:rPr>
        <w:t>。</w:t>
      </w:r>
      <w:r>
        <w:rPr>
          <w:rFonts w:ascii="宋体" w:hAnsi="宋体" w:eastAsia="宋体" w:cs="宋体"/>
          <w:spacing w:val="-8"/>
          <w:sz w:val="24"/>
          <w:szCs w:val="24"/>
        </w:rPr>
        <w:t>构</w:t>
      </w:r>
      <w:r>
        <w:rPr>
          <w:rFonts w:hint="eastAsia" w:ascii="宋体" w:hAnsi="宋体" w:eastAsia="宋体" w:cs="宋体"/>
          <w:sz w:val="28"/>
          <w:szCs w:val="28"/>
        </w:rPr>
        <w:t>建“横向到边、纵向到底”的社会治安综合治理架构，不断提高应对处置突发事件的实战化能力，并在区级试点“四中心”融合，全面提升社会治理效能。</w:t>
      </w:r>
    </w:p>
    <w:p>
      <w:pPr>
        <w:ind w:firstLine="560" w:firstLineChars="200"/>
        <w:rPr>
          <w:rFonts w:ascii="宋体" w:hAnsi="宋体" w:eastAsia="宋体" w:cs="宋体"/>
          <w:sz w:val="28"/>
          <w:szCs w:val="28"/>
        </w:rPr>
      </w:pPr>
      <w:r>
        <w:rPr>
          <w:rFonts w:hint="eastAsia" w:ascii="宋体" w:hAnsi="宋体" w:eastAsia="宋体" w:cs="宋体"/>
          <w:sz w:val="28"/>
          <w:szCs w:val="28"/>
        </w:rPr>
        <w:t>2、可持续发展</w:t>
      </w:r>
    </w:p>
    <w:p>
      <w:pPr>
        <w:pStyle w:val="6"/>
        <w:bidi w:val="0"/>
        <w:ind w:firstLine="560" w:firstLineChars="200"/>
        <w:rPr>
          <w:rFonts w:hint="eastAsia" w:ascii="宋体" w:hAnsi="宋体" w:eastAsia="宋体" w:cs="宋体"/>
          <w:b w:val="0"/>
          <w:kern w:val="2"/>
          <w:sz w:val="28"/>
          <w:szCs w:val="28"/>
          <w:lang w:val="en-US" w:eastAsia="zh-CN" w:bidi="ar-SA"/>
        </w:rPr>
      </w:pPr>
      <w:r>
        <w:rPr>
          <w:rFonts w:hint="eastAsia" w:ascii="宋体" w:hAnsi="宋体" w:eastAsia="宋体" w:cs="宋体"/>
          <w:b w:val="0"/>
          <w:kern w:val="2"/>
          <w:sz w:val="28"/>
          <w:szCs w:val="28"/>
          <w:lang w:val="en-US" w:eastAsia="zh-CN" w:bidi="ar-SA"/>
        </w:rPr>
        <w:t xml:space="preserve">施工合同明确了缺陷责任要求和质量保修期，缺陷责任期为24个月，基础设施工程、房屋建筑的地基基础工程和主体结构工程，为设计文件规定的该工程的合理使用年限;屋面防水工程、有防水要求的卫生间、房间和外墙面的防渗漏，为5年;供热与供冷系统，为2个采暖期、供冷期；电气管线、给排水管道、设备安装和装修工程，为2年；建设工程保修期:自工程竣工验收合格之日起两年(具体分部分项工程的保修期低于法定最低保修年限的，按法定规定)保修期满后，如果遇到工程质量需要维修的，发包人通知承包人维修的，承包人应提供维修，维修费用由发包人与承包人另行协商确定。综治中心质量维护的可持续性有保障。 </w:t>
      </w:r>
    </w:p>
    <w:p>
      <w:pPr>
        <w:pStyle w:val="6"/>
        <w:bidi w:val="0"/>
        <w:ind w:firstLine="562" w:firstLineChars="200"/>
        <w:rPr>
          <w:rFonts w:hint="eastAsia"/>
          <w:lang w:val="en-US" w:eastAsia="zh-CN"/>
        </w:rPr>
      </w:pPr>
      <w:r>
        <w:rPr>
          <w:rFonts w:hint="eastAsia"/>
          <w:lang w:val="en-US" w:eastAsia="zh-CN"/>
        </w:rPr>
        <w:t>满意度指标</w:t>
      </w:r>
    </w:p>
    <w:p>
      <w:pPr>
        <w:pStyle w:val="9"/>
        <w:bidi w:val="0"/>
        <w:ind w:firstLine="560" w:firstLineChars="200"/>
        <w:rPr>
          <w:sz w:val="28"/>
          <w:szCs w:val="28"/>
          <w:highlight w:val="none"/>
        </w:rPr>
      </w:pPr>
      <w:r>
        <w:rPr>
          <w:rFonts w:hint="default"/>
          <w:sz w:val="28"/>
          <w:szCs w:val="28"/>
          <w:highlight w:val="none"/>
        </w:rPr>
        <w:t>满意度</w:t>
      </w:r>
      <w:r>
        <w:rPr>
          <w:rFonts w:hint="eastAsia"/>
          <w:sz w:val="28"/>
          <w:szCs w:val="28"/>
          <w:highlight w:val="none"/>
        </w:rPr>
        <w:t>指标满分</w:t>
      </w:r>
      <w:r>
        <w:rPr>
          <w:sz w:val="28"/>
          <w:szCs w:val="28"/>
          <w:highlight w:val="none"/>
        </w:rPr>
        <w:t>10分，</w:t>
      </w:r>
      <w:r>
        <w:rPr>
          <w:rFonts w:hint="eastAsia" w:ascii="宋体" w:hAnsi="宋体" w:eastAsia="宋体" w:cs="宋体"/>
          <w:sz w:val="28"/>
          <w:szCs w:val="28"/>
          <w:highlight w:val="none"/>
        </w:rPr>
        <w:t>通过发放实地服务对象调查问卷，共收集</w:t>
      </w:r>
      <w:r>
        <w:rPr>
          <w:rFonts w:hint="default" w:cs="宋体"/>
          <w:sz w:val="28"/>
          <w:szCs w:val="28"/>
          <w:highlight w:val="none"/>
        </w:rPr>
        <w:t>10</w:t>
      </w:r>
      <w:r>
        <w:rPr>
          <w:rFonts w:hint="eastAsia" w:ascii="宋体" w:hAnsi="宋体" w:eastAsia="宋体" w:cs="宋体"/>
          <w:sz w:val="28"/>
          <w:szCs w:val="28"/>
          <w:highlight w:val="none"/>
        </w:rPr>
        <w:t>份有效问卷，经统计，服务对象对项目的综合满意度为100%</w:t>
      </w:r>
      <w:r>
        <w:rPr>
          <w:sz w:val="28"/>
          <w:szCs w:val="28"/>
          <w:highlight w:val="none"/>
        </w:rPr>
        <w:t>。此项综合评价得分为</w:t>
      </w:r>
      <w:r>
        <w:rPr>
          <w:rFonts w:hint="default"/>
          <w:sz w:val="28"/>
          <w:szCs w:val="28"/>
          <w:highlight w:val="none"/>
          <w:lang w:eastAsia="zh-CN"/>
        </w:rPr>
        <w:t>10</w:t>
      </w:r>
      <w:r>
        <w:rPr>
          <w:sz w:val="28"/>
          <w:szCs w:val="28"/>
          <w:highlight w:val="none"/>
        </w:rPr>
        <w:t>分，得分率</w:t>
      </w:r>
      <w:r>
        <w:rPr>
          <w:rFonts w:hint="default"/>
          <w:sz w:val="28"/>
          <w:szCs w:val="28"/>
          <w:highlight w:val="none"/>
          <w:lang w:eastAsia="zh-CN"/>
        </w:rPr>
        <w:t>100</w:t>
      </w:r>
      <w:r>
        <w:rPr>
          <w:sz w:val="28"/>
          <w:szCs w:val="28"/>
          <w:highlight w:val="none"/>
        </w:rPr>
        <w:t>%。</w:t>
      </w:r>
    </w:p>
    <w:p>
      <w:pPr>
        <w:pStyle w:val="6"/>
        <w:bidi w:val="0"/>
        <w:ind w:firstLine="562" w:firstLineChars="200"/>
        <w:rPr>
          <w:rFonts w:hint="default"/>
        </w:rPr>
      </w:pPr>
      <w:r>
        <w:rPr>
          <w:rFonts w:hint="default"/>
          <w:lang w:eastAsia="zh-CN"/>
        </w:rPr>
        <w:t>执行率指标</w:t>
      </w:r>
    </w:p>
    <w:p>
      <w:pPr>
        <w:ind w:firstLine="560" w:firstLineChars="200"/>
        <w:rPr>
          <w:rFonts w:hint="default"/>
          <w:lang w:val="en-US" w:eastAsia="zh-CN"/>
        </w:rPr>
      </w:pPr>
      <w:r>
        <w:rPr>
          <w:rFonts w:hint="default" w:ascii="宋体" w:cs="Times New Roman"/>
          <w:kern w:val="2"/>
          <w:sz w:val="28"/>
          <w:szCs w:val="28"/>
          <w:lang w:eastAsia="zh-CN" w:bidi="ar-SA"/>
        </w:rPr>
        <w:t>执行率</w:t>
      </w:r>
      <w:r>
        <w:rPr>
          <w:rFonts w:hint="eastAsia" w:ascii="宋体" w:hAnsi="宋体" w:eastAsia="宋体" w:cs="Times New Roman"/>
          <w:kern w:val="2"/>
          <w:sz w:val="28"/>
          <w:szCs w:val="28"/>
          <w:lang w:val="en-US" w:eastAsia="zh-CN" w:bidi="ar-SA"/>
        </w:rPr>
        <w:t>满分</w:t>
      </w:r>
      <w:r>
        <w:rPr>
          <w:rFonts w:hint="eastAsia" w:cs="Times New Roman"/>
          <w:kern w:val="2"/>
          <w:sz w:val="28"/>
          <w:szCs w:val="28"/>
          <w:lang w:val="en-US" w:eastAsia="zh-CN" w:bidi="ar-SA"/>
        </w:rPr>
        <w:t>10</w:t>
      </w:r>
      <w:r>
        <w:rPr>
          <w:rFonts w:hint="eastAsia" w:ascii="宋体" w:hAnsi="宋体" w:eastAsia="宋体" w:cs="Times New Roman"/>
          <w:kern w:val="2"/>
          <w:sz w:val="28"/>
          <w:szCs w:val="28"/>
          <w:lang w:val="en-US" w:eastAsia="zh-CN" w:bidi="ar-SA"/>
        </w:rPr>
        <w:t>分，</w:t>
      </w:r>
      <w:r>
        <w:rPr>
          <w:rFonts w:hint="default" w:ascii="宋体" w:hAnsi="宋体" w:cs="Times New Roman"/>
          <w:kern w:val="2"/>
          <w:sz w:val="28"/>
          <w:szCs w:val="28"/>
          <w:lang w:eastAsia="zh-CN" w:bidi="ar-SA"/>
        </w:rPr>
        <w:t>国投公司202</w:t>
      </w:r>
      <w:r>
        <w:rPr>
          <w:rFonts w:hint="eastAsia" w:ascii="宋体" w:hAnsi="宋体" w:cs="Times New Roman"/>
          <w:kern w:val="2"/>
          <w:sz w:val="28"/>
          <w:szCs w:val="28"/>
          <w:lang w:val="en-US" w:eastAsia="zh-CN" w:bidi="ar-SA"/>
        </w:rPr>
        <w:t>3</w:t>
      </w:r>
      <w:r>
        <w:rPr>
          <w:rFonts w:hint="default" w:ascii="宋体" w:hAnsi="宋体" w:cs="Times New Roman"/>
          <w:kern w:val="2"/>
          <w:sz w:val="28"/>
          <w:szCs w:val="28"/>
          <w:lang w:eastAsia="zh-CN" w:bidi="ar-SA"/>
        </w:rPr>
        <w:t>年收到国有资本金注入</w:t>
      </w:r>
      <w:r>
        <w:rPr>
          <w:rFonts w:hint="eastAsia" w:ascii="宋体" w:hAnsi="宋体" w:cs="Times New Roman"/>
          <w:kern w:val="2"/>
          <w:sz w:val="28"/>
          <w:szCs w:val="28"/>
          <w:lang w:val="en-US" w:eastAsia="zh-CN" w:bidi="ar-SA"/>
        </w:rPr>
        <w:t>300</w:t>
      </w:r>
      <w:r>
        <w:rPr>
          <w:rFonts w:hint="default" w:ascii="宋体" w:hAnsi="宋体" w:cs="Times New Roman"/>
          <w:kern w:val="2"/>
          <w:sz w:val="28"/>
          <w:szCs w:val="28"/>
          <w:lang w:eastAsia="zh-CN" w:bidi="ar-SA"/>
        </w:rPr>
        <w:t>万元，在</w:t>
      </w:r>
      <w:r>
        <w:rPr>
          <w:rFonts w:hint="eastAsia" w:ascii="宋体" w:hAnsi="宋体" w:cs="Times New Roman"/>
          <w:kern w:val="2"/>
          <w:sz w:val="28"/>
          <w:szCs w:val="28"/>
          <w:lang w:eastAsia="zh-CN" w:bidi="ar-SA"/>
        </w:rPr>
        <w:t>综治中心</w:t>
      </w:r>
      <w:r>
        <w:rPr>
          <w:rFonts w:hint="default" w:ascii="宋体" w:hAnsi="宋体" w:cs="Times New Roman"/>
          <w:kern w:val="2"/>
          <w:sz w:val="28"/>
          <w:szCs w:val="28"/>
          <w:lang w:eastAsia="zh-CN" w:bidi="ar-SA"/>
        </w:rPr>
        <w:t>项目中已使用</w:t>
      </w:r>
      <w:r>
        <w:rPr>
          <w:rFonts w:hint="eastAsia" w:ascii="宋体" w:hAnsi="宋体" w:cs="Times New Roman"/>
          <w:kern w:val="2"/>
          <w:sz w:val="28"/>
          <w:szCs w:val="28"/>
          <w:lang w:val="en-US" w:eastAsia="zh-CN" w:bidi="ar-SA"/>
        </w:rPr>
        <w:t>202</w:t>
      </w:r>
      <w:r>
        <w:rPr>
          <w:rFonts w:hint="default" w:ascii="宋体" w:hAnsi="宋体" w:cs="Times New Roman"/>
          <w:kern w:val="2"/>
          <w:sz w:val="28"/>
          <w:szCs w:val="28"/>
          <w:lang w:eastAsia="zh-CN" w:bidi="ar-SA"/>
        </w:rPr>
        <w:t>万元，执行率达到</w:t>
      </w:r>
      <w:r>
        <w:rPr>
          <w:rFonts w:hint="eastAsia" w:ascii="宋体" w:hAnsi="宋体" w:cs="Times New Roman"/>
          <w:kern w:val="2"/>
          <w:sz w:val="28"/>
          <w:szCs w:val="28"/>
          <w:lang w:val="en-US" w:eastAsia="zh-CN" w:bidi="ar-SA"/>
        </w:rPr>
        <w:t>67.33</w:t>
      </w:r>
      <w:r>
        <w:rPr>
          <w:rFonts w:hint="default" w:ascii="宋体" w:hAnsi="宋体" w:cs="Times New Roman"/>
          <w:kern w:val="2"/>
          <w:sz w:val="28"/>
          <w:szCs w:val="28"/>
          <w:lang w:eastAsia="zh-CN" w:bidi="ar-SA"/>
        </w:rPr>
        <w:t>%</w:t>
      </w:r>
      <w:r>
        <w:rPr>
          <w:rFonts w:hint="eastAsia" w:ascii="宋体" w:hAnsi="宋体" w:eastAsia="宋体" w:cs="Times New Roman"/>
          <w:kern w:val="2"/>
          <w:sz w:val="28"/>
          <w:szCs w:val="28"/>
          <w:lang w:val="en-US" w:eastAsia="zh-CN" w:bidi="ar-SA"/>
        </w:rPr>
        <w:t>。此项综合评价得分为</w:t>
      </w:r>
      <w:r>
        <w:rPr>
          <w:rFonts w:hint="eastAsia" w:cs="Times New Roman"/>
          <w:kern w:val="2"/>
          <w:sz w:val="28"/>
          <w:szCs w:val="28"/>
          <w:lang w:val="en-US" w:eastAsia="zh-CN" w:bidi="ar-SA"/>
        </w:rPr>
        <w:t>6.7</w:t>
      </w:r>
      <w:r>
        <w:rPr>
          <w:rFonts w:hint="eastAsia" w:ascii="宋体" w:hAnsi="宋体" w:eastAsia="宋体" w:cs="Times New Roman"/>
          <w:kern w:val="2"/>
          <w:sz w:val="28"/>
          <w:szCs w:val="28"/>
          <w:lang w:val="en-US" w:eastAsia="zh-CN" w:bidi="ar-SA"/>
        </w:rPr>
        <w:t>分，得分率</w:t>
      </w:r>
      <w:r>
        <w:rPr>
          <w:rFonts w:hint="eastAsia" w:cs="Times New Roman"/>
          <w:kern w:val="2"/>
          <w:sz w:val="28"/>
          <w:szCs w:val="28"/>
          <w:lang w:val="en-US" w:eastAsia="zh-CN" w:bidi="ar-SA"/>
        </w:rPr>
        <w:t>67</w:t>
      </w:r>
      <w:r>
        <w:rPr>
          <w:rFonts w:hint="eastAsia" w:ascii="宋体" w:hAnsi="宋体" w:eastAsia="宋体" w:cs="Times New Roman"/>
          <w:kern w:val="2"/>
          <w:sz w:val="28"/>
          <w:szCs w:val="28"/>
          <w:lang w:val="en-US" w:eastAsia="zh-CN" w:bidi="ar-SA"/>
        </w:rPr>
        <w:t>%。</w:t>
      </w:r>
    </w:p>
    <w:p>
      <w:pPr>
        <w:pStyle w:val="5"/>
        <w:numPr>
          <w:ilvl w:val="0"/>
          <w:numId w:val="1"/>
        </w:numPr>
        <w:bidi w:val="0"/>
        <w:outlineLvl w:val="0"/>
        <w:rPr>
          <w:rFonts w:hint="eastAsia"/>
          <w:lang w:val="en-US" w:eastAsia="zh-CN"/>
        </w:rPr>
      </w:pPr>
      <w:bookmarkStart w:id="108" w:name="_Toc7993"/>
      <w:bookmarkStart w:id="109" w:name="_Toc20919"/>
      <w:bookmarkStart w:id="110" w:name="_Toc23638"/>
      <w:bookmarkStart w:id="111" w:name="_Toc7428"/>
      <w:bookmarkStart w:id="112" w:name="_Toc25205"/>
      <w:r>
        <w:rPr>
          <w:rFonts w:hint="eastAsia"/>
          <w:lang w:val="en-US" w:eastAsia="zh-CN"/>
        </w:rPr>
        <w:t>成本效益分析</w:t>
      </w:r>
      <w:bookmarkEnd w:id="108"/>
      <w:bookmarkEnd w:id="109"/>
      <w:bookmarkEnd w:id="110"/>
      <w:bookmarkEnd w:id="111"/>
      <w:bookmarkEnd w:id="112"/>
    </w:p>
    <w:p>
      <w:pPr>
        <w:numPr>
          <w:ilvl w:val="0"/>
          <w:numId w:val="0"/>
        </w:numPr>
        <w:ind w:firstLine="560" w:firstLineChars="200"/>
        <w:rPr>
          <w:rFonts w:hint="default" w:ascii="宋体" w:hAnsi="宋体" w:eastAsia="宋体"/>
          <w:kern w:val="2"/>
          <w:sz w:val="28"/>
          <w:szCs w:val="28"/>
          <w:lang w:eastAsia="zh-CN"/>
        </w:rPr>
      </w:pPr>
      <w:r>
        <w:rPr>
          <w:rFonts w:hint="eastAsia" w:ascii="宋体" w:hAnsi="宋体" w:eastAsia="宋体"/>
          <w:kern w:val="2"/>
          <w:sz w:val="28"/>
          <w:szCs w:val="28"/>
          <w:lang w:val="en-US" w:eastAsia="zh-CN"/>
        </w:rPr>
        <w:t>通过加</w:t>
      </w:r>
      <w:r>
        <w:rPr>
          <w:rFonts w:hint="default" w:ascii="宋体" w:hAnsi="宋体"/>
          <w:kern w:val="2"/>
          <w:sz w:val="28"/>
          <w:szCs w:val="28"/>
          <w:lang w:eastAsia="zh-CN"/>
        </w:rPr>
        <w:t>强</w:t>
      </w:r>
      <w:r>
        <w:rPr>
          <w:rFonts w:hint="eastAsia" w:ascii="宋体" w:hAnsi="宋体" w:eastAsia="宋体"/>
          <w:kern w:val="2"/>
          <w:sz w:val="28"/>
          <w:szCs w:val="28"/>
          <w:lang w:val="en-US" w:eastAsia="zh-CN"/>
        </w:rPr>
        <w:t>预算绩效管理工作，牢固树立“讲绩效、重绩效、用绩效”的观念，推行成本管理是节约资源，提高资金使用效率和效益的根本途径。</w:t>
      </w:r>
      <w:r>
        <w:rPr>
          <w:rFonts w:hint="default" w:ascii="宋体" w:hAnsi="宋体"/>
          <w:kern w:val="2"/>
          <w:sz w:val="28"/>
          <w:szCs w:val="28"/>
          <w:lang w:eastAsia="zh-CN"/>
        </w:rPr>
        <w:t>加强工程初期编制施工预算和材料用量计划，保证项目建设中原材料用量、质量在正常供应下能够达到节约的目的，杜绝浪费；在建设安全方面，公司要做到以人为本，加强安全意识培训，增强安全管理力度，提高安全管理工作力度，保障施工过程中人员人身安全。</w:t>
      </w:r>
    </w:p>
    <w:p>
      <w:pPr>
        <w:pStyle w:val="5"/>
        <w:outlineLvl w:val="0"/>
        <w:rPr>
          <w:rFonts w:hint="eastAsia"/>
          <w:lang w:val="en-US" w:eastAsia="zh-CN"/>
        </w:rPr>
      </w:pPr>
      <w:bookmarkStart w:id="113" w:name="_Toc8525"/>
      <w:bookmarkStart w:id="114" w:name="_Toc8200"/>
      <w:bookmarkStart w:id="115" w:name="_Toc16853"/>
      <w:bookmarkStart w:id="116" w:name="_Toc19240"/>
      <w:bookmarkStart w:id="117" w:name="_Toc440"/>
      <w:r>
        <w:rPr>
          <w:rFonts w:hint="eastAsia"/>
          <w:lang w:val="en-US" w:eastAsia="zh-CN"/>
        </w:rPr>
        <w:t>五、主要经验及做法、存在的问题和建议</w:t>
      </w:r>
      <w:bookmarkEnd w:id="113"/>
      <w:bookmarkEnd w:id="114"/>
      <w:bookmarkEnd w:id="115"/>
      <w:bookmarkEnd w:id="116"/>
      <w:bookmarkEnd w:id="117"/>
    </w:p>
    <w:p>
      <w:pPr>
        <w:pStyle w:val="6"/>
        <w:bidi w:val="0"/>
        <w:ind w:firstLine="562" w:firstLineChars="200"/>
        <w:outlineLvl w:val="1"/>
        <w:rPr>
          <w:rFonts w:hint="eastAsia"/>
          <w:lang w:val="en-US" w:eastAsia="zh-CN"/>
        </w:rPr>
      </w:pPr>
      <w:bookmarkStart w:id="118" w:name="_Toc13026"/>
      <w:bookmarkStart w:id="119" w:name="_Toc14723"/>
      <w:bookmarkStart w:id="120" w:name="_Toc17268"/>
      <w:bookmarkStart w:id="121" w:name="_Toc32061"/>
      <w:bookmarkStart w:id="122" w:name="_Toc16987"/>
      <w:r>
        <w:rPr>
          <w:rFonts w:hint="eastAsia"/>
          <w:lang w:val="en-US" w:eastAsia="zh-CN"/>
        </w:rPr>
        <w:t>（一）主要经验及做法；</w:t>
      </w:r>
      <w:bookmarkEnd w:id="118"/>
      <w:bookmarkEnd w:id="119"/>
      <w:bookmarkEnd w:id="120"/>
      <w:bookmarkEnd w:id="121"/>
      <w:bookmarkEnd w:id="122"/>
    </w:p>
    <w:bookmarkEnd w:id="87"/>
    <w:p>
      <w:pPr>
        <w:ind w:firstLine="560" w:firstLineChars="200"/>
        <w:rPr>
          <w:rFonts w:hint="eastAsia" w:ascii="宋体" w:hAnsi="宋体" w:eastAsia="宋体" w:cs="宋体"/>
          <w:sz w:val="28"/>
          <w:szCs w:val="28"/>
        </w:rPr>
      </w:pPr>
      <w:bookmarkStart w:id="123" w:name="_Toc536428374"/>
      <w:r>
        <w:rPr>
          <w:rFonts w:hint="eastAsia" w:ascii="宋体" w:hAnsi="宋体" w:eastAsia="宋体" w:cs="宋体"/>
          <w:sz w:val="28"/>
          <w:szCs w:val="28"/>
        </w:rPr>
        <w:t>1、强化施工组织管理，狠抓工程进度控制</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针对代建项目工期紧、任务重的情况，区国投公司将主体工程施工工期和质量作为控制重点，要求施工单位加大人力、物力的投入，监理工程师全过程进行跟踪监督和质量把关。通过周例会、巡查等方式，精细科学地对工程施工进行部署、组织、协调，全面把控工程进度</w:t>
      </w:r>
      <w:r>
        <w:rPr>
          <w:rFonts w:hint="eastAsia" w:ascii="宋体" w:hAnsi="宋体" w:cs="宋体"/>
          <w:sz w:val="28"/>
          <w:szCs w:val="28"/>
          <w:lang w:eastAsia="zh-CN"/>
        </w:rPr>
        <w:t>。</w:t>
      </w:r>
    </w:p>
    <w:p>
      <w:pPr>
        <w:ind w:firstLine="560" w:firstLineChars="200"/>
        <w:rPr>
          <w:rFonts w:ascii="宋体" w:hAnsi="宋体" w:eastAsia="宋体" w:cs="宋体"/>
          <w:b/>
          <w:bCs/>
          <w:sz w:val="28"/>
          <w:szCs w:val="28"/>
        </w:rPr>
      </w:pPr>
      <w:r>
        <w:rPr>
          <w:rFonts w:hint="eastAsia" w:ascii="宋体" w:hAnsi="宋体" w:eastAsia="宋体"/>
          <w:sz w:val="28"/>
          <w:szCs w:val="28"/>
        </w:rPr>
        <w:t>2、五华国投</w:t>
      </w:r>
      <w:r>
        <w:rPr>
          <w:rFonts w:hint="eastAsia" w:ascii="宋体" w:hAnsi="宋体" w:eastAsia="宋体"/>
          <w:sz w:val="28"/>
          <w:szCs w:val="28"/>
          <w:lang w:val="zh-CN"/>
        </w:rPr>
        <w:t>公司制定了比较健全的管理制度，有党支部工作职责及议事规则、董事会及监事会议事规则、财务管理制度、财务岗位职责、内控管理制度、项目管理制度、人力资源管理制度等，为单位的正常运转和项目的实施提供了良好的保障。</w:t>
      </w:r>
    </w:p>
    <w:bookmarkEnd w:id="123"/>
    <w:p>
      <w:pPr>
        <w:pStyle w:val="6"/>
        <w:bidi w:val="0"/>
        <w:outlineLvl w:val="1"/>
      </w:pPr>
      <w:bookmarkStart w:id="124" w:name="_Toc21785"/>
      <w:bookmarkStart w:id="125" w:name="_Toc5883"/>
      <w:bookmarkStart w:id="126" w:name="_Toc27488"/>
      <w:bookmarkStart w:id="127" w:name="_Toc17152"/>
      <w:bookmarkStart w:id="128" w:name="_Toc28903"/>
      <w:bookmarkStart w:id="129" w:name="_Toc30739"/>
      <w:bookmarkStart w:id="130" w:name="_Toc20887"/>
      <w:bookmarkStart w:id="131" w:name="_Toc5313"/>
      <w:bookmarkStart w:id="132" w:name="_Toc21651"/>
      <w:r>
        <w:rPr>
          <w:rFonts w:hint="eastAsia"/>
          <w:lang w:eastAsia="zh-CN"/>
        </w:rPr>
        <w:t>（二）</w:t>
      </w:r>
      <w:r>
        <w:rPr>
          <w:rFonts w:hint="eastAsia"/>
        </w:rPr>
        <w:t>存在问题及原因分析</w:t>
      </w:r>
      <w:bookmarkEnd w:id="124"/>
      <w:bookmarkEnd w:id="125"/>
      <w:bookmarkEnd w:id="126"/>
      <w:bookmarkEnd w:id="127"/>
      <w:bookmarkEnd w:id="128"/>
      <w:bookmarkEnd w:id="129"/>
      <w:bookmarkEnd w:id="130"/>
      <w:bookmarkEnd w:id="131"/>
      <w:bookmarkEnd w:id="132"/>
    </w:p>
    <w:p>
      <w:pPr>
        <w:ind w:firstLine="560" w:firstLineChars="200"/>
        <w:rPr>
          <w:rFonts w:hint="eastAsia" w:ascii="宋体" w:hAnsi="宋体" w:eastAsia="宋体"/>
          <w:sz w:val="28"/>
          <w:szCs w:val="28"/>
          <w:lang w:val="zh-CN"/>
        </w:rPr>
      </w:pPr>
      <w:bookmarkStart w:id="133" w:name="_Toc8995"/>
      <w:bookmarkStart w:id="134" w:name="_Toc15260"/>
      <w:bookmarkStart w:id="135" w:name="_Toc9856"/>
      <w:bookmarkStart w:id="136" w:name="_Toc536428375"/>
      <w:bookmarkStart w:id="137" w:name="_Toc210"/>
      <w:r>
        <w:rPr>
          <w:rFonts w:hint="eastAsia" w:ascii="宋体" w:hAnsi="宋体" w:eastAsia="宋体"/>
          <w:sz w:val="28"/>
          <w:szCs w:val="28"/>
          <w:lang w:val="zh-CN"/>
        </w:rPr>
        <w:t>1.管理经验不足。</w:t>
      </w:r>
      <w:r>
        <w:rPr>
          <w:rFonts w:hint="eastAsia" w:ascii="宋体" w:hAnsi="宋体"/>
          <w:sz w:val="28"/>
          <w:szCs w:val="28"/>
          <w:lang w:val="zh-CN"/>
        </w:rPr>
        <w:t>在</w:t>
      </w:r>
      <w:r>
        <w:rPr>
          <w:rFonts w:hint="eastAsia" w:ascii="宋体" w:hAnsi="宋体" w:eastAsia="宋体"/>
          <w:sz w:val="28"/>
          <w:szCs w:val="28"/>
          <w:lang w:val="zh-CN"/>
        </w:rPr>
        <w:t>实施预算绩效管理工作</w:t>
      </w:r>
      <w:r>
        <w:rPr>
          <w:rFonts w:hint="eastAsia" w:ascii="宋体" w:hAnsi="宋体"/>
          <w:sz w:val="28"/>
          <w:szCs w:val="28"/>
          <w:lang w:val="zh-CN"/>
        </w:rPr>
        <w:t>中</w:t>
      </w:r>
      <w:r>
        <w:rPr>
          <w:rFonts w:hint="eastAsia" w:ascii="宋体" w:hAnsi="宋体" w:eastAsia="宋体"/>
          <w:sz w:val="28"/>
          <w:szCs w:val="28"/>
          <w:lang w:val="zh-CN"/>
        </w:rPr>
        <w:t>，还存在对绩效管理文件精神学习不够深入、内涵把握不够准确的问题。</w:t>
      </w:r>
    </w:p>
    <w:p>
      <w:pPr>
        <w:ind w:firstLine="560" w:firstLineChars="200"/>
        <w:rPr>
          <w:rFonts w:hint="eastAsia" w:ascii="宋体" w:hAnsi="宋体" w:eastAsia="宋体"/>
          <w:sz w:val="28"/>
          <w:szCs w:val="28"/>
          <w:lang w:val="zh-CN"/>
        </w:rPr>
      </w:pPr>
      <w:r>
        <w:rPr>
          <w:rFonts w:hint="eastAsia" w:ascii="宋体" w:hAnsi="宋体" w:eastAsia="宋体"/>
          <w:sz w:val="28"/>
          <w:szCs w:val="28"/>
          <w:lang w:val="zh-CN"/>
        </w:rPr>
        <w:t>2.预算绩效指标编制不够准确。从实际项目执行来看，年初预算绩效指标体系设定较为宽泛，不能准确评价项目的开展情况，需要加强文件学习，科学制定绩效指标。</w:t>
      </w:r>
    </w:p>
    <w:p>
      <w:pPr>
        <w:ind w:firstLine="560" w:firstLineChars="200"/>
        <w:rPr>
          <w:rFonts w:hint="eastAsia" w:ascii="宋体" w:hAnsi="宋体" w:eastAsia="宋体"/>
          <w:sz w:val="28"/>
          <w:szCs w:val="28"/>
          <w:lang w:val="zh-CN"/>
        </w:rPr>
      </w:pPr>
      <w:r>
        <w:rPr>
          <w:rFonts w:hint="eastAsia" w:ascii="宋体" w:hAnsi="宋体" w:eastAsia="宋体"/>
          <w:sz w:val="28"/>
          <w:szCs w:val="28"/>
          <w:lang w:val="zh-CN"/>
        </w:rPr>
        <w:t>3.加强监督管理，将工期进行合理安排，严格按各分部工程工期要求，逐阶段检查兑现，有效控制进度目标，保证工程顺利推进，确保工程进度按计划完成。</w:t>
      </w:r>
    </w:p>
    <w:p>
      <w:pPr>
        <w:pStyle w:val="8"/>
        <w:rPr>
          <w:rFonts w:hint="default" w:ascii="宋体" w:hAnsi="宋体" w:eastAsia="宋体" w:cs="Times New Roman"/>
          <w:kern w:val="2"/>
          <w:sz w:val="28"/>
          <w:szCs w:val="28"/>
          <w:lang w:val="en-US" w:eastAsia="zh-CN" w:bidi="ar-SA"/>
        </w:rPr>
      </w:pPr>
      <w:r>
        <w:rPr>
          <w:rFonts w:hint="eastAsia" w:ascii="宋体" w:hAnsi="宋体"/>
          <w:sz w:val="28"/>
          <w:szCs w:val="28"/>
          <w:lang w:val="en-US" w:eastAsia="zh-CN"/>
        </w:rPr>
        <w:t>4.</w:t>
      </w:r>
      <w:r>
        <w:rPr>
          <w:rFonts w:hint="eastAsia" w:ascii="宋体" w:hAnsi="宋体" w:eastAsia="宋体" w:cs="Times New Roman"/>
          <w:kern w:val="2"/>
          <w:sz w:val="28"/>
          <w:szCs w:val="28"/>
          <w:lang w:val="en-US" w:eastAsia="zh-CN" w:bidi="ar-SA"/>
        </w:rPr>
        <w:t>国投公司年初预算867万元，12月实际到位金额300万元。综治中心2023年总支出</w:t>
      </w:r>
      <w:r>
        <w:rPr>
          <w:rFonts w:hint="eastAsia" w:ascii="宋体" w:hAnsi="宋体" w:cs="Times New Roman"/>
          <w:kern w:val="2"/>
          <w:sz w:val="28"/>
          <w:szCs w:val="28"/>
          <w:lang w:val="en-US" w:eastAsia="zh-CN" w:bidi="ar-SA"/>
        </w:rPr>
        <w:t>202</w:t>
      </w:r>
      <w:r>
        <w:rPr>
          <w:rFonts w:hint="eastAsia" w:ascii="宋体" w:hAnsi="宋体" w:eastAsia="宋体" w:cs="Times New Roman"/>
          <w:kern w:val="2"/>
          <w:sz w:val="28"/>
          <w:szCs w:val="28"/>
          <w:lang w:val="en-US" w:eastAsia="zh-CN" w:bidi="ar-SA"/>
        </w:rPr>
        <w:t>万元，执行率6</w:t>
      </w:r>
      <w:r>
        <w:rPr>
          <w:rFonts w:hint="eastAsia" w:ascii="宋体" w:hAnsi="宋体" w:cs="Times New Roman"/>
          <w:kern w:val="2"/>
          <w:sz w:val="28"/>
          <w:szCs w:val="28"/>
          <w:lang w:val="en-US" w:eastAsia="zh-CN" w:bidi="ar-SA"/>
        </w:rPr>
        <w:t>7</w:t>
      </w:r>
      <w:r>
        <w:rPr>
          <w:rFonts w:hint="eastAsia" w:ascii="宋体" w:hAnsi="宋体" w:eastAsia="宋体" w:cs="Times New Roman"/>
          <w:kern w:val="2"/>
          <w:sz w:val="28"/>
          <w:szCs w:val="28"/>
          <w:lang w:val="en-US" w:eastAsia="zh-CN" w:bidi="ar-SA"/>
        </w:rPr>
        <w:t>%。综治中心建设项目现已完工，但未完成终验。本项目约定在竣工验收合格后，用项目所处在楼宇租金的收入支付设计费，且在合同签订后三年内支付至合同暂定设计费的80%，因为2023年未收到政府大楼房屋租金，所以综治中心项目仅支付一小部分款项。</w:t>
      </w:r>
    </w:p>
    <w:p>
      <w:pPr>
        <w:pStyle w:val="2"/>
        <w:numPr>
          <w:ilvl w:val="0"/>
          <w:numId w:val="0"/>
        </w:numPr>
        <w:ind w:firstLine="560" w:firstLineChars="200"/>
        <w:rPr>
          <w:rFonts w:hint="eastAsia" w:ascii="宋体" w:hAnsi="宋体" w:eastAsia="宋体" w:cs="Times New Roman"/>
          <w:kern w:val="2"/>
          <w:sz w:val="28"/>
          <w:szCs w:val="28"/>
          <w:lang w:val="en-US" w:eastAsia="zh-CN" w:bidi="ar-SA"/>
        </w:rPr>
      </w:pPr>
      <w:r>
        <w:rPr>
          <w:rFonts w:hint="eastAsia" w:ascii="宋体" w:hAnsi="宋体" w:eastAsia="宋体" w:cs="Times New Roman"/>
          <w:kern w:val="2"/>
          <w:sz w:val="28"/>
          <w:szCs w:val="28"/>
          <w:lang w:val="en-US" w:eastAsia="zh-CN" w:bidi="ar-SA"/>
        </w:rPr>
        <w:t>由于昆明市国有公司的负面信息爆出，直接导致多家金融机构暂停昆明市国有公司融资业务，还有很多金融机构持观望态度，受本次负面信息的影响，五华国投公司自身还本付息资金无法筹集到位，将产生严重的债务违约风险。为保证我公司的债务链接能正常进行、维持企业征信和企业信用评级，故我公司无法按时向财政局上缴2023年的国有资本收益。</w:t>
      </w:r>
    </w:p>
    <w:p>
      <w:pPr>
        <w:ind w:firstLine="560" w:firstLineChars="200"/>
        <w:rPr>
          <w:rFonts w:hint="default" w:ascii="宋体" w:hAnsi="宋体" w:eastAsia="宋体" w:cs="Times New Roman"/>
          <w:kern w:val="2"/>
          <w:sz w:val="28"/>
          <w:szCs w:val="28"/>
          <w:lang w:val="en-US" w:eastAsia="zh-CN" w:bidi="ar-SA"/>
        </w:rPr>
      </w:pPr>
    </w:p>
    <w:p>
      <w:pPr>
        <w:pStyle w:val="6"/>
        <w:bidi w:val="0"/>
        <w:outlineLvl w:val="1"/>
        <w:rPr>
          <w:rFonts w:hint="eastAsia"/>
          <w:lang w:val="zh-CN"/>
        </w:rPr>
      </w:pPr>
      <w:bookmarkStart w:id="138" w:name="_Toc25083"/>
      <w:bookmarkStart w:id="139" w:name="_Toc18577"/>
      <w:bookmarkStart w:id="140" w:name="_Toc30993"/>
      <w:bookmarkStart w:id="141" w:name="_Toc22901"/>
      <w:bookmarkStart w:id="142" w:name="_Toc10836"/>
      <w:r>
        <w:rPr>
          <w:rFonts w:hint="eastAsia"/>
          <w:lang w:val="zh-CN"/>
        </w:rPr>
        <w:t>（三）建议</w:t>
      </w:r>
      <w:bookmarkEnd w:id="133"/>
      <w:bookmarkEnd w:id="134"/>
      <w:bookmarkEnd w:id="135"/>
      <w:bookmarkEnd w:id="136"/>
      <w:bookmarkEnd w:id="137"/>
      <w:bookmarkEnd w:id="138"/>
      <w:bookmarkEnd w:id="139"/>
      <w:bookmarkEnd w:id="140"/>
      <w:bookmarkEnd w:id="141"/>
      <w:bookmarkEnd w:id="142"/>
    </w:p>
    <w:p>
      <w:pPr>
        <w:ind w:firstLine="560" w:firstLineChars="200"/>
        <w:rPr>
          <w:rFonts w:ascii="宋体" w:hAnsi="宋体" w:eastAsia="宋体" w:cs="宋体"/>
          <w:kern w:val="2"/>
          <w:sz w:val="28"/>
          <w:szCs w:val="28"/>
        </w:rPr>
      </w:pPr>
      <w:r>
        <w:rPr>
          <w:rFonts w:hint="eastAsia" w:ascii="宋体" w:hAnsi="宋体" w:cs="宋体"/>
          <w:sz w:val="28"/>
          <w:szCs w:val="28"/>
          <w:lang w:eastAsia="zh-CN"/>
        </w:rPr>
        <w:t>我公司将</w:t>
      </w:r>
      <w:r>
        <w:rPr>
          <w:rFonts w:hint="eastAsia" w:ascii="宋体" w:hAnsi="宋体" w:eastAsia="宋体" w:cs="宋体"/>
          <w:sz w:val="28"/>
          <w:szCs w:val="28"/>
        </w:rPr>
        <w:t>按照</w:t>
      </w:r>
      <w:r>
        <w:rPr>
          <w:rFonts w:hint="eastAsia" w:ascii="宋体" w:hAnsi="宋体" w:eastAsia="宋体" w:cs="宋体"/>
          <w:kern w:val="2"/>
          <w:sz w:val="28"/>
          <w:szCs w:val="28"/>
        </w:rPr>
        <w:t>《五华区财政局关于开展202</w:t>
      </w:r>
      <w:r>
        <w:rPr>
          <w:rFonts w:hint="eastAsia" w:ascii="宋体" w:hAnsi="宋体" w:cs="宋体"/>
          <w:kern w:val="2"/>
          <w:sz w:val="28"/>
          <w:szCs w:val="28"/>
          <w:lang w:val="en-US" w:eastAsia="zh-CN"/>
        </w:rPr>
        <w:t>3</w:t>
      </w:r>
      <w:r>
        <w:rPr>
          <w:rFonts w:hint="eastAsia" w:ascii="宋体" w:hAnsi="宋体" w:eastAsia="宋体" w:cs="宋体"/>
          <w:kern w:val="2"/>
          <w:sz w:val="28"/>
          <w:szCs w:val="28"/>
        </w:rPr>
        <w:t>年度财政支出绩效重点评价工作的通知》（五财〔202</w:t>
      </w:r>
      <w:r>
        <w:rPr>
          <w:rFonts w:hint="eastAsia" w:ascii="宋体" w:hAnsi="宋体" w:cs="宋体"/>
          <w:kern w:val="2"/>
          <w:sz w:val="28"/>
          <w:szCs w:val="28"/>
          <w:lang w:val="en-US" w:eastAsia="zh-CN"/>
        </w:rPr>
        <w:t>4</w:t>
      </w:r>
      <w:r>
        <w:rPr>
          <w:rFonts w:hint="eastAsia" w:ascii="宋体" w:hAnsi="宋体" w:eastAsia="宋体" w:cs="宋体"/>
          <w:kern w:val="2"/>
          <w:sz w:val="28"/>
          <w:szCs w:val="28"/>
        </w:rPr>
        <w:t>〕</w:t>
      </w:r>
      <w:r>
        <w:rPr>
          <w:rFonts w:hint="eastAsia" w:ascii="宋体" w:hAnsi="宋体" w:cs="宋体"/>
          <w:kern w:val="2"/>
          <w:sz w:val="28"/>
          <w:szCs w:val="28"/>
          <w:lang w:val="en-US" w:eastAsia="zh-CN"/>
        </w:rPr>
        <w:t>25</w:t>
      </w:r>
      <w:r>
        <w:rPr>
          <w:rFonts w:hint="eastAsia" w:ascii="宋体" w:hAnsi="宋体" w:eastAsia="宋体" w:cs="宋体"/>
          <w:kern w:val="2"/>
          <w:sz w:val="28"/>
          <w:szCs w:val="28"/>
        </w:rPr>
        <w:t>号）的要求</w:t>
      </w:r>
      <w:r>
        <w:rPr>
          <w:rFonts w:ascii="宋体" w:hAnsi="宋体" w:eastAsia="宋体" w:cs="宋体"/>
          <w:sz w:val="28"/>
          <w:szCs w:val="28"/>
        </w:rPr>
        <w:t>开展自评工作，加强对项目绩效自评工作的认识，</w:t>
      </w:r>
      <w:r>
        <w:rPr>
          <w:rFonts w:hint="eastAsia" w:ascii="宋体" w:hAnsi="宋体" w:eastAsia="宋体" w:cs="宋体"/>
          <w:kern w:val="2"/>
          <w:sz w:val="28"/>
          <w:szCs w:val="28"/>
        </w:rPr>
        <w:t>完善绩效管理的组织建设，人员分工与职责要求，按财政部门自评工作程序开展自评工作。重视报告质量，相关自评报告格式、内容及附件要符合五华区财政局制定的范本要求。在自评过程中总结、提炼实施过程中好的经验和做法，为项目实施单位、财政部门改进政策和项目管理、完善政策和预算管理提供可行性参考建议。也为单位下一年度预算编制提供充分有效的依据，以达到改进预算管理、控制成本、优化资源配置、确保项目产出与效果、提高财政资金的有效利用。所以项目实施单位要充分认识到预算绩效管理的重要性，重视预算绩效全过程管理的实施与监管，强化预算项目的绩效闭环管理。</w:t>
      </w:r>
    </w:p>
    <w:p>
      <w:pPr>
        <w:rPr>
          <w:rFonts w:ascii="宋体" w:hAnsi="宋体" w:eastAsia="宋体" w:cs="宋体"/>
          <w:b/>
          <w:sz w:val="28"/>
          <w:szCs w:val="28"/>
        </w:rPr>
      </w:pPr>
      <w:r>
        <w:rPr>
          <w:rFonts w:hint="eastAsia" w:ascii="宋体" w:hAnsi="宋体" w:eastAsia="宋体" w:cs="宋体"/>
          <w:b/>
          <w:sz w:val="28"/>
          <w:szCs w:val="28"/>
        </w:rPr>
        <w:br w:type="page"/>
      </w:r>
    </w:p>
    <w:p>
      <w:pPr>
        <w:ind w:firstLine="0" w:firstLineChars="0"/>
        <w:outlineLvl w:val="1"/>
        <w:rPr>
          <w:rFonts w:ascii="宋体" w:hAnsi="宋体" w:eastAsia="宋体" w:cs="宋体"/>
          <w:b/>
          <w:sz w:val="28"/>
          <w:szCs w:val="28"/>
        </w:rPr>
      </w:pPr>
      <w:bookmarkStart w:id="143" w:name="_Toc28228"/>
      <w:bookmarkStart w:id="144" w:name="_Toc18573"/>
      <w:bookmarkStart w:id="145" w:name="_Toc23583"/>
      <w:bookmarkStart w:id="146" w:name="_Toc14217"/>
      <w:bookmarkStart w:id="147" w:name="_Toc24285"/>
      <w:r>
        <w:rPr>
          <w:rFonts w:hint="eastAsia" w:ascii="宋体" w:hAnsi="宋体" w:eastAsia="宋体" w:cs="宋体"/>
          <w:b/>
          <w:sz w:val="28"/>
          <w:szCs w:val="28"/>
        </w:rPr>
        <w:t>附件：</w:t>
      </w:r>
      <w:bookmarkEnd w:id="143"/>
      <w:bookmarkEnd w:id="144"/>
      <w:bookmarkEnd w:id="145"/>
      <w:bookmarkEnd w:id="146"/>
      <w:bookmarkEnd w:id="147"/>
    </w:p>
    <w:p>
      <w:pPr>
        <w:pStyle w:val="7"/>
        <w:ind w:firstLine="562" w:firstLineChars="200"/>
      </w:pPr>
      <w:r>
        <w:rPr>
          <w:rFonts w:hint="eastAsia"/>
        </w:rPr>
        <w:t>1、</w:t>
      </w:r>
      <w:bookmarkStart w:id="148" w:name="_Hlk527019673"/>
      <w:r>
        <w:rPr>
          <w:rFonts w:hint="eastAsia"/>
        </w:rPr>
        <w:t>问卷调查结果汇总表</w:t>
      </w:r>
    </w:p>
    <w:p>
      <w:pPr>
        <w:pStyle w:val="7"/>
        <w:ind w:firstLine="562" w:firstLineChars="200"/>
        <w:rPr>
          <w:rFonts w:hint="eastAsia"/>
        </w:rPr>
      </w:pPr>
      <w:r>
        <w:rPr>
          <w:rFonts w:hint="eastAsia"/>
        </w:rPr>
        <w:t>2、</w:t>
      </w:r>
      <w:bookmarkEnd w:id="148"/>
      <w:r>
        <w:rPr>
          <w:rFonts w:hint="eastAsia"/>
        </w:rPr>
        <w:t>问卷调查报告</w:t>
      </w:r>
    </w:p>
    <w:p>
      <w:pPr>
        <w:pStyle w:val="7"/>
        <w:ind w:firstLine="562" w:firstLineChars="200"/>
        <w:rPr>
          <w:rFonts w:hint="default"/>
          <w:lang w:val="en-US" w:eastAsia="zh-CN"/>
        </w:rPr>
      </w:pPr>
      <w:r>
        <w:rPr>
          <w:rFonts w:hint="eastAsia"/>
        </w:rPr>
        <w:t>3、</w:t>
      </w:r>
      <w:r>
        <w:rPr>
          <w:rFonts w:hint="eastAsia"/>
          <w:lang w:val="en-US" w:eastAsia="zh-CN"/>
        </w:rPr>
        <w:t>2023年综治中心项目资金支出情况</w:t>
      </w:r>
    </w:p>
    <w:p>
      <w:pPr>
        <w:pStyle w:val="7"/>
        <w:numPr>
          <w:ilvl w:val="0"/>
          <w:numId w:val="5"/>
        </w:numPr>
        <w:ind w:firstLine="562" w:firstLineChars="200"/>
        <w:jc w:val="left"/>
        <w:rPr>
          <w:rFonts w:hint="eastAsia"/>
          <w:lang w:eastAsia="zh-CN"/>
        </w:rPr>
      </w:pPr>
      <w:bookmarkStart w:id="149" w:name="_Hlk527019729"/>
      <w:r>
        <w:rPr>
          <w:rFonts w:hint="eastAsia"/>
          <w:lang w:eastAsia="zh-CN"/>
        </w:rPr>
        <w:t>工程竣工文件</w:t>
      </w:r>
    </w:p>
    <w:p>
      <w:pPr>
        <w:pStyle w:val="7"/>
        <w:numPr>
          <w:ilvl w:val="0"/>
          <w:numId w:val="5"/>
        </w:numPr>
        <w:ind w:left="0" w:leftChars="0" w:firstLine="562" w:firstLineChars="200"/>
        <w:jc w:val="left"/>
      </w:pPr>
      <w:r>
        <w:rPr>
          <w:rFonts w:hint="eastAsia"/>
          <w:lang w:eastAsia="zh-CN"/>
        </w:rPr>
        <w:t>无安全事故证明</w:t>
      </w:r>
    </w:p>
    <w:p>
      <w:pPr>
        <w:pStyle w:val="7"/>
        <w:numPr>
          <w:ilvl w:val="0"/>
          <w:numId w:val="5"/>
        </w:numPr>
        <w:ind w:left="0" w:leftChars="0" w:firstLine="562" w:firstLineChars="200"/>
        <w:jc w:val="left"/>
      </w:pPr>
      <w:r>
        <w:rPr>
          <w:rFonts w:hint="eastAsia"/>
          <w:lang w:eastAsia="zh-CN"/>
        </w:rPr>
        <w:t>建筑施工现场安全管理条例</w:t>
      </w:r>
    </w:p>
    <w:p>
      <w:pPr>
        <w:pStyle w:val="7"/>
        <w:ind w:firstLine="562" w:firstLineChars="200"/>
        <w:jc w:val="left"/>
        <w:rPr>
          <w:rFonts w:hint="eastAsia"/>
          <w:lang w:eastAsia="zh-CN"/>
        </w:rPr>
      </w:pPr>
      <w:r>
        <w:rPr>
          <w:rFonts w:hint="eastAsia"/>
        </w:rPr>
        <w:t>7、</w:t>
      </w:r>
      <w:bookmarkEnd w:id="149"/>
      <w:r>
        <w:rPr>
          <w:rFonts w:hint="eastAsia"/>
          <w:lang w:eastAsia="zh-CN"/>
        </w:rPr>
        <w:t>区级项目支出绩效自评表</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0"/>
    <w:family w:val="auto"/>
    <w:pitch w:val="default"/>
    <w:sig w:usb0="E0002AFF" w:usb1="C0007841" w:usb2="00000009" w:usb3="00000000" w:csb0="400001FF" w:csb1="FFFF0000"/>
  </w:font>
  <w:font w:name="宋体">
    <w:panose1 w:val="02010600030101010101"/>
    <w:charset w:val="4D"/>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ongti SC Regular">
    <w:altName w:val="Segoe Print"/>
    <w:panose1 w:val="00000000000000000000"/>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Unicode MS">
    <w:panose1 w:val="020B0604020202020204"/>
    <w:charset w:val="86"/>
    <w:family w:val="auto"/>
    <w:pitch w:val="default"/>
    <w:sig w:usb0="FFFFFFFF" w:usb1="E9FFFFFF" w:usb2="0000003F" w:usb3="00000000" w:csb0="603F01FF" w:csb1="FFFF0000"/>
  </w:font>
  <w:font w:name="Cambria">
    <w:panose1 w:val="02040503050406030204"/>
    <w:charset w:val="00"/>
    <w:family w:val="roman"/>
    <w:pitch w:val="default"/>
    <w:sig w:usb0="E00002FF" w:usb1="400004FF" w:usb2="0000000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MS PGothic">
    <w:panose1 w:val="020B0600070205080204"/>
    <w:charset w:val="80"/>
    <w:family w:val="auto"/>
    <w:pitch w:val="default"/>
    <w:sig w:usb0="E00002FF" w:usb1="6AC7FDFB" w:usb2="00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769FFA"/>
    <w:multiLevelType w:val="singleLevel"/>
    <w:tmpl w:val="DF769FFA"/>
    <w:lvl w:ilvl="0" w:tentative="0">
      <w:start w:val="5"/>
      <w:numFmt w:val="chineseCounting"/>
      <w:suff w:val="nothing"/>
      <w:lvlText w:val="（%1）"/>
      <w:lvlJc w:val="left"/>
      <w:rPr>
        <w:rFonts w:hint="eastAsia"/>
      </w:rPr>
    </w:lvl>
  </w:abstractNum>
  <w:abstractNum w:abstractNumId="1">
    <w:nsid w:val="06C58ADB"/>
    <w:multiLevelType w:val="singleLevel"/>
    <w:tmpl w:val="06C58ADB"/>
    <w:lvl w:ilvl="0" w:tentative="0">
      <w:start w:val="6"/>
      <w:numFmt w:val="decimal"/>
      <w:suff w:val="nothing"/>
      <w:lvlText w:val="%1、"/>
      <w:lvlJc w:val="left"/>
    </w:lvl>
  </w:abstractNum>
  <w:abstractNum w:abstractNumId="2">
    <w:nsid w:val="1B9336C8"/>
    <w:multiLevelType w:val="singleLevel"/>
    <w:tmpl w:val="1B9336C8"/>
    <w:lvl w:ilvl="0" w:tentative="0">
      <w:start w:val="1"/>
      <w:numFmt w:val="chineseCounting"/>
      <w:suff w:val="nothing"/>
      <w:lvlText w:val="%1、"/>
      <w:lvlJc w:val="left"/>
      <w:rPr>
        <w:rFonts w:hint="eastAsia"/>
      </w:rPr>
    </w:lvl>
  </w:abstractNum>
  <w:abstractNum w:abstractNumId="3">
    <w:nsid w:val="249040F5"/>
    <w:multiLevelType w:val="singleLevel"/>
    <w:tmpl w:val="249040F5"/>
    <w:lvl w:ilvl="0" w:tentative="0">
      <w:start w:val="1"/>
      <w:numFmt w:val="decimal"/>
      <w:suff w:val="nothing"/>
      <w:lvlText w:val="%1、"/>
      <w:lvlJc w:val="left"/>
    </w:lvl>
  </w:abstractNum>
  <w:abstractNum w:abstractNumId="4">
    <w:nsid w:val="73231C31"/>
    <w:multiLevelType w:val="singleLevel"/>
    <w:tmpl w:val="73231C31"/>
    <w:lvl w:ilvl="0" w:tentative="0">
      <w:start w:val="4"/>
      <w:numFmt w:val="decimal"/>
      <w:suff w:val="nothing"/>
      <w:lvlText w:val="%1、"/>
      <w:lvlJc w:val="left"/>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172A27"/>
    <w:rsid w:val="0057224D"/>
    <w:rsid w:val="00801292"/>
    <w:rsid w:val="00855957"/>
    <w:rsid w:val="00887C85"/>
    <w:rsid w:val="009023EC"/>
    <w:rsid w:val="009C1A31"/>
    <w:rsid w:val="00D03DA3"/>
    <w:rsid w:val="00F62FAF"/>
    <w:rsid w:val="0BF30DCB"/>
    <w:rsid w:val="0FB775DE"/>
    <w:rsid w:val="2C9A6A38"/>
    <w:rsid w:val="2CE71C50"/>
    <w:rsid w:val="2D5112B7"/>
    <w:rsid w:val="2D954C95"/>
    <w:rsid w:val="4EFA3383"/>
    <w:rsid w:val="50631838"/>
    <w:rsid w:val="5F3A0608"/>
    <w:rsid w:val="67A64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 id="V:Rule2" type="connector" idref="#_x0000_s1027"/>
        <o:r id="V:Rule3" type="connector" idref="#_x0000_s1028"/>
        <o:r id="V:Rule4" type="connector" idref="#_x0000_s1029"/>
        <o:r id="V:Rule5" type="connector" idref="#_x0000_s103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17"/>
    <w:qFormat/>
    <w:uiPriority w:val="9"/>
    <w:pPr>
      <w:keepNext/>
      <w:keepLines/>
      <w:spacing w:before="340" w:after="330" w:line="578" w:lineRule="auto"/>
      <w:outlineLvl w:val="0"/>
    </w:pPr>
    <w:rPr>
      <w:b/>
      <w:bCs/>
      <w:kern w:val="44"/>
      <w:sz w:val="44"/>
      <w:szCs w:val="44"/>
    </w:rPr>
  </w:style>
  <w:style w:type="paragraph" w:styleId="5">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paragraph" w:styleId="7">
    <w:name w:val="heading 5"/>
    <w:basedOn w:val="1"/>
    <w:next w:val="1"/>
    <w:unhideWhenUsed/>
    <w:qFormat/>
    <w:uiPriority w:val="9"/>
    <w:pPr>
      <w:keepNext/>
      <w:keepLines/>
      <w:spacing w:before="280" w:beforeLines="0" w:beforeAutospacing="0" w:after="290" w:afterLines="0" w:afterAutospacing="0" w:line="372" w:lineRule="auto"/>
      <w:outlineLvl w:val="4"/>
    </w:pPr>
    <w:rPr>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Default"/>
    <w:basedOn w:val="3"/>
    <w:next w:val="1"/>
    <w:qFormat/>
    <w:uiPriority w:val="0"/>
    <w:pPr>
      <w:widowControl w:val="0"/>
      <w:autoSpaceDE w:val="0"/>
      <w:autoSpaceDN w:val="0"/>
      <w:adjustRightInd w:val="0"/>
    </w:pPr>
    <w:rPr>
      <w:rFonts w:ascii="Times New Roman" w:hAnsi="Times New Roman" w:eastAsia="宋体" w:cs="Calibri"/>
      <w:color w:val="000000"/>
      <w:sz w:val="24"/>
      <w:szCs w:val="24"/>
      <w:lang w:val="en-US" w:eastAsia="zh-CN" w:bidi="ar-SA"/>
    </w:rPr>
  </w:style>
  <w:style w:type="paragraph" w:customStyle="1" w:styleId="3">
    <w:name w:val="正文1"/>
    <w:qFormat/>
    <w:uiPriority w:val="99"/>
    <w:rPr>
      <w:rFonts w:ascii="Songti SC Regular" w:hAnsi="Songti SC Regular" w:eastAsia="Arial Unicode MS" w:cs="Arial Unicode MS"/>
      <w:color w:val="000000"/>
      <w:kern w:val="0"/>
      <w:sz w:val="22"/>
      <w:szCs w:val="22"/>
      <w:lang w:val="en-US" w:eastAsia="zh-CN" w:bidi="ar-SA"/>
    </w:rPr>
  </w:style>
  <w:style w:type="paragraph" w:styleId="8">
    <w:name w:val="Normal Indent"/>
    <w:basedOn w:val="1"/>
    <w:qFormat/>
    <w:uiPriority w:val="0"/>
    <w:pPr>
      <w:ind w:firstLine="420" w:firstLineChars="200"/>
    </w:pPr>
  </w:style>
  <w:style w:type="paragraph" w:styleId="9">
    <w:name w:val="Body Text"/>
    <w:basedOn w:val="1"/>
    <w:qFormat/>
    <w:uiPriority w:val="1"/>
    <w:pPr>
      <w:ind w:left="220"/>
    </w:pPr>
    <w:rPr>
      <w:rFonts w:ascii="宋体" w:hAnsi="宋体" w:eastAsia="宋体" w:cs="宋体"/>
      <w:sz w:val="24"/>
      <w:szCs w:val="24"/>
      <w:lang w:val="zh-CN" w:eastAsia="zh-CN" w:bidi="zh-CN"/>
    </w:rPr>
  </w:style>
  <w:style w:type="paragraph" w:styleId="10">
    <w:name w:val="footer"/>
    <w:basedOn w:val="1"/>
    <w:link w:val="19"/>
    <w:semiHidden/>
    <w:unhideWhenUsed/>
    <w:qFormat/>
    <w:uiPriority w:val="99"/>
    <w:pPr>
      <w:tabs>
        <w:tab w:val="center" w:pos="4153"/>
        <w:tab w:val="right" w:pos="8306"/>
      </w:tabs>
      <w:snapToGrid w:val="0"/>
      <w:jc w:val="left"/>
    </w:pPr>
    <w:rPr>
      <w:sz w:val="18"/>
      <w:szCs w:val="18"/>
    </w:rPr>
  </w:style>
  <w:style w:type="paragraph" w:styleId="11">
    <w:name w:val="header"/>
    <w:basedOn w:val="1"/>
    <w:link w:val="1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customStyle="1" w:styleId="15">
    <w:name w:val="TOC 标题1"/>
    <w:basedOn w:val="4"/>
    <w:next w:val="1"/>
    <w:qFormat/>
    <w:uiPriority w:val="99"/>
    <w:pPr>
      <w:widowControl/>
      <w:spacing w:before="480" w:after="0" w:line="276" w:lineRule="auto"/>
      <w:jc w:val="left"/>
      <w:outlineLvl w:val="9"/>
    </w:pPr>
    <w:rPr>
      <w:rFonts w:ascii="Cambria" w:hAnsi="Cambria" w:cs="Cambria"/>
      <w:color w:val="365F91"/>
      <w:kern w:val="0"/>
      <w:sz w:val="28"/>
      <w:szCs w:val="28"/>
    </w:rPr>
  </w:style>
  <w:style w:type="paragraph" w:customStyle="1" w:styleId="16">
    <w:name w:val="正文 A"/>
    <w:qFormat/>
    <w:uiPriority w:val="99"/>
    <w:pPr>
      <w:spacing w:after="200" w:line="276" w:lineRule="auto"/>
    </w:pPr>
    <w:rPr>
      <w:rFonts w:ascii="Calibri" w:hAnsi="Calibri" w:eastAsia="宋体" w:cs="Calibri"/>
      <w:color w:val="000000"/>
      <w:kern w:val="0"/>
      <w:sz w:val="22"/>
      <w:szCs w:val="22"/>
      <w:u w:color="000000"/>
      <w:lang w:val="en-US" w:eastAsia="zh-CN" w:bidi="ar-SA"/>
    </w:rPr>
  </w:style>
  <w:style w:type="character" w:customStyle="1" w:styleId="17">
    <w:name w:val="标题 1 Char"/>
    <w:basedOn w:val="14"/>
    <w:link w:val="4"/>
    <w:qFormat/>
    <w:uiPriority w:val="9"/>
    <w:rPr>
      <w:rFonts w:ascii="Calibri" w:hAnsi="Calibri" w:eastAsia="宋体" w:cs="Times New Roman"/>
      <w:b/>
      <w:bCs/>
      <w:kern w:val="44"/>
      <w:sz w:val="44"/>
      <w:szCs w:val="44"/>
    </w:rPr>
  </w:style>
  <w:style w:type="character" w:customStyle="1" w:styleId="18">
    <w:name w:val="页眉 Char"/>
    <w:basedOn w:val="14"/>
    <w:link w:val="11"/>
    <w:semiHidden/>
    <w:qFormat/>
    <w:uiPriority w:val="99"/>
    <w:rPr>
      <w:rFonts w:ascii="Calibri" w:hAnsi="Calibri" w:eastAsia="宋体" w:cs="Times New Roman"/>
      <w:sz w:val="18"/>
      <w:szCs w:val="18"/>
    </w:rPr>
  </w:style>
  <w:style w:type="character" w:customStyle="1" w:styleId="19">
    <w:name w:val="页脚 Char"/>
    <w:basedOn w:val="14"/>
    <w:link w:val="10"/>
    <w:semiHidden/>
    <w:qFormat/>
    <w:uiPriority w:val="99"/>
    <w:rPr>
      <w:rFonts w:ascii="Calibri" w:hAnsi="Calibri" w:eastAsia="宋体" w:cs="Times New Roman"/>
      <w:sz w:val="18"/>
      <w:szCs w:val="18"/>
    </w:rPr>
  </w:style>
  <w:style w:type="character" w:customStyle="1" w:styleId="20">
    <w:name w:val="font01"/>
    <w:basedOn w:val="14"/>
    <w:qFormat/>
    <w:uiPriority w:val="0"/>
    <w:rPr>
      <w:rFonts w:hint="eastAsia" w:ascii="宋体" w:hAnsi="宋体" w:eastAsia="宋体" w:cs="宋体"/>
      <w:color w:val="000000"/>
      <w:sz w:val="22"/>
      <w:szCs w:val="22"/>
      <w:u w:val="none"/>
    </w:rPr>
  </w:style>
  <w:style w:type="character" w:customStyle="1" w:styleId="21">
    <w:name w:val="font11"/>
    <w:basedOn w:val="14"/>
    <w:qFormat/>
    <w:uiPriority w:val="0"/>
    <w:rPr>
      <w:rFonts w:ascii="Calibri" w:hAnsi="Calibri" w:cs="Calibri"/>
      <w:color w:val="000000"/>
      <w:sz w:val="22"/>
      <w:szCs w:val="22"/>
      <w:u w:val="none"/>
    </w:rPr>
  </w:style>
  <w:style w:type="character" w:customStyle="1" w:styleId="22">
    <w:name w:val="font31"/>
    <w:basedOn w:val="14"/>
    <w:qFormat/>
    <w:uiPriority w:val="0"/>
    <w:rPr>
      <w:rFonts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Info spid="_x0000_s1028"/>
    <customShpInfo spid="_x0000_s1029"/>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223</Words>
  <Characters>1272</Characters>
  <Lines>10</Lines>
  <Paragraphs>2</Paragraphs>
  <TotalTime>137</TotalTime>
  <ScaleCrop>false</ScaleCrop>
  <LinksUpToDate>false</LinksUpToDate>
  <CharactersWithSpaces>1493</CharactersWithSpaces>
  <Application>WPS Office_11.8.6.11020_F1E327BC-269C-435d-A152-05C5408002CA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2019-03-28T06:05:00Z</dcterms:created>
  <dc:creator>hp</dc:creator>
  <cp:lastModifiedBy>落花时节又逢君</cp:lastModifiedBy>
  <dcterms:modified xsi:type="dcterms:W3CDTF">2024-05-21T08:36:02Z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CF6C7EF730B8490BA3405A436F0D2737</vt:lpwstr>
  </property>
</Properties>
</file>