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rFonts w:hint="eastAsia" w:ascii="方正小标宋_GBK" w:hAnsi="方正小标宋_GBK" w:eastAsia="方正小标宋_GBK" w:cs="方正小标宋_GBK"/>
          <w:color w:val="auto"/>
          <w:sz w:val="30"/>
          <w:szCs w:val="30"/>
        </w:rPr>
      </w:pPr>
      <w:r>
        <w:rPr>
          <w:rFonts w:hint="eastAsia" w:ascii="方正小标宋_GBK" w:hAnsi="方正小标宋_GBK" w:eastAsia="方正小标宋_GBK" w:cs="方正小标宋_GBK"/>
          <w:color w:val="auto"/>
          <w:sz w:val="44"/>
          <w:szCs w:val="44"/>
        </w:rPr>
        <w:t>项目支出绩效评价报告</w:t>
      </w:r>
    </w:p>
    <w:p>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default" w:ascii="Times New Roman" w:hAnsi="Times New Roman" w:eastAsia="仿宋_GB2312" w:cs="Times New Roman"/>
          <w:color w:val="auto"/>
          <w:sz w:val="30"/>
          <w:szCs w:val="30"/>
          <w:lang w:val="en-US" w:eastAsia="zh-CN"/>
        </w:rPr>
      </w:pP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一、基本情况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（一）项目概况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党的二十大报告中指出“坚持男女平等基本国策，保障妇女儿童合法权益”。全国妇联高度重视基层维权关爱服务工作，将其作为履行引领服务联系职能，为党和政府分忧、为妇女儿童和家庭解难的重要着力点。</w:t>
      </w:r>
      <w:r>
        <w:rPr>
          <w:rFonts w:hint="default" w:ascii="Times New Roman" w:hAnsi="Times New Roman" w:eastAsia="仿宋_GB2312" w:cs="Times New Roman"/>
          <w:color w:val="auto"/>
          <w:sz w:val="32"/>
          <w:szCs w:val="32"/>
          <w:highlight w:val="none"/>
        </w:rPr>
        <w:t>近年来，昆明市五华区</w:t>
      </w:r>
      <w:r>
        <w:rPr>
          <w:rFonts w:hint="default" w:ascii="Times New Roman" w:hAnsi="Times New Roman" w:eastAsia="仿宋_GB2312" w:cs="Times New Roman"/>
          <w:color w:val="auto"/>
          <w:sz w:val="32"/>
          <w:szCs w:val="32"/>
        </w:rPr>
        <w:t>不断构建完善“党政主导、部门联动、社会协同”的妇女儿童维权机制，分类推动解决实际问题，妇女儿童</w:t>
      </w:r>
      <w:r>
        <w:rPr>
          <w:rFonts w:hint="eastAsia"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sz w:val="32"/>
          <w:szCs w:val="32"/>
        </w:rPr>
        <w:t>幸福感</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安全感</w:t>
      </w:r>
      <w:r>
        <w:rPr>
          <w:rFonts w:hint="eastAsia" w:ascii="Times New Roman" w:hAnsi="Times New Roman" w:eastAsia="仿宋_GB2312" w:cs="Times New Roman"/>
          <w:color w:val="auto"/>
          <w:sz w:val="32"/>
          <w:szCs w:val="32"/>
          <w:lang w:eastAsia="zh-CN"/>
        </w:rPr>
        <w:t>不断提升。为更好的推广五华模式，给其他地区</w:t>
      </w:r>
      <w:r>
        <w:rPr>
          <w:rFonts w:hint="default" w:ascii="Times New Roman" w:hAnsi="Times New Roman" w:eastAsia="仿宋_GB2312" w:cs="Times New Roman"/>
          <w:color w:val="auto"/>
          <w:sz w:val="32"/>
          <w:szCs w:val="32"/>
        </w:rPr>
        <w:t>妇女儿童维权工作开展提供参考</w:t>
      </w:r>
      <w:r>
        <w:rPr>
          <w:rFonts w:hint="eastAsia" w:ascii="Times New Roman" w:hAnsi="Times New Roman" w:eastAsia="仿宋_GB2312" w:cs="Times New Roman"/>
          <w:color w:val="auto"/>
          <w:sz w:val="32"/>
          <w:szCs w:val="32"/>
          <w:lang w:eastAsia="zh-CN"/>
        </w:rPr>
        <w:t>，五华区</w:t>
      </w:r>
      <w:r>
        <w:rPr>
          <w:rFonts w:hint="default" w:ascii="Times New Roman" w:hAnsi="Times New Roman" w:eastAsia="仿宋_GB2312" w:cs="Times New Roman"/>
          <w:color w:val="auto"/>
          <w:sz w:val="32"/>
          <w:szCs w:val="32"/>
        </w:rPr>
        <w:t>通过拍摄专题汇报片</w:t>
      </w:r>
      <w:r>
        <w:rPr>
          <w:rFonts w:hint="eastAsia" w:ascii="Times New Roman" w:hAnsi="Times New Roman" w:eastAsia="仿宋_GB2312" w:cs="Times New Roman"/>
          <w:color w:val="auto"/>
          <w:sz w:val="32"/>
          <w:szCs w:val="32"/>
          <w:lang w:eastAsia="zh-CN"/>
        </w:rPr>
        <w:t>，详细讲解工作机制和取得的工作成效。</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2023年妇女儿童合法权益宣传经费年初预算数5万元，主要用于拍摄制作保护妇女儿童合法权益汇报片，实际执行数5万元，执行率100%。</w:t>
      </w:r>
    </w:p>
    <w:p>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项目绩效目标</w:t>
      </w:r>
    </w:p>
    <w:p>
      <w:pPr>
        <w:pStyle w:val="2"/>
        <w:keepNext w:val="0"/>
        <w:keepLines w:val="0"/>
        <w:pageBreakBefore w:val="0"/>
        <w:kinsoku/>
        <w:wordWrap/>
        <w:overflowPunct/>
        <w:autoSpaceDE/>
        <w:autoSpaceDN/>
        <w:bidi w:val="0"/>
        <w:adjustRightInd/>
        <w:snapToGrid/>
        <w:spacing w:line="560" w:lineRule="exact"/>
        <w:jc w:val="both"/>
        <w:textAlignment w:val="auto"/>
        <w:rPr>
          <w:rFonts w:hint="eastAsia" w:ascii="Times New Roman" w:hAnsi="Times New Roman" w:eastAsia="仿宋_GB2312" w:cs="Times New Roman"/>
          <w:lang w:val="en-US" w:eastAsia="zh-CN"/>
        </w:rPr>
      </w:pPr>
      <w:r>
        <w:rPr>
          <w:rFonts w:hint="default" w:ascii="Times New Roman" w:hAnsi="Times New Roman" w:cs="Times New Roman"/>
          <w:lang w:val="en-US" w:eastAsia="zh-CN"/>
        </w:rPr>
        <w:t xml:space="preserve">      </w:t>
      </w:r>
      <w:r>
        <w:rPr>
          <w:rFonts w:hint="default" w:ascii="Times New Roman" w:hAnsi="Times New Roman" w:eastAsia="仿宋_GB2312" w:cs="Times New Roman"/>
          <w:color w:val="auto"/>
          <w:sz w:val="32"/>
          <w:szCs w:val="32"/>
        </w:rPr>
        <w:t>通过拍摄专题汇报片</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为其</w:t>
      </w:r>
      <w:r>
        <w:rPr>
          <w:rFonts w:hint="eastAsia" w:eastAsia="仿宋_GB2312" w:cs="Times New Roman"/>
          <w:color w:val="auto"/>
          <w:sz w:val="32"/>
          <w:szCs w:val="32"/>
          <w:lang w:eastAsia="zh-CN"/>
        </w:rPr>
        <w:t>他</w:t>
      </w:r>
      <w:r>
        <w:rPr>
          <w:rFonts w:hint="default" w:ascii="Times New Roman" w:hAnsi="Times New Roman" w:eastAsia="仿宋_GB2312" w:cs="Times New Roman"/>
          <w:color w:val="auto"/>
          <w:sz w:val="32"/>
          <w:szCs w:val="32"/>
        </w:rPr>
        <w:t>地区妇女儿童维权工作开展提供模式参考，更好</w:t>
      </w:r>
      <w:r>
        <w:rPr>
          <w:rFonts w:hint="eastAsia" w:eastAsia="仿宋_GB2312" w:cs="Times New Roman"/>
          <w:color w:val="auto"/>
          <w:sz w:val="32"/>
          <w:szCs w:val="32"/>
          <w:lang w:eastAsia="zh-CN"/>
        </w:rPr>
        <w:t>地</w:t>
      </w:r>
      <w:r>
        <w:rPr>
          <w:rFonts w:hint="default" w:ascii="Times New Roman" w:hAnsi="Times New Roman" w:eastAsia="仿宋_GB2312" w:cs="Times New Roman"/>
          <w:color w:val="auto"/>
          <w:sz w:val="32"/>
          <w:szCs w:val="32"/>
        </w:rPr>
        <w:t>讲好五华故事、展现五华形象</w:t>
      </w:r>
      <w:r>
        <w:rPr>
          <w:rFonts w:hint="eastAsia" w:eastAsia="仿宋_GB2312" w:cs="Times New Roman"/>
          <w:color w:val="auto"/>
          <w:sz w:val="32"/>
          <w:szCs w:val="32"/>
          <w:lang w:eastAsia="zh-CN"/>
        </w:rPr>
        <w:t>。</w:t>
      </w:r>
    </w:p>
    <w:p>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项目组织管理情况</w:t>
      </w:r>
    </w:p>
    <w:p>
      <w:pPr>
        <w:keepNext w:val="0"/>
        <w:keepLines w:val="0"/>
        <w:pageBreakBefore w:val="0"/>
        <w:kinsoku/>
        <w:wordWrap/>
        <w:overflowPunct/>
        <w:autoSpaceDE/>
        <w:autoSpaceDN/>
        <w:bidi w:val="0"/>
        <w:adjustRightInd/>
        <w:snapToGrid/>
        <w:spacing w:line="560" w:lineRule="exact"/>
        <w:ind w:firstLine="615"/>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为顺利推动项目实施，</w:t>
      </w:r>
      <w:r>
        <w:rPr>
          <w:rFonts w:hint="default" w:ascii="Times New Roman" w:hAnsi="Times New Roman" w:eastAsia="仿宋_GB2312" w:cs="Times New Roman"/>
          <w:sz w:val="32"/>
          <w:szCs w:val="32"/>
        </w:rPr>
        <w:t>成立</w:t>
      </w:r>
      <w:r>
        <w:rPr>
          <w:rFonts w:hint="eastAsia" w:ascii="Times New Roman" w:hAnsi="Times New Roman" w:eastAsia="仿宋_GB2312" w:cs="Times New Roman"/>
          <w:sz w:val="32"/>
          <w:szCs w:val="32"/>
          <w:lang w:eastAsia="zh-CN"/>
        </w:rPr>
        <w:t>专题汇报片</w:t>
      </w:r>
      <w:r>
        <w:rPr>
          <w:rFonts w:hint="default" w:ascii="Times New Roman" w:hAnsi="Times New Roman" w:eastAsia="仿宋_GB2312" w:cs="Times New Roman"/>
          <w:sz w:val="32"/>
          <w:szCs w:val="32"/>
        </w:rPr>
        <w:t>项目领导小组，由中心</w:t>
      </w:r>
      <w:r>
        <w:rPr>
          <w:rFonts w:hint="default" w:ascii="Times New Roman" w:hAnsi="Times New Roman" w:eastAsia="仿宋_GB2312" w:cs="Times New Roman"/>
          <w:sz w:val="32"/>
          <w:szCs w:val="32"/>
          <w:lang w:val="en-US" w:eastAsia="zh-CN"/>
        </w:rPr>
        <w:t>副</w:t>
      </w:r>
      <w:r>
        <w:rPr>
          <w:rFonts w:hint="default" w:ascii="Times New Roman" w:hAnsi="Times New Roman" w:eastAsia="仿宋_GB2312" w:cs="Times New Roman"/>
          <w:sz w:val="32"/>
          <w:szCs w:val="32"/>
        </w:rPr>
        <w:t>主任任组长，</w:t>
      </w:r>
      <w:r>
        <w:rPr>
          <w:rFonts w:hint="default" w:ascii="Times New Roman" w:hAnsi="Times New Roman" w:eastAsia="仿宋_GB2312" w:cs="Times New Roman"/>
          <w:sz w:val="32"/>
          <w:szCs w:val="32"/>
          <w:lang w:val="en-US" w:eastAsia="zh-CN"/>
        </w:rPr>
        <w:t>策划部负责人任</w:t>
      </w:r>
      <w:r>
        <w:rPr>
          <w:rFonts w:hint="default" w:ascii="Times New Roman" w:hAnsi="Times New Roman" w:eastAsia="仿宋_GB2312" w:cs="Times New Roman"/>
          <w:sz w:val="32"/>
          <w:szCs w:val="32"/>
        </w:rPr>
        <w:t>副组长，负责方案的制定、组织管理、统筹协调、检查监督、考核验收和绩效管理评价</w:t>
      </w:r>
      <w:r>
        <w:rPr>
          <w:rFonts w:hint="default" w:ascii="Times New Roman" w:hAnsi="Times New Roman" w:eastAsia="仿宋_GB2312" w:cs="Times New Roman"/>
          <w:sz w:val="32"/>
          <w:szCs w:val="32"/>
          <w:lang w:val="en-US" w:eastAsia="zh-CN"/>
        </w:rPr>
        <w:t>等工作</w:t>
      </w:r>
      <w:r>
        <w:rPr>
          <w:rFonts w:hint="default" w:ascii="Times New Roman" w:hAnsi="Times New Roman" w:eastAsia="仿宋_GB2312" w:cs="Times New Roman"/>
          <w:sz w:val="32"/>
          <w:szCs w:val="32"/>
        </w:rPr>
        <w:t>。</w:t>
      </w:r>
    </w:p>
    <w:p>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二、绩效评价工作开展情况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（一）绩效评价目的、对象和范围</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1.绩效评价目的。</w:t>
      </w:r>
      <w:r>
        <w:rPr>
          <w:rFonts w:hint="default" w:ascii="Times New Roman" w:hAnsi="Times New Roman" w:eastAsia="仿宋_GB2312" w:cs="Times New Roman"/>
          <w:sz w:val="32"/>
          <w:szCs w:val="32"/>
        </w:rPr>
        <w:t>通过收集单位基本情况、预算制定与明细、单位中长期规划目标及组织架构等信息，分析单位资源配置的合理性及中长期规划目标完成与履职情况，总结经验做法，找出预算绩效管理中的薄弱环节，提出改进建议，提高财政资金的使用效益。</w:t>
      </w:r>
    </w:p>
    <w:p>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2.绩效评价对象</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妇女儿童合法权益宣传经费。</w:t>
      </w:r>
    </w:p>
    <w:p>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lang w:val="en-US" w:eastAsia="zh-CN"/>
        </w:rPr>
        <w:t>3.绩效评价范围。项目立项的充分性合理性、财政资金使用情况、财务管理状况；绩效目标实现程度，是否达到预计产出和效益。</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（二）绩效评价原则、依据、评价指标体系（附表说明）、评价方法、评价标准、评价抽样等</w:t>
      </w:r>
    </w:p>
    <w:p>
      <w:pPr>
        <w:keepNext w:val="0"/>
        <w:keepLines w:val="0"/>
        <w:pageBreakBefore w:val="0"/>
        <w:widowControl/>
        <w:kinsoku/>
        <w:wordWrap/>
        <w:overflowPunct/>
        <w:topLinePunct w:val="0"/>
        <w:autoSpaceDE/>
        <w:autoSpaceDN/>
        <w:bidi w:val="0"/>
        <w:adjustRightInd/>
        <w:snapToGrid/>
        <w:spacing w:after="0" w:line="560" w:lineRule="exact"/>
        <w:ind w:left="0" w:right="0" w:firstLine="42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lang w:val="en-US" w:eastAsia="zh-CN"/>
        </w:rPr>
        <w:t xml:space="preserve">  </w:t>
      </w:r>
      <w:r>
        <w:rPr>
          <w:rFonts w:hint="default" w:ascii="Times New Roman" w:hAnsi="Times New Roman" w:eastAsia="仿宋_GB2312" w:cs="Times New Roman"/>
          <w:sz w:val="32"/>
          <w:szCs w:val="32"/>
          <w:lang w:val="en-US" w:eastAsia="zh-CN"/>
        </w:rPr>
        <w:t>绩效评价遵循科学公正、统筹兼顾、激励约束、公开透明的原则，依据单位职责、发展规划、2023年工作计划等相关规定规划，在单位绩效自评的基础上开展。评价过程通过定量和定性相结合的比较法，总分由各项指标得分汇总形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定量指标得分按照以下方法评定：与年初指标值相比，完成指标值的，记该指标所赋全部分值；对完成值高于指标值较多的，要分析原因，如果是由于年初指标值设定明显偏低造成的，要按照偏离度适度调减分值；未完成指标值的，按照完成值与指标值的比例记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rPr>
        <w:t>定性指标得分按照以下方法评定：根据指标完成情况分为达成年度指标、部分达成年度指标并具有一定效果、未达成年度指标且效果较差三档，分别按照该指标对应分值区间100%-80%（含）、80%-60%（含）、60%-0%合理确定分值。</w:t>
      </w:r>
    </w:p>
    <w:p>
      <w:pPr>
        <w:spacing w:line="560" w:lineRule="exact"/>
        <w:ind w:firstLine="640" w:firstLineChars="200"/>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绩效评价结果采取评分和评级相结合的方式，具体分值和等级可根据不同评价内容设定。总分一般设置为100分，等级一般划分为四档：90（含）-100分为优、80（含）-90分为良、60（含）-80分为中、60分以下为差。</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三</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绩效评价工作过程</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42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lang w:val="en-US" w:eastAsia="zh-CN"/>
        </w:rPr>
        <w:t xml:space="preserve">   </w:t>
      </w:r>
      <w:r>
        <w:rPr>
          <w:rFonts w:hint="default" w:ascii="Times New Roman" w:hAnsi="Times New Roman" w:eastAsia="仿宋_GB2312" w:cs="Times New Roman"/>
          <w:sz w:val="32"/>
          <w:szCs w:val="32"/>
          <w:lang w:val="en-US" w:eastAsia="zh-CN"/>
        </w:rPr>
        <w:t>中心成立部门绩效评价小组，确定部门绩效评价对象和范围；研究制定绩效评价工作方案；收集绩效评价相关数据资料；核实有关情况，分析形成初步结论；与项目负责人交换意见；综合分析形成最终结论；提交绩效评价报告。</w:t>
      </w:r>
    </w:p>
    <w:p>
      <w:pPr>
        <w:keepNext w:val="0"/>
        <w:keepLines w:val="0"/>
        <w:pageBreakBefore w:val="0"/>
        <w:widowControl/>
        <w:numPr>
          <w:ilvl w:val="0"/>
          <w:numId w:val="2"/>
        </w:numPr>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综合评价情况及评价结论</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（一）绩效评价综合结论</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lang w:eastAsia="zh-CN"/>
        </w:rPr>
      </w:pPr>
      <w:r>
        <w:rPr>
          <w:rFonts w:hint="default" w:ascii="Times New Roman" w:hAnsi="Times New Roman" w:eastAsia="仿宋_GB2312" w:cs="Times New Roman"/>
          <w:sz w:val="32"/>
          <w:szCs w:val="32"/>
          <w:lang w:eastAsia="zh-CN"/>
        </w:rPr>
        <w:t>中心对项目</w:t>
      </w:r>
      <w:r>
        <w:rPr>
          <w:rFonts w:hint="default" w:ascii="Times New Roman" w:hAnsi="Times New Roman" w:eastAsia="仿宋_GB2312" w:cs="Times New Roman"/>
          <w:sz w:val="32"/>
          <w:szCs w:val="32"/>
          <w:lang w:val="en-US" w:eastAsia="zh-CN"/>
        </w:rPr>
        <w:t>立项的充分性、程序的规范性，绩效目标的合理性、指标的明确性，预算编制的科学性，资金分配的合理性等</w:t>
      </w:r>
      <w:r>
        <w:rPr>
          <w:rFonts w:hint="default" w:ascii="Times New Roman" w:hAnsi="Times New Roman" w:eastAsia="仿宋_GB2312" w:cs="Times New Roman"/>
          <w:sz w:val="32"/>
          <w:szCs w:val="32"/>
          <w:lang w:eastAsia="zh-CN"/>
        </w:rPr>
        <w:t>进行客观公正的评价。通过自查</w:t>
      </w:r>
      <w:r>
        <w:rPr>
          <w:rFonts w:hint="default" w:ascii="Times New Roman" w:hAnsi="Times New Roman" w:eastAsia="仿宋_GB2312" w:cs="Times New Roman"/>
          <w:sz w:val="32"/>
          <w:szCs w:val="32"/>
          <w:lang w:val="en-US" w:eastAsia="zh-CN"/>
        </w:rPr>
        <w:t>自评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项目立项依据充分，</w:t>
      </w:r>
      <w:r>
        <w:rPr>
          <w:rFonts w:hint="default" w:ascii="Times New Roman" w:hAnsi="Times New Roman" w:eastAsia="仿宋_GB2312" w:cs="Times New Roman"/>
          <w:sz w:val="32"/>
          <w:szCs w:val="32"/>
          <w:lang w:eastAsia="zh-CN"/>
        </w:rPr>
        <w:t>项目绩效目标合理，管理制度健全，项目质量控制达标，资金使用合理</w:t>
      </w:r>
      <w:r>
        <w:rPr>
          <w:rFonts w:hint="default" w:ascii="Times New Roman" w:hAnsi="Times New Roman" w:eastAsia="仿宋_GB2312" w:cs="Times New Roman"/>
          <w:sz w:val="32"/>
          <w:szCs w:val="32"/>
          <w:lang w:val="en-US" w:eastAsia="zh-CN"/>
        </w:rPr>
        <w:t>合规。</w:t>
      </w:r>
    </w:p>
    <w:p>
      <w:pPr>
        <w:keepNext w:val="0"/>
        <w:keepLines w:val="0"/>
        <w:pageBreakBefore w:val="0"/>
        <w:widowControl/>
        <w:numPr>
          <w:ilvl w:val="0"/>
          <w:numId w:val="3"/>
        </w:numPr>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绩效目标实现情况</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通过自评，总得分99分，综合评价为优。其中项目立项10分，绩效目标4分，资金投入5分，资金管理10分，组织实施10分，产出数量10分，产出质量10分，产出时效10分，产出成本10分，产出效益10分，满意度10分。</w:t>
      </w:r>
    </w:p>
    <w:tbl>
      <w:tblPr>
        <w:tblStyle w:val="15"/>
        <w:tblpPr w:leftFromText="180" w:rightFromText="180" w:vertAnchor="text" w:horzAnchor="page" w:tblpX="1690" w:tblpY="125"/>
        <w:tblOverlap w:val="never"/>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413"/>
        <w:gridCol w:w="800"/>
        <w:gridCol w:w="1545"/>
        <w:gridCol w:w="834"/>
        <w:gridCol w:w="2127"/>
        <w:gridCol w:w="1510"/>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98" w:hRule="atLeast"/>
          <w:jc w:val="center"/>
        </w:trPr>
        <w:tc>
          <w:tcPr>
            <w:tcW w:w="9019" w:type="dxa"/>
            <w:gridSpan w:val="7"/>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r>
              <w:rPr>
                <w:rFonts w:hint="default" w:ascii="Times New Roman" w:hAnsi="Times New Roman" w:eastAsia="仿宋_GB2312" w:cs="Times New Roman"/>
                <w:b/>
                <w:bCs/>
                <w:sz w:val="32"/>
                <w:szCs w:val="32"/>
                <w:lang w:val="en-US" w:eastAsia="zh-CN"/>
              </w:rPr>
              <w:t>妇女儿童合法权益绩效评价指标体系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一级指标</w:t>
            </w:r>
          </w:p>
        </w:tc>
        <w:tc>
          <w:tcPr>
            <w:tcW w:w="800" w:type="dxa"/>
            <w:tcBorders>
              <w:top w:val="single" w:color="000000" w:sz="4" w:space="0"/>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分值</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二级指标</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分值</w:t>
            </w:r>
          </w:p>
        </w:tc>
        <w:tc>
          <w:tcPr>
            <w:tcW w:w="2127"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三级指标</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分值</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决策</w:t>
            </w:r>
          </w:p>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800" w:type="dxa"/>
            <w:vMerge w:val="restart"/>
            <w:tcBorders>
              <w:top w:val="single" w:color="000000" w:sz="4" w:space="0"/>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40</w:t>
            </w:r>
          </w:p>
        </w:tc>
        <w:tc>
          <w:tcPr>
            <w:tcW w:w="1545" w:type="dxa"/>
            <w:vMerge w:val="restart"/>
            <w:tcBorders>
              <w:top w:val="single" w:color="000000" w:sz="4" w:space="0"/>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项目立项</w:t>
            </w:r>
          </w:p>
        </w:tc>
        <w:tc>
          <w:tcPr>
            <w:tcW w:w="834" w:type="dxa"/>
            <w:vMerge w:val="restart"/>
            <w:tcBorders>
              <w:top w:val="single" w:color="000000" w:sz="4" w:space="0"/>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10</w:t>
            </w:r>
          </w:p>
        </w:tc>
        <w:tc>
          <w:tcPr>
            <w:tcW w:w="2127"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立项依据充分性</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800" w:type="dxa"/>
            <w:vMerge w:val="continue"/>
            <w:tcBorders>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545" w:type="dxa"/>
            <w:vMerge w:val="continue"/>
            <w:tcBorders>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834" w:type="dxa"/>
            <w:vMerge w:val="continue"/>
            <w:tcBorders>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2127"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立项程序规范性</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800" w:type="dxa"/>
            <w:vMerge w:val="continue"/>
            <w:tcBorders>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545" w:type="dxa"/>
            <w:vMerge w:val="restart"/>
            <w:tcBorders>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绩效目标</w:t>
            </w:r>
          </w:p>
        </w:tc>
        <w:tc>
          <w:tcPr>
            <w:tcW w:w="834" w:type="dxa"/>
            <w:vMerge w:val="restart"/>
            <w:tcBorders>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5</w:t>
            </w:r>
          </w:p>
        </w:tc>
        <w:tc>
          <w:tcPr>
            <w:tcW w:w="2127"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绩效目标合理性</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800" w:type="dxa"/>
            <w:vMerge w:val="continue"/>
            <w:tcBorders>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545" w:type="dxa"/>
            <w:vMerge w:val="continue"/>
            <w:tcBorders>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834" w:type="dxa"/>
            <w:vMerge w:val="continue"/>
            <w:tcBorders>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2127"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绩效指标明确性</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cs="Times New Roman"/>
                <w:lang w:val="en-US" w:eastAsia="zh-CN"/>
              </w:rPr>
            </w:pPr>
            <w:r>
              <w:rPr>
                <w:rFonts w:hint="default" w:ascii="Times New Roman" w:hAnsi="Times New Roman" w:eastAsia="仿宋_GB2312" w:cs="Times New Roman"/>
                <w:color w:val="000000"/>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00" w:type="dxa"/>
            <w:vMerge w:val="continue"/>
            <w:tcBorders>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45"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资金投入</w:t>
            </w:r>
          </w:p>
        </w:tc>
        <w:tc>
          <w:tcPr>
            <w:tcW w:w="834"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5</w:t>
            </w:r>
          </w:p>
        </w:tc>
        <w:tc>
          <w:tcPr>
            <w:tcW w:w="2127"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预算编制科学性</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auto"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00" w:type="dxa"/>
            <w:vMerge w:val="continue"/>
            <w:tcBorders>
              <w:left w:val="single" w:color="000000" w:sz="4" w:space="0"/>
              <w:bottom w:val="single" w:color="auto"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2127"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资金分配合理性</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auto"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过程</w:t>
            </w:r>
          </w:p>
        </w:tc>
        <w:tc>
          <w:tcPr>
            <w:tcW w:w="800" w:type="dxa"/>
            <w:vMerge w:val="continue"/>
            <w:tcBorders>
              <w:top w:val="single" w:color="auto" w:sz="4" w:space="0"/>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545" w:type="dxa"/>
            <w:vMerge w:val="restart"/>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资金管理</w:t>
            </w:r>
          </w:p>
        </w:tc>
        <w:tc>
          <w:tcPr>
            <w:tcW w:w="834"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5</w:t>
            </w:r>
          </w:p>
        </w:tc>
        <w:tc>
          <w:tcPr>
            <w:tcW w:w="2127"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资金到位率</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00" w:type="dxa"/>
            <w:vMerge w:val="continue"/>
            <w:tcBorders>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4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color w:val="000000"/>
                <w:sz w:val="18"/>
                <w:szCs w:val="18"/>
              </w:rPr>
            </w:pPr>
          </w:p>
        </w:tc>
        <w:tc>
          <w:tcPr>
            <w:tcW w:w="8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2127"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预算执行率</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00" w:type="dxa"/>
            <w:vMerge w:val="continue"/>
            <w:tcBorders>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资金管理</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5</w:t>
            </w:r>
          </w:p>
        </w:tc>
        <w:tc>
          <w:tcPr>
            <w:tcW w:w="2127"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资金使用合规性</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00" w:type="dxa"/>
            <w:vMerge w:val="continue"/>
            <w:tcBorders>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45" w:type="dxa"/>
            <w:vMerge w:val="restart"/>
            <w:tcBorders>
              <w:top w:val="single" w:color="000000" w:sz="4" w:space="0"/>
              <w:left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组织实施　</w:t>
            </w:r>
          </w:p>
        </w:tc>
        <w:tc>
          <w:tcPr>
            <w:tcW w:w="834" w:type="dxa"/>
            <w:vMerge w:val="restart"/>
            <w:tcBorders>
              <w:top w:val="single" w:color="000000" w:sz="4" w:space="0"/>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10</w:t>
            </w:r>
          </w:p>
        </w:tc>
        <w:tc>
          <w:tcPr>
            <w:tcW w:w="2127" w:type="dxa"/>
            <w:tcBorders>
              <w:top w:val="single" w:color="000000" w:sz="4" w:space="0"/>
              <w:left w:val="single" w:color="000000" w:sz="4" w:space="0"/>
              <w:bottom w:val="single" w:color="000000"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管理制度健全性</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00" w:type="dxa"/>
            <w:vMerge w:val="continue"/>
            <w:tcBorders>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45" w:type="dxa"/>
            <w:vMerge w:val="continue"/>
            <w:tcBorders>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834" w:type="dxa"/>
            <w:vMerge w:val="continue"/>
            <w:tcBorders>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2127" w:type="dxa"/>
            <w:tcBorders>
              <w:top w:val="single" w:color="000000" w:sz="4" w:space="0"/>
              <w:left w:val="single" w:color="000000" w:sz="4" w:space="0"/>
              <w:bottom w:val="single" w:color="auto" w:sz="4" w:space="0"/>
              <w:right w:val="single" w:color="000000" w:sz="4" w:space="0"/>
            </w:tcBorders>
            <w:noWrap w:val="0"/>
            <w:vAlign w:val="center"/>
          </w:tcPr>
          <w:p>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制度执行有效性</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w:t>
            </w:r>
          </w:p>
        </w:tc>
        <w:tc>
          <w:tcPr>
            <w:tcW w:w="800"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60</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产出数量</w:t>
            </w:r>
          </w:p>
        </w:tc>
        <w:tc>
          <w:tcPr>
            <w:tcW w:w="834" w:type="dxa"/>
            <w:tcBorders>
              <w:top w:val="single" w:color="000000" w:sz="4" w:space="0"/>
              <w:left w:val="single" w:color="000000" w:sz="4" w:space="0"/>
              <w:bottom w:val="single" w:color="000000" w:sz="4" w:space="0"/>
              <w:right w:val="single" w:color="auto"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10</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sz w:val="18"/>
                <w:szCs w:val="18"/>
                <w:lang w:val="en-US" w:eastAsia="zh-CN"/>
              </w:rPr>
              <w:t>影片时长</w:t>
            </w:r>
          </w:p>
        </w:tc>
        <w:tc>
          <w:tcPr>
            <w:tcW w:w="1510" w:type="dxa"/>
            <w:tcBorders>
              <w:top w:val="single" w:color="000000" w:sz="4" w:space="0"/>
              <w:left w:val="single" w:color="auto"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color w:val="000000"/>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0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产出质量</w:t>
            </w:r>
          </w:p>
        </w:tc>
        <w:tc>
          <w:tcPr>
            <w:tcW w:w="834" w:type="dxa"/>
            <w:tcBorders>
              <w:top w:val="single" w:color="000000" w:sz="4" w:space="0"/>
              <w:left w:val="single" w:color="000000" w:sz="4" w:space="0"/>
              <w:bottom w:val="single" w:color="000000" w:sz="4" w:space="0"/>
              <w:right w:val="single" w:color="auto"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10</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影片质量</w:t>
            </w:r>
          </w:p>
        </w:tc>
        <w:tc>
          <w:tcPr>
            <w:tcW w:w="1510" w:type="dxa"/>
            <w:tcBorders>
              <w:top w:val="single" w:color="000000" w:sz="4" w:space="0"/>
              <w:left w:val="single" w:color="auto"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0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产出时效</w:t>
            </w:r>
          </w:p>
        </w:tc>
        <w:tc>
          <w:tcPr>
            <w:tcW w:w="834" w:type="dxa"/>
            <w:tcBorders>
              <w:top w:val="single" w:color="000000" w:sz="4" w:space="0"/>
              <w:left w:val="single" w:color="000000" w:sz="4" w:space="0"/>
              <w:bottom w:val="single" w:color="000000" w:sz="4" w:space="0"/>
              <w:right w:val="single" w:color="auto"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10</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项目完成时间</w:t>
            </w:r>
          </w:p>
        </w:tc>
        <w:tc>
          <w:tcPr>
            <w:tcW w:w="1510" w:type="dxa"/>
            <w:tcBorders>
              <w:top w:val="single" w:color="000000" w:sz="4" w:space="0"/>
              <w:left w:val="single" w:color="auto"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0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产出成本</w:t>
            </w:r>
          </w:p>
        </w:tc>
        <w:tc>
          <w:tcPr>
            <w:tcW w:w="834" w:type="dxa"/>
            <w:tcBorders>
              <w:top w:val="single" w:color="000000" w:sz="4" w:space="0"/>
              <w:left w:val="single" w:color="000000" w:sz="4" w:space="0"/>
              <w:bottom w:val="single" w:color="000000" w:sz="4" w:space="0"/>
              <w:right w:val="single" w:color="auto"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10</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项目总成本</w:t>
            </w:r>
          </w:p>
        </w:tc>
        <w:tc>
          <w:tcPr>
            <w:tcW w:w="1510" w:type="dxa"/>
            <w:tcBorders>
              <w:top w:val="single" w:color="000000" w:sz="4" w:space="0"/>
              <w:left w:val="single" w:color="auto"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0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sz w:val="18"/>
                <w:szCs w:val="18"/>
              </w:rPr>
            </w:pPr>
            <w:r>
              <w:rPr>
                <w:rFonts w:hint="default" w:ascii="Times New Roman" w:hAnsi="Times New Roman" w:eastAsia="宋体" w:cs="Times New Roman"/>
                <w:color w:val="000000"/>
                <w:sz w:val="18"/>
                <w:szCs w:val="18"/>
              </w:rPr>
              <w:t>社会效益</w:t>
            </w:r>
          </w:p>
        </w:tc>
        <w:tc>
          <w:tcPr>
            <w:tcW w:w="834" w:type="dxa"/>
            <w:tcBorders>
              <w:top w:val="single" w:color="000000" w:sz="4" w:space="0"/>
              <w:left w:val="single" w:color="000000" w:sz="4" w:space="0"/>
              <w:bottom w:val="single" w:color="000000" w:sz="4" w:space="0"/>
              <w:right w:val="single" w:color="auto"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10</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0" w:leftChars="0" w:right="0" w:rightChars="0" w:firstLine="0" w:firstLineChars="0"/>
              <w:jc w:val="left"/>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助力妇女儿童有更多的获得感、幸福感、安全感，形成良好的社会和舆论氛围</w:t>
            </w:r>
          </w:p>
        </w:tc>
        <w:tc>
          <w:tcPr>
            <w:tcW w:w="1510" w:type="dxa"/>
            <w:tcBorders>
              <w:top w:val="single" w:color="000000" w:sz="4" w:space="0"/>
              <w:left w:val="single" w:color="auto"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0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default" w:ascii="Times New Roman" w:hAnsi="Times New Roman" w:eastAsia="宋体" w:cs="Times New Roman"/>
                <w:sz w:val="18"/>
                <w:szCs w:val="18"/>
              </w:rPr>
            </w:pPr>
            <w:r>
              <w:rPr>
                <w:rFonts w:hint="default" w:ascii="Times New Roman" w:hAnsi="Times New Roman" w:eastAsia="宋体" w:cs="Times New Roman"/>
                <w:color w:val="000000"/>
                <w:sz w:val="18"/>
                <w:szCs w:val="18"/>
              </w:rPr>
              <w:t>满意度</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10</w:t>
            </w:r>
          </w:p>
        </w:tc>
        <w:tc>
          <w:tcPr>
            <w:tcW w:w="2127"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社会公众或服务对象满意度</w:t>
            </w: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总分</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100</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p>
        </w:tc>
        <w:tc>
          <w:tcPr>
            <w:tcW w:w="834"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100</w:t>
            </w:r>
          </w:p>
        </w:tc>
        <w:tc>
          <w:tcPr>
            <w:tcW w:w="2127"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p>
        </w:tc>
        <w:tc>
          <w:tcPr>
            <w:tcW w:w="151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100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lang w:val="en-US" w:eastAsia="zh-CN"/>
              </w:rPr>
            </w:pPr>
            <w:r>
              <w:rPr>
                <w:rFonts w:hint="default" w:ascii="Times New Roman" w:hAnsi="Times New Roman" w:cs="Times New Roman"/>
                <w:bCs/>
                <w:color w:val="000000"/>
                <w:sz w:val="18"/>
                <w:szCs w:val="18"/>
                <w:lang w:val="en-US" w:eastAsia="zh-CN"/>
              </w:rPr>
              <w:t>9</w:t>
            </w:r>
            <w:r>
              <w:rPr>
                <w:rFonts w:hint="eastAsia" w:ascii="Times New Roman" w:hAnsi="Times New Roman" w:cs="Times New Roman"/>
                <w:bCs/>
                <w:color w:val="000000"/>
                <w:sz w:val="18"/>
                <w:szCs w:val="18"/>
                <w:lang w:val="en-US" w:eastAsia="zh-CN"/>
              </w:rPr>
              <w:t>9</w:t>
            </w:r>
          </w:p>
        </w:tc>
      </w:tr>
    </w:tbl>
    <w:p>
      <w:pPr>
        <w:keepNext w:val="0"/>
        <w:keepLines w:val="0"/>
        <w:pageBreakBefore w:val="0"/>
        <w:widowControl/>
        <w:kinsoku/>
        <w:wordWrap/>
        <w:overflowPunct/>
        <w:topLinePunct w:val="0"/>
        <w:autoSpaceDE/>
        <w:autoSpaceDN/>
        <w:bidi w:val="0"/>
        <w:adjustRightInd/>
        <w:snapToGrid/>
        <w:spacing w:after="0" w:line="560" w:lineRule="exact"/>
        <w:ind w:left="0" w:right="0" w:firstLine="0" w:firstLineChars="0"/>
        <w:textAlignment w:val="auto"/>
        <w:rPr>
          <w:rFonts w:hint="default" w:ascii="Times New Roman" w:hAnsi="Times New Roman" w:eastAsia="黑体" w:cs="Times New Roman"/>
          <w:color w:val="auto"/>
          <w:sz w:val="32"/>
          <w:szCs w:val="32"/>
        </w:rPr>
      </w:pP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四、绩效评价指标分析</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（一）项目决策情况分析</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妇女儿童合法权益项目根据五华区妇女联合会印发《关于迎接全国妇联培训点位观摩准备资金分配的通知》设立，有详细的项目实施方案和具体的支出计划，支出范围明确、边界清晰，绩效目标设置合理，预算编制科学有效。</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项目过程情况分析</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执行过程中严格按照项目实施方案、内控制度、财务管理制度执行，做到项目资金专款专用，按项目独立核算，无截留、挤占、挪用、虚列支出等情况的发生。同时，中心在每个季度开展财政支出绩效运行监控工作，对项目预期产出的完成情况、预期效果的实现进度及趋势、预算执行情况等进行全面监控，对监控中发现的问题及时整改，保障项目实现预期目标。</w:t>
      </w:r>
    </w:p>
    <w:p>
      <w:pPr>
        <w:keepNext w:val="0"/>
        <w:keepLines w:val="0"/>
        <w:pageBreakBefore w:val="0"/>
        <w:widowControl w:val="0"/>
        <w:numPr>
          <w:ilvl w:val="0"/>
          <w:numId w:val="3"/>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项目产出情况分析</w:t>
      </w:r>
    </w:p>
    <w:p>
      <w:pPr>
        <w:pStyle w:val="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项目产出按照数量、质量、时效、成本四个方面，根据项目自身的特点，设置符合项目特点的绩效目标。具体产出指标完成情况：影片时长</w:t>
      </w:r>
      <w:r>
        <w:rPr>
          <w:rFonts w:hint="default" w:ascii="Times New Roman" w:hAnsi="Times New Roman" w:eastAsia="仿宋_GB2312" w:cs="Times New Roman"/>
          <w:kern w:val="2"/>
          <w:sz w:val="32"/>
          <w:szCs w:val="32"/>
          <w:highlight w:val="none"/>
          <w:lang w:val="en-US" w:eastAsia="zh-CN" w:bidi="ar-SA"/>
        </w:rPr>
        <w:t>10分钟，影片质量</w:t>
      </w:r>
      <w:r>
        <w:rPr>
          <w:rFonts w:hint="eastAsia" w:eastAsia="仿宋_GB2312" w:cs="Times New Roman"/>
          <w:kern w:val="2"/>
          <w:sz w:val="32"/>
          <w:szCs w:val="32"/>
          <w:highlight w:val="none"/>
          <w:lang w:val="en-US" w:eastAsia="zh-CN" w:bidi="ar-SA"/>
        </w:rPr>
        <w:t>2</w:t>
      </w:r>
      <w:r>
        <w:rPr>
          <w:rFonts w:hint="default" w:ascii="Times New Roman" w:hAnsi="Times New Roman" w:eastAsia="仿宋_GB2312" w:cs="Times New Roman"/>
          <w:kern w:val="2"/>
          <w:sz w:val="32"/>
          <w:szCs w:val="32"/>
          <w:highlight w:val="none"/>
          <w:lang w:val="en-US" w:eastAsia="zh-CN" w:bidi="ar-SA"/>
        </w:rPr>
        <w:t>K</w:t>
      </w:r>
      <w:r>
        <w:rPr>
          <w:rFonts w:hint="default" w:ascii="Times New Roman" w:hAnsi="Times New Roman" w:eastAsia="仿宋_GB2312" w:cs="Times New Roman"/>
          <w:kern w:val="2"/>
          <w:sz w:val="32"/>
          <w:szCs w:val="32"/>
          <w:lang w:val="en-US" w:eastAsia="zh-CN" w:bidi="ar-SA"/>
        </w:rPr>
        <w:t>，</w:t>
      </w:r>
      <w:r>
        <w:rPr>
          <w:rFonts w:hint="eastAsia" w:eastAsia="仿宋_GB2312" w:cs="Times New Roman"/>
          <w:kern w:val="2"/>
          <w:sz w:val="32"/>
          <w:szCs w:val="32"/>
          <w:lang w:val="en-US" w:eastAsia="zh-CN" w:bidi="ar-SA"/>
        </w:rPr>
        <w:t>按规定时间完成项目拍摄制作</w:t>
      </w:r>
      <w:r>
        <w:rPr>
          <w:rFonts w:hint="default" w:ascii="Times New Roman" w:hAnsi="Times New Roman" w:eastAsia="仿宋_GB2312" w:cs="Times New Roman"/>
          <w:kern w:val="2"/>
          <w:sz w:val="32"/>
          <w:szCs w:val="32"/>
          <w:lang w:val="en-US" w:eastAsia="zh-CN" w:bidi="ar-SA"/>
        </w:rPr>
        <w:t>，项目总成本5万元。</w:t>
      </w:r>
    </w:p>
    <w:p>
      <w:pPr>
        <w:keepNext w:val="0"/>
        <w:keepLines w:val="0"/>
        <w:pageBreakBefore w:val="0"/>
        <w:widowControl w:val="0"/>
        <w:numPr>
          <w:ilvl w:val="0"/>
          <w:numId w:val="3"/>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项目效益情况分析</w:t>
      </w:r>
      <w:bookmarkStart w:id="0" w:name="_GoBack"/>
      <w:bookmarkEnd w:id="0"/>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仿宋_GB2312" w:cs="Times New Roman"/>
          <w:sz w:val="32"/>
          <w:szCs w:val="32"/>
          <w:lang w:val="en-US" w:eastAsia="zh-CN"/>
        </w:rPr>
        <w:t>妇女儿童合法权益项目</w:t>
      </w:r>
      <w:r>
        <w:rPr>
          <w:rFonts w:hint="default" w:ascii="Times New Roman" w:hAnsi="Times New Roman" w:eastAsia="仿宋_GB2312" w:cs="Times New Roman"/>
          <w:color w:val="auto"/>
          <w:sz w:val="32"/>
          <w:szCs w:val="32"/>
        </w:rPr>
        <w:t>通过拍摄专题汇报片展现五华区妇女儿童维权工作开展的五华模式和五华成效，更好地提升</w:t>
      </w:r>
      <w:r>
        <w:rPr>
          <w:rFonts w:hint="default" w:ascii="Times New Roman" w:hAnsi="Times New Roman" w:eastAsia="仿宋_GB2312" w:cs="Times New Roman"/>
          <w:color w:val="auto"/>
          <w:sz w:val="32"/>
          <w:szCs w:val="32"/>
          <w:lang w:val="en-US" w:eastAsia="zh-CN"/>
        </w:rPr>
        <w:t>了</w:t>
      </w:r>
      <w:r>
        <w:rPr>
          <w:rFonts w:hint="default" w:ascii="Times New Roman" w:hAnsi="Times New Roman" w:eastAsia="仿宋_GB2312" w:cs="Times New Roman"/>
          <w:color w:val="auto"/>
          <w:sz w:val="32"/>
          <w:szCs w:val="32"/>
        </w:rPr>
        <w:t>五华基层维权关爱服务工作开展的知晓率和认可度，并为其</w:t>
      </w:r>
      <w:r>
        <w:rPr>
          <w:rFonts w:hint="eastAsia" w:ascii="Times New Roman" w:hAnsi="Times New Roman" w:eastAsia="仿宋_GB2312" w:cs="Times New Roman"/>
          <w:color w:val="auto"/>
          <w:sz w:val="32"/>
          <w:szCs w:val="32"/>
          <w:lang w:eastAsia="zh-CN"/>
        </w:rPr>
        <w:t>他</w:t>
      </w:r>
      <w:r>
        <w:rPr>
          <w:rFonts w:hint="default" w:ascii="Times New Roman" w:hAnsi="Times New Roman" w:eastAsia="仿宋_GB2312" w:cs="Times New Roman"/>
          <w:color w:val="auto"/>
          <w:sz w:val="32"/>
          <w:szCs w:val="32"/>
        </w:rPr>
        <w:t>地区妇女儿童维权工作开展提供</w:t>
      </w:r>
      <w:r>
        <w:rPr>
          <w:rFonts w:hint="default" w:ascii="Times New Roman" w:hAnsi="Times New Roman" w:eastAsia="仿宋_GB2312" w:cs="Times New Roman"/>
          <w:color w:val="auto"/>
          <w:sz w:val="32"/>
          <w:szCs w:val="32"/>
          <w:lang w:val="en-US" w:eastAsia="zh-CN"/>
        </w:rPr>
        <w:t>了</w:t>
      </w:r>
      <w:r>
        <w:rPr>
          <w:rFonts w:hint="default" w:ascii="Times New Roman" w:hAnsi="Times New Roman" w:eastAsia="仿宋_GB2312" w:cs="Times New Roman"/>
          <w:color w:val="auto"/>
          <w:sz w:val="32"/>
          <w:szCs w:val="32"/>
        </w:rPr>
        <w:t>模式参考，更好</w:t>
      </w:r>
      <w:r>
        <w:rPr>
          <w:rFonts w:hint="eastAsia" w:ascii="Times New Roman" w:hAnsi="Times New Roman" w:eastAsia="仿宋_GB2312" w:cs="Times New Roman"/>
          <w:color w:val="auto"/>
          <w:sz w:val="32"/>
          <w:szCs w:val="32"/>
          <w:lang w:eastAsia="zh-CN"/>
        </w:rPr>
        <w:t>地</w:t>
      </w:r>
      <w:r>
        <w:rPr>
          <w:rFonts w:hint="default" w:ascii="Times New Roman" w:hAnsi="Times New Roman" w:eastAsia="仿宋_GB2312" w:cs="Times New Roman"/>
          <w:color w:val="auto"/>
          <w:sz w:val="32"/>
          <w:szCs w:val="32"/>
        </w:rPr>
        <w:t>讲好五华故事、展现五华形象，助力五华高质量发展。</w:t>
      </w:r>
    </w:p>
    <w:p>
      <w:pPr>
        <w:keepNext w:val="0"/>
        <w:keepLines w:val="0"/>
        <w:pageBreakBefore w:val="0"/>
        <w:widowControl w:val="0"/>
        <w:numPr>
          <w:ilvl w:val="0"/>
          <w:numId w:val="4"/>
        </w:numPr>
        <w:kinsoku/>
        <w:wordWrap/>
        <w:overflowPunct/>
        <w:topLinePunct w:val="0"/>
        <w:autoSpaceDE/>
        <w:autoSpaceDN/>
        <w:bidi w:val="0"/>
        <w:adjustRightInd/>
        <w:snapToGrid/>
        <w:spacing w:after="0" w:line="560" w:lineRule="exact"/>
        <w:ind w:right="0" w:rightChars="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主要经验及做法</w:t>
      </w:r>
    </w:p>
    <w:p>
      <w:pPr>
        <w:keepNext w:val="0"/>
        <w:keepLines w:val="0"/>
        <w:pageBreakBefore w:val="0"/>
        <w:kinsoku/>
        <w:wordWrap/>
        <w:overflowPunct/>
        <w:topLinePunct w:val="0"/>
        <w:autoSpaceDE/>
        <w:autoSpaceDN/>
        <w:bidi w:val="0"/>
        <w:adjustRightInd w:val="0"/>
        <w:spacing w:line="560" w:lineRule="exact"/>
        <w:ind w:firstLine="643" w:firstLineChars="200"/>
        <w:textAlignment w:val="auto"/>
        <w:rPr>
          <w:rFonts w:hint="default" w:ascii="Times New Roman" w:hAnsi="Times New Roman" w:eastAsia="仿宋_GB2312" w:cs="Times New Roman"/>
          <w:b w:val="0"/>
          <w:bCs w:val="0"/>
          <w:lang w:val="en-US" w:eastAsia="zh-CN"/>
        </w:rPr>
      </w:pP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始终以中央、省、市</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区工作要求为依据开展各项工作任务，确保各项目标取得实效</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严格执行预算管理，加强绩效目标考核，</w:t>
      </w:r>
      <w:r>
        <w:rPr>
          <w:rFonts w:hint="default" w:ascii="Times New Roman" w:hAnsi="Times New Roman" w:eastAsia="仿宋_GB2312" w:cs="Times New Roman"/>
          <w:sz w:val="32"/>
          <w:szCs w:val="32"/>
          <w:lang w:val="en-US" w:eastAsia="zh-CN"/>
        </w:rPr>
        <w:t>将绩效考核结果与预算资金安排挂钩，提高财政资金的配置效率和使用效益</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sz w:val="32"/>
          <w:szCs w:val="32"/>
          <w:lang w:val="en-US" w:eastAsia="zh-CN"/>
        </w:rPr>
        <w:t>修</w:t>
      </w:r>
      <w:r>
        <w:rPr>
          <w:rFonts w:hint="eastAsia" w:ascii="Times New Roman" w:hAnsi="Times New Roman" w:eastAsia="仿宋_GB2312" w:cs="Times New Roman"/>
          <w:sz w:val="32"/>
          <w:szCs w:val="32"/>
          <w:lang w:val="en-US" w:eastAsia="zh-CN"/>
        </w:rPr>
        <w:t>完善制度建设，</w:t>
      </w:r>
      <w:r>
        <w:rPr>
          <w:rFonts w:hint="default" w:ascii="Times New Roman" w:hAnsi="Times New Roman" w:eastAsia="仿宋_GB2312" w:cs="Times New Roman"/>
          <w:sz w:val="32"/>
          <w:szCs w:val="32"/>
          <w:lang w:val="en-US" w:eastAsia="zh-CN"/>
        </w:rPr>
        <w:t>进一步规范项目实施、资金使用等方面的内容。</w:t>
      </w:r>
      <w:r>
        <w:rPr>
          <w:rFonts w:hint="default" w:ascii="Times New Roman" w:hAnsi="Times New Roman" w:eastAsia="仿宋_GB2312" w:cs="Times New Roman"/>
          <w:b/>
          <w:bCs/>
          <w:sz w:val="32"/>
          <w:szCs w:val="32"/>
          <w:lang w:val="en-US" w:eastAsia="zh-CN"/>
        </w:rPr>
        <w:t>四是</w:t>
      </w:r>
      <w:r>
        <w:rPr>
          <w:rFonts w:hint="default" w:ascii="Times New Roman" w:hAnsi="Times New Roman" w:eastAsia="仿宋_GB2312" w:cs="Times New Roman"/>
          <w:b w:val="0"/>
          <w:bCs w:val="0"/>
          <w:sz w:val="32"/>
          <w:szCs w:val="32"/>
          <w:lang w:val="en-US" w:eastAsia="zh-CN"/>
        </w:rPr>
        <w:t>及时公开绩效自评结果，主动接受社会监督，有效保障资金使用的规范性、安全性，不断提升中心的公信力和影响力。</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六、</w:t>
      </w:r>
      <w:r>
        <w:rPr>
          <w:rFonts w:hint="default" w:ascii="Times New Roman" w:hAnsi="Times New Roman" w:eastAsia="黑体" w:cs="Times New Roman"/>
          <w:color w:val="auto"/>
          <w:sz w:val="32"/>
          <w:szCs w:val="32"/>
        </w:rPr>
        <w:t>存在的问题及原因分析</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宋体" w:cs="Times New Roman"/>
          <w:lang w:val="en-US" w:eastAsia="zh-CN"/>
        </w:rPr>
      </w:pPr>
      <w:r>
        <w:rPr>
          <w:rFonts w:hint="default" w:ascii="Times New Roman" w:hAnsi="Times New Roman" w:eastAsia="仿宋_GB2312" w:cs="Times New Roman"/>
          <w:sz w:val="32"/>
          <w:szCs w:val="32"/>
        </w:rPr>
        <w:t>绩效目标编报的质量还有待提高，绩效指标的量化还不够。</w:t>
      </w:r>
      <w:r>
        <w:rPr>
          <w:rFonts w:hint="default" w:ascii="Times New Roman" w:hAnsi="Times New Roman" w:eastAsia="仿宋_GB2312" w:cs="Times New Roman"/>
          <w:sz w:val="32"/>
          <w:szCs w:val="32"/>
          <w:lang w:val="en-US" w:eastAsia="zh-CN"/>
        </w:rPr>
        <w:t>中心</w:t>
      </w:r>
      <w:r>
        <w:rPr>
          <w:rFonts w:hint="default" w:ascii="Times New Roman" w:hAnsi="Times New Roman" w:eastAsia="仿宋_GB2312" w:cs="Times New Roman"/>
          <w:sz w:val="32"/>
          <w:szCs w:val="32"/>
        </w:rPr>
        <w:t>今后将加强部门绩效目标编报基础工作，不断提高绩效目标表编报水平。把加强预算绩效管理作为一项重要的基础工作来抓，加强财政预算前期管理，理清本部门预算管理的总体思路、具体方案和阶段目标。在编报绩效目标申报表时，注意所细化分解的绩效指标的完整性，确保绩效指标能充分支撑绩效目标</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同时，关注绩效指标的可考核性，从数量、质量、成本、进度等方面来设置绩效指标，提高绩效目标申报表的编报质量。</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七、</w:t>
      </w:r>
      <w:r>
        <w:rPr>
          <w:rFonts w:hint="default" w:ascii="Times New Roman" w:hAnsi="Times New Roman" w:eastAsia="黑体" w:cs="Times New Roman"/>
          <w:color w:val="auto"/>
          <w:sz w:val="32"/>
          <w:szCs w:val="32"/>
        </w:rPr>
        <w:t>有关建议</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kern w:val="2"/>
          <w:sz w:val="32"/>
          <w:szCs w:val="32"/>
          <w:lang w:val="en-US" w:eastAsia="zh-CN" w:bidi="ar-SA"/>
        </w:rPr>
        <w:t>一是</w:t>
      </w:r>
      <w:r>
        <w:rPr>
          <w:rFonts w:hint="default" w:ascii="Times New Roman" w:hAnsi="Times New Roman" w:eastAsia="仿宋_GB2312" w:cs="Times New Roman"/>
          <w:kern w:val="2"/>
          <w:sz w:val="32"/>
          <w:szCs w:val="32"/>
          <w:lang w:val="en-US" w:eastAsia="zh-CN" w:bidi="ar-SA"/>
        </w:rPr>
        <w:t>提高绩效指标设定的精准性。根据国家相关法律法规和规章制度、部门职责、项目规划和目标，结合相关历史数据、行业标准、计划标准等，凝练最能反</w:t>
      </w:r>
      <w:r>
        <w:rPr>
          <w:rFonts w:hint="eastAsia" w:eastAsia="仿宋_GB2312" w:cs="Times New Roman"/>
          <w:kern w:val="2"/>
          <w:sz w:val="32"/>
          <w:szCs w:val="32"/>
          <w:lang w:val="en-US" w:eastAsia="zh-CN" w:bidi="ar-SA"/>
        </w:rPr>
        <w:t>映</w:t>
      </w:r>
      <w:r>
        <w:rPr>
          <w:rFonts w:hint="default" w:ascii="Times New Roman" w:hAnsi="Times New Roman" w:eastAsia="仿宋_GB2312" w:cs="Times New Roman"/>
          <w:kern w:val="2"/>
          <w:sz w:val="32"/>
          <w:szCs w:val="32"/>
          <w:lang w:val="en-US" w:eastAsia="zh-CN" w:bidi="ar-SA"/>
        </w:rPr>
        <w:t>总体目标的关键性指标，明确绩效指标具体数值，提高预算项目申报指标的考核性，设定指向明确、细化量化、合理可行、相匹配的绩效指标。</w:t>
      </w:r>
      <w:r>
        <w:rPr>
          <w:rFonts w:hint="default" w:ascii="Times New Roman" w:hAnsi="Times New Roman" w:eastAsia="仿宋_GB2312" w:cs="Times New Roman"/>
          <w:b/>
          <w:bCs/>
          <w:kern w:val="2"/>
          <w:sz w:val="32"/>
          <w:szCs w:val="32"/>
          <w:lang w:val="en-US" w:eastAsia="zh-CN" w:bidi="ar-SA"/>
        </w:rPr>
        <w:t>二是</w:t>
      </w:r>
      <w:r>
        <w:rPr>
          <w:rFonts w:hint="default" w:ascii="Times New Roman" w:hAnsi="Times New Roman" w:eastAsia="仿宋_GB2312" w:cs="Times New Roman"/>
          <w:kern w:val="2"/>
          <w:sz w:val="32"/>
          <w:szCs w:val="32"/>
          <w:lang w:val="en-US" w:eastAsia="zh-CN" w:bidi="ar-SA"/>
        </w:rPr>
        <w:t>完善自评工作质量。加强对预算绩效管理相关政策文件的学习和运行，组织相关知识培训，</w:t>
      </w:r>
      <w:r>
        <w:rPr>
          <w:rFonts w:hint="eastAsia" w:eastAsia="仿宋_GB2312" w:cs="Times New Roman"/>
          <w:kern w:val="2"/>
          <w:sz w:val="32"/>
          <w:szCs w:val="32"/>
          <w:lang w:val="en-US" w:eastAsia="zh-CN" w:bidi="ar-SA"/>
        </w:rPr>
        <w:t>增强</w:t>
      </w:r>
      <w:r>
        <w:rPr>
          <w:rFonts w:hint="default" w:ascii="Times New Roman" w:hAnsi="Times New Roman" w:eastAsia="仿宋_GB2312" w:cs="Times New Roman"/>
          <w:kern w:val="2"/>
          <w:sz w:val="32"/>
          <w:szCs w:val="32"/>
          <w:lang w:val="en-US" w:eastAsia="zh-CN" w:bidi="ar-SA"/>
        </w:rPr>
        <w:t>干部职工绩效管理意识。按照政策要求成立绩效自评工作组，明确责任分工，项目负责人全程参与，提供准确、精准的项目数据，归纳总结项目实施的数据统计、项目文件等材料，主动发现并挖掘存在问题，积极寻求解决办法，提高自评工作质量。</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八、其他需要说明的问题</w:t>
      </w:r>
    </w:p>
    <w:p>
      <w:pPr>
        <w:keepNext w:val="0"/>
        <w:keepLines w:val="0"/>
        <w:pageBreakBefore w:val="0"/>
        <w:widowControl/>
        <w:kinsoku/>
        <w:wordWrap/>
        <w:overflowPunct/>
        <w:topLinePunct w:val="0"/>
        <w:autoSpaceDE/>
        <w:autoSpaceDN/>
        <w:bidi w:val="0"/>
        <w:adjustRightInd/>
        <w:snapToGrid/>
        <w:spacing w:line="560" w:lineRule="exact"/>
        <w:ind w:left="0" w:right="0" w:firstLine="640" w:firstLineChars="200"/>
        <w:textAlignment w:val="auto"/>
        <w:rPr>
          <w:rFonts w:hint="eastAsia"/>
          <w:lang w:val="en-US" w:eastAsia="zh-CN"/>
        </w:rPr>
      </w:pPr>
      <w:r>
        <w:rPr>
          <w:rFonts w:hint="default" w:ascii="Times New Roman" w:hAnsi="Times New Roman" w:eastAsia="仿宋_GB2312" w:cs="Times New Roman"/>
          <w:color w:val="auto"/>
          <w:sz w:val="32"/>
          <w:szCs w:val="32"/>
          <w:lang w:eastAsia="zh-CN"/>
        </w:rPr>
        <w:t>昆明市五华区融媒体中心无其他需要说明的问题。</w:t>
      </w:r>
    </w:p>
    <w:sectPr>
      <w:headerReference r:id="rId3" w:type="default"/>
      <w:footerReference r:id="rId4" w:type="default"/>
      <w:footerReference r:id="rId5" w:type="even"/>
      <w:pgSz w:w="11906" w:h="16838"/>
      <w:pgMar w:top="2098" w:right="1474" w:bottom="1984" w:left="1588"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wordWrap w:val="0"/>
      <w:jc w:val="right"/>
      <w:rPr>
        <w:rFonts w:hint="default" w:ascii="仿宋_GB2312" w:eastAsia="仿宋_GB2312"/>
        <w:sz w:val="28"/>
        <w:szCs w:val="28"/>
        <w:lang w:val="en-US" w:eastAsia="zh-CN"/>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1</w:t>
    </w:r>
    <w:r>
      <w:rPr>
        <w:rFonts w:hint="eastAsia" w:ascii="仿宋_GB2312" w:eastAsia="仿宋_GB2312"/>
        <w:sz w:val="28"/>
        <w:szCs w:val="28"/>
      </w:rPr>
      <w:fldChar w:fldCharType="end"/>
    </w:r>
    <w:r>
      <w:rPr>
        <w:rFonts w:hint="eastAsia" w:ascii="仿宋_GB2312" w:eastAsia="仿宋_GB2312"/>
        <w:sz w:val="28"/>
        <w:szCs w:val="28"/>
      </w:rPr>
      <w:t>—</w:t>
    </w:r>
    <w:r>
      <w:rPr>
        <w:rFonts w:hint="eastAsia" w:ascii="仿宋_GB2312" w:eastAsia="仿宋_GB2312"/>
        <w:sz w:val="28"/>
        <w:szCs w:val="28"/>
        <w:lang w:val="en-US" w:eastAsia="zh-CN"/>
      </w:rPr>
      <w:t xml:space="preserve">  </w: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280" w:firstLineChars="1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2</w:t>
    </w:r>
    <w:r>
      <w:rPr>
        <w:rFonts w:hint="eastAsia" w:ascii="仿宋_GB2312" w:eastAsia="仿宋_GB2312"/>
        <w:sz w:val="28"/>
        <w:szCs w:val="28"/>
      </w:rPr>
      <w:fldChar w:fldCharType="end"/>
    </w:r>
    <w:r>
      <w:rPr>
        <w:rFonts w:hint="eastAsia" w:ascii="仿宋_GB2312" w:eastAsia="仿宋_GB2312"/>
        <w:sz w:val="28"/>
        <w:szCs w:val="28"/>
      </w:rPr>
      <w:t>—</w:t>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36D35A"/>
    <w:multiLevelType w:val="singleLevel"/>
    <w:tmpl w:val="9D36D35A"/>
    <w:lvl w:ilvl="0" w:tentative="0">
      <w:start w:val="2"/>
      <w:numFmt w:val="chineseCounting"/>
      <w:suff w:val="nothing"/>
      <w:lvlText w:val="（%1）"/>
      <w:lvlJc w:val="left"/>
      <w:rPr>
        <w:rFonts w:hint="eastAsia"/>
      </w:rPr>
    </w:lvl>
  </w:abstractNum>
  <w:abstractNum w:abstractNumId="1">
    <w:nsid w:val="024D7E3E"/>
    <w:multiLevelType w:val="singleLevel"/>
    <w:tmpl w:val="024D7E3E"/>
    <w:lvl w:ilvl="0" w:tentative="0">
      <w:start w:val="5"/>
      <w:numFmt w:val="chineseCounting"/>
      <w:suff w:val="nothing"/>
      <w:lvlText w:val="%1、"/>
      <w:lvlJc w:val="left"/>
      <w:rPr>
        <w:rFonts w:hint="eastAsia"/>
      </w:rPr>
    </w:lvl>
  </w:abstractNum>
  <w:abstractNum w:abstractNumId="2">
    <w:nsid w:val="38412E7D"/>
    <w:multiLevelType w:val="singleLevel"/>
    <w:tmpl w:val="38412E7D"/>
    <w:lvl w:ilvl="0" w:tentative="0">
      <w:start w:val="3"/>
      <w:numFmt w:val="chineseCounting"/>
      <w:suff w:val="nothing"/>
      <w:lvlText w:val="%1、"/>
      <w:lvlJc w:val="left"/>
      <w:rPr>
        <w:rFonts w:hint="eastAsia"/>
      </w:rPr>
    </w:lvl>
  </w:abstractNum>
  <w:abstractNum w:abstractNumId="3">
    <w:nsid w:val="3DBCC7F1"/>
    <w:multiLevelType w:val="singleLevel"/>
    <w:tmpl w:val="3DBCC7F1"/>
    <w:lvl w:ilvl="0" w:tentative="0">
      <w:start w:val="2"/>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7"/>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2NTFhNzUyYWNhZWYwNzk2NGNiZjE1MTNiODc3NWIifQ=="/>
    <w:docVar w:name="KSO_WPS_MARK_KEY" w:val="4defe9cb-654e-4313-b2c5-28031463ce4c"/>
  </w:docVars>
  <w:rsids>
    <w:rsidRoot w:val="0020402E"/>
    <w:rsid w:val="00017A8F"/>
    <w:rsid w:val="00047AB7"/>
    <w:rsid w:val="00090D52"/>
    <w:rsid w:val="00146EE9"/>
    <w:rsid w:val="00175F9F"/>
    <w:rsid w:val="001852BB"/>
    <w:rsid w:val="001D0E44"/>
    <w:rsid w:val="001F5CC3"/>
    <w:rsid w:val="0020402E"/>
    <w:rsid w:val="002413BA"/>
    <w:rsid w:val="00252E79"/>
    <w:rsid w:val="00285A6A"/>
    <w:rsid w:val="002B6CB3"/>
    <w:rsid w:val="00316CB8"/>
    <w:rsid w:val="00323104"/>
    <w:rsid w:val="00333AF7"/>
    <w:rsid w:val="00353839"/>
    <w:rsid w:val="003C3A4C"/>
    <w:rsid w:val="0040414B"/>
    <w:rsid w:val="004777BF"/>
    <w:rsid w:val="00491601"/>
    <w:rsid w:val="004C626E"/>
    <w:rsid w:val="004E4C2D"/>
    <w:rsid w:val="00534226"/>
    <w:rsid w:val="00540143"/>
    <w:rsid w:val="0054605A"/>
    <w:rsid w:val="0057336C"/>
    <w:rsid w:val="005747B0"/>
    <w:rsid w:val="00574ECC"/>
    <w:rsid w:val="005A165A"/>
    <w:rsid w:val="005A1E7F"/>
    <w:rsid w:val="005D02D2"/>
    <w:rsid w:val="0064178A"/>
    <w:rsid w:val="00662C20"/>
    <w:rsid w:val="0069488B"/>
    <w:rsid w:val="006A0799"/>
    <w:rsid w:val="006B1439"/>
    <w:rsid w:val="00715FE5"/>
    <w:rsid w:val="00730C4E"/>
    <w:rsid w:val="007454FA"/>
    <w:rsid w:val="007805F0"/>
    <w:rsid w:val="007843B2"/>
    <w:rsid w:val="00793220"/>
    <w:rsid w:val="00807004"/>
    <w:rsid w:val="00877B65"/>
    <w:rsid w:val="008E215B"/>
    <w:rsid w:val="008F452B"/>
    <w:rsid w:val="009144B5"/>
    <w:rsid w:val="0092160F"/>
    <w:rsid w:val="00942E41"/>
    <w:rsid w:val="009602F7"/>
    <w:rsid w:val="00983CCC"/>
    <w:rsid w:val="0099268A"/>
    <w:rsid w:val="00995445"/>
    <w:rsid w:val="009D16EF"/>
    <w:rsid w:val="009F069C"/>
    <w:rsid w:val="00A423C3"/>
    <w:rsid w:val="00A70DE2"/>
    <w:rsid w:val="00B05126"/>
    <w:rsid w:val="00B52633"/>
    <w:rsid w:val="00B66C42"/>
    <w:rsid w:val="00B7249F"/>
    <w:rsid w:val="00B81BFA"/>
    <w:rsid w:val="00B96D85"/>
    <w:rsid w:val="00C241DC"/>
    <w:rsid w:val="00C26948"/>
    <w:rsid w:val="00CB4D66"/>
    <w:rsid w:val="00CD6651"/>
    <w:rsid w:val="00CE536E"/>
    <w:rsid w:val="00D86B7C"/>
    <w:rsid w:val="00DE0350"/>
    <w:rsid w:val="00EE17E0"/>
    <w:rsid w:val="00F21861"/>
    <w:rsid w:val="00F47909"/>
    <w:rsid w:val="00F56884"/>
    <w:rsid w:val="00F80A48"/>
    <w:rsid w:val="00FC428C"/>
    <w:rsid w:val="00FD313A"/>
    <w:rsid w:val="00FE5B35"/>
    <w:rsid w:val="01DB367D"/>
    <w:rsid w:val="025F4662"/>
    <w:rsid w:val="026C0DFE"/>
    <w:rsid w:val="02F474A0"/>
    <w:rsid w:val="031F2043"/>
    <w:rsid w:val="03265180"/>
    <w:rsid w:val="03474314"/>
    <w:rsid w:val="03C8521F"/>
    <w:rsid w:val="045C354F"/>
    <w:rsid w:val="04E909D6"/>
    <w:rsid w:val="054C5DAB"/>
    <w:rsid w:val="057564AB"/>
    <w:rsid w:val="06C346F1"/>
    <w:rsid w:val="06C54798"/>
    <w:rsid w:val="073562D9"/>
    <w:rsid w:val="07361DDD"/>
    <w:rsid w:val="07593D76"/>
    <w:rsid w:val="080F73BE"/>
    <w:rsid w:val="08114650"/>
    <w:rsid w:val="084C6591"/>
    <w:rsid w:val="08514A4D"/>
    <w:rsid w:val="08AF45C5"/>
    <w:rsid w:val="08FA3336"/>
    <w:rsid w:val="0A4D6167"/>
    <w:rsid w:val="0A8E01DA"/>
    <w:rsid w:val="0B6757B7"/>
    <w:rsid w:val="0B6B4B9F"/>
    <w:rsid w:val="0D774F56"/>
    <w:rsid w:val="0E2D1318"/>
    <w:rsid w:val="100D7DF3"/>
    <w:rsid w:val="104B0B11"/>
    <w:rsid w:val="11AB1672"/>
    <w:rsid w:val="12216B3D"/>
    <w:rsid w:val="12310D91"/>
    <w:rsid w:val="123E2F93"/>
    <w:rsid w:val="125D4824"/>
    <w:rsid w:val="128B56D9"/>
    <w:rsid w:val="13224E04"/>
    <w:rsid w:val="139A36CF"/>
    <w:rsid w:val="13AE4AD7"/>
    <w:rsid w:val="140137CB"/>
    <w:rsid w:val="143040B0"/>
    <w:rsid w:val="148166BA"/>
    <w:rsid w:val="14BE19FD"/>
    <w:rsid w:val="14C96294"/>
    <w:rsid w:val="153573E4"/>
    <w:rsid w:val="16513469"/>
    <w:rsid w:val="16F40CC3"/>
    <w:rsid w:val="17427051"/>
    <w:rsid w:val="176A5B2B"/>
    <w:rsid w:val="18FA2EDF"/>
    <w:rsid w:val="19871FA6"/>
    <w:rsid w:val="1AA21F20"/>
    <w:rsid w:val="1AFB36D2"/>
    <w:rsid w:val="1B201DBF"/>
    <w:rsid w:val="1B2C0724"/>
    <w:rsid w:val="1B2F4438"/>
    <w:rsid w:val="1B4B493C"/>
    <w:rsid w:val="1B6E7E45"/>
    <w:rsid w:val="1B83455A"/>
    <w:rsid w:val="1BA62EAA"/>
    <w:rsid w:val="1BFB4FA4"/>
    <w:rsid w:val="1C492847"/>
    <w:rsid w:val="1C737230"/>
    <w:rsid w:val="1CA9155D"/>
    <w:rsid w:val="1CBB2985"/>
    <w:rsid w:val="1D1722B1"/>
    <w:rsid w:val="1D6F5C49"/>
    <w:rsid w:val="1D994A74"/>
    <w:rsid w:val="1E93139D"/>
    <w:rsid w:val="1EE25654"/>
    <w:rsid w:val="1F4135B5"/>
    <w:rsid w:val="1F615A66"/>
    <w:rsid w:val="201F02E4"/>
    <w:rsid w:val="21C44F09"/>
    <w:rsid w:val="21D56297"/>
    <w:rsid w:val="21DE339D"/>
    <w:rsid w:val="227814F2"/>
    <w:rsid w:val="22A16179"/>
    <w:rsid w:val="23FE7D27"/>
    <w:rsid w:val="24875A24"/>
    <w:rsid w:val="252722E2"/>
    <w:rsid w:val="257342D8"/>
    <w:rsid w:val="268B7490"/>
    <w:rsid w:val="276C34ED"/>
    <w:rsid w:val="28047D00"/>
    <w:rsid w:val="284D6B87"/>
    <w:rsid w:val="29272FC4"/>
    <w:rsid w:val="29791BFE"/>
    <w:rsid w:val="29CC3D4E"/>
    <w:rsid w:val="2AA963F5"/>
    <w:rsid w:val="2ADC4E13"/>
    <w:rsid w:val="2B151983"/>
    <w:rsid w:val="2B5446D0"/>
    <w:rsid w:val="2BF14242"/>
    <w:rsid w:val="2C534818"/>
    <w:rsid w:val="2CCF04B2"/>
    <w:rsid w:val="2DC43283"/>
    <w:rsid w:val="2DE51610"/>
    <w:rsid w:val="2FB514D0"/>
    <w:rsid w:val="2FE80D8F"/>
    <w:rsid w:val="30842FF2"/>
    <w:rsid w:val="309E0C3C"/>
    <w:rsid w:val="30CB0B45"/>
    <w:rsid w:val="32BE4F4A"/>
    <w:rsid w:val="33ED3BCC"/>
    <w:rsid w:val="33FD3B57"/>
    <w:rsid w:val="34D523DE"/>
    <w:rsid w:val="35784879"/>
    <w:rsid w:val="363D0213"/>
    <w:rsid w:val="36AA1648"/>
    <w:rsid w:val="3719610A"/>
    <w:rsid w:val="37603E4C"/>
    <w:rsid w:val="376712E7"/>
    <w:rsid w:val="378941A7"/>
    <w:rsid w:val="38B844F1"/>
    <w:rsid w:val="38E01351"/>
    <w:rsid w:val="3A5B15D7"/>
    <w:rsid w:val="3A970B02"/>
    <w:rsid w:val="3AD578E1"/>
    <w:rsid w:val="3CA974C2"/>
    <w:rsid w:val="3CFF3309"/>
    <w:rsid w:val="3D5347E8"/>
    <w:rsid w:val="3D5B0142"/>
    <w:rsid w:val="3DD75329"/>
    <w:rsid w:val="3DEA67CE"/>
    <w:rsid w:val="3E3839DE"/>
    <w:rsid w:val="3E752508"/>
    <w:rsid w:val="3E844FE1"/>
    <w:rsid w:val="40297539"/>
    <w:rsid w:val="40414948"/>
    <w:rsid w:val="40C637D8"/>
    <w:rsid w:val="40D1149A"/>
    <w:rsid w:val="41203D79"/>
    <w:rsid w:val="4125649B"/>
    <w:rsid w:val="41CC4F14"/>
    <w:rsid w:val="42120659"/>
    <w:rsid w:val="42574E56"/>
    <w:rsid w:val="426A72E7"/>
    <w:rsid w:val="438576C5"/>
    <w:rsid w:val="44812A1C"/>
    <w:rsid w:val="4568638C"/>
    <w:rsid w:val="45C43F4B"/>
    <w:rsid w:val="45CE0BFE"/>
    <w:rsid w:val="464178F2"/>
    <w:rsid w:val="46B67B95"/>
    <w:rsid w:val="46DA32A9"/>
    <w:rsid w:val="47217705"/>
    <w:rsid w:val="47505984"/>
    <w:rsid w:val="484140EE"/>
    <w:rsid w:val="489505CE"/>
    <w:rsid w:val="48A153C2"/>
    <w:rsid w:val="48E01D74"/>
    <w:rsid w:val="49391826"/>
    <w:rsid w:val="49F41101"/>
    <w:rsid w:val="49F91FC4"/>
    <w:rsid w:val="4AB42380"/>
    <w:rsid w:val="4BB1223F"/>
    <w:rsid w:val="4BF34DC1"/>
    <w:rsid w:val="4C6B2057"/>
    <w:rsid w:val="4C8056D4"/>
    <w:rsid w:val="4C8F2F6F"/>
    <w:rsid w:val="4C93723E"/>
    <w:rsid w:val="4CB4635D"/>
    <w:rsid w:val="4CCC314C"/>
    <w:rsid w:val="4CD32934"/>
    <w:rsid w:val="4CD6689C"/>
    <w:rsid w:val="4D682A48"/>
    <w:rsid w:val="4D832C78"/>
    <w:rsid w:val="4DBA322B"/>
    <w:rsid w:val="4E271D7B"/>
    <w:rsid w:val="4E7E2684"/>
    <w:rsid w:val="4F744DEB"/>
    <w:rsid w:val="50B508AC"/>
    <w:rsid w:val="51CC64BF"/>
    <w:rsid w:val="51D52940"/>
    <w:rsid w:val="521B7236"/>
    <w:rsid w:val="523E38F5"/>
    <w:rsid w:val="52923265"/>
    <w:rsid w:val="538232A1"/>
    <w:rsid w:val="53D14ABD"/>
    <w:rsid w:val="54761817"/>
    <w:rsid w:val="547D1124"/>
    <w:rsid w:val="54CF07A0"/>
    <w:rsid w:val="54F975CB"/>
    <w:rsid w:val="552D5EC0"/>
    <w:rsid w:val="557673CF"/>
    <w:rsid w:val="561C735A"/>
    <w:rsid w:val="56380A98"/>
    <w:rsid w:val="56C137C7"/>
    <w:rsid w:val="57B7551B"/>
    <w:rsid w:val="58F5279F"/>
    <w:rsid w:val="590B2E55"/>
    <w:rsid w:val="599F6108"/>
    <w:rsid w:val="59B61F2F"/>
    <w:rsid w:val="59B9557B"/>
    <w:rsid w:val="59E92304"/>
    <w:rsid w:val="5AB75993"/>
    <w:rsid w:val="5AE4142E"/>
    <w:rsid w:val="5C5F065B"/>
    <w:rsid w:val="5CDD3C76"/>
    <w:rsid w:val="5D0E5BDE"/>
    <w:rsid w:val="5D28108C"/>
    <w:rsid w:val="5D5F468B"/>
    <w:rsid w:val="5DA4554F"/>
    <w:rsid w:val="5DD1318C"/>
    <w:rsid w:val="5DDB01B6"/>
    <w:rsid w:val="5EB856E4"/>
    <w:rsid w:val="5F0B1D76"/>
    <w:rsid w:val="5F3465FA"/>
    <w:rsid w:val="5F557A60"/>
    <w:rsid w:val="5F772160"/>
    <w:rsid w:val="5FF40209"/>
    <w:rsid w:val="60340580"/>
    <w:rsid w:val="6151078F"/>
    <w:rsid w:val="62092C5F"/>
    <w:rsid w:val="63402869"/>
    <w:rsid w:val="638B55F6"/>
    <w:rsid w:val="63F57AF7"/>
    <w:rsid w:val="6419080D"/>
    <w:rsid w:val="645415E8"/>
    <w:rsid w:val="64874BF3"/>
    <w:rsid w:val="657B7EC1"/>
    <w:rsid w:val="659418B0"/>
    <w:rsid w:val="65F514C0"/>
    <w:rsid w:val="672A3F5C"/>
    <w:rsid w:val="672C7221"/>
    <w:rsid w:val="678F03E3"/>
    <w:rsid w:val="687234C5"/>
    <w:rsid w:val="687545A8"/>
    <w:rsid w:val="68A65864"/>
    <w:rsid w:val="6A0C12EB"/>
    <w:rsid w:val="6A6C22B0"/>
    <w:rsid w:val="6B0C2013"/>
    <w:rsid w:val="6B1252E0"/>
    <w:rsid w:val="6BAD0DEB"/>
    <w:rsid w:val="6BCC4F2B"/>
    <w:rsid w:val="6C691293"/>
    <w:rsid w:val="6CFE5C6F"/>
    <w:rsid w:val="6D953B8F"/>
    <w:rsid w:val="6E162B44"/>
    <w:rsid w:val="70862203"/>
    <w:rsid w:val="70C8455E"/>
    <w:rsid w:val="710034B4"/>
    <w:rsid w:val="71913A76"/>
    <w:rsid w:val="71E769F5"/>
    <w:rsid w:val="71F2795F"/>
    <w:rsid w:val="72643CC5"/>
    <w:rsid w:val="72717B4F"/>
    <w:rsid w:val="728132ED"/>
    <w:rsid w:val="72BC63B0"/>
    <w:rsid w:val="72BD6DD8"/>
    <w:rsid w:val="73B57A63"/>
    <w:rsid w:val="74814AD2"/>
    <w:rsid w:val="74AE06FF"/>
    <w:rsid w:val="74BB4EE4"/>
    <w:rsid w:val="768A0573"/>
    <w:rsid w:val="77951598"/>
    <w:rsid w:val="785A0460"/>
    <w:rsid w:val="791954AD"/>
    <w:rsid w:val="796208D7"/>
    <w:rsid w:val="7A065F4B"/>
    <w:rsid w:val="7AE12ED0"/>
    <w:rsid w:val="7AE35816"/>
    <w:rsid w:val="7B947DA7"/>
    <w:rsid w:val="7C1E59E5"/>
    <w:rsid w:val="7C8917B4"/>
    <w:rsid w:val="7CEB62C4"/>
    <w:rsid w:val="7D450D50"/>
    <w:rsid w:val="7DEB78CC"/>
    <w:rsid w:val="7E673BD9"/>
    <w:rsid w:val="7E991353"/>
    <w:rsid w:val="7ECB797B"/>
    <w:rsid w:val="7EEA2523"/>
    <w:rsid w:val="7FE457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5"/>
    <w:next w:val="1"/>
    <w:qFormat/>
    <w:uiPriority w:val="0"/>
    <w:pPr>
      <w:adjustRightInd w:val="0"/>
      <w:snapToGrid w:val="0"/>
      <w:spacing w:line="570" w:lineRule="exact"/>
      <w:outlineLvl w:val="0"/>
    </w:pPr>
    <w:rPr>
      <w:rFonts w:ascii="华文中宋" w:hAnsi="华文中宋" w:eastAsia="华文中宋"/>
      <w:color w:val="000000"/>
      <w:sz w:val="44"/>
      <w:szCs w:val="44"/>
    </w:rPr>
  </w:style>
  <w:style w:type="paragraph" w:styleId="6">
    <w:name w:val="heading 2"/>
    <w:basedOn w:val="1"/>
    <w:next w:val="1"/>
    <w:qFormat/>
    <w:uiPriority w:val="0"/>
    <w:pPr>
      <w:keepNext/>
      <w:keepLines/>
      <w:spacing w:line="560" w:lineRule="exact"/>
      <w:ind w:firstLine="640"/>
      <w:outlineLvl w:val="1"/>
    </w:pPr>
    <w:rPr>
      <w:rFonts w:eastAsia="黑体"/>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napToGrid/>
      <w:spacing w:line="520" w:lineRule="exact"/>
      <w:ind w:firstLine="0" w:firstLineChars="0"/>
      <w:jc w:val="center"/>
    </w:pPr>
    <w:rPr>
      <w:rFonts w:ascii="Times New Roman" w:hAnsi="Times New Roman"/>
      <w:sz w:val="24"/>
      <w:szCs w:val="20"/>
    </w:rPr>
  </w:style>
  <w:style w:type="paragraph" w:styleId="3">
    <w:name w:val="Body Text"/>
    <w:basedOn w:val="1"/>
    <w:qFormat/>
    <w:uiPriority w:val="0"/>
    <w:rPr>
      <w:rFonts w:ascii="Calibri" w:hAnsi="Calibri" w:eastAsia="宋体" w:cs="Times New Roman"/>
    </w:rPr>
  </w:style>
  <w:style w:type="paragraph" w:styleId="5">
    <w:name w:val="Title"/>
    <w:basedOn w:val="1"/>
    <w:next w:val="1"/>
    <w:link w:val="22"/>
    <w:qFormat/>
    <w:uiPriority w:val="0"/>
    <w:pPr>
      <w:adjustRightInd w:val="0"/>
      <w:spacing w:before="240" w:after="60" w:line="312" w:lineRule="atLeast"/>
      <w:jc w:val="center"/>
      <w:textAlignment w:val="baseline"/>
    </w:pPr>
    <w:rPr>
      <w:rFonts w:ascii="Arial" w:hAnsi="Arial"/>
      <w:b/>
      <w:kern w:val="28"/>
      <w:sz w:val="32"/>
      <w:szCs w:val="20"/>
    </w:rPr>
  </w:style>
  <w:style w:type="paragraph" w:styleId="7">
    <w:name w:val="Normal Indent"/>
    <w:basedOn w:val="1"/>
    <w:next w:val="1"/>
    <w:qFormat/>
    <w:uiPriority w:val="0"/>
    <w:pPr>
      <w:ind w:firstLine="420" w:firstLineChars="200"/>
    </w:pPr>
  </w:style>
  <w:style w:type="paragraph" w:styleId="8">
    <w:name w:val="Body Text Indent"/>
    <w:basedOn w:val="1"/>
    <w:unhideWhenUsed/>
    <w:qFormat/>
    <w:uiPriority w:val="0"/>
    <w:pPr>
      <w:ind w:firstLine="640" w:firstLineChars="200"/>
    </w:pPr>
    <w:rPr>
      <w:rFonts w:ascii="仿宋_GB2312" w:hAnsi="Times New Roman" w:eastAsia="仿宋_GB2312"/>
      <w:sz w:val="32"/>
      <w:szCs w:val="24"/>
    </w:rPr>
  </w:style>
  <w:style w:type="paragraph" w:styleId="9">
    <w:name w:val="Plain Text"/>
    <w:basedOn w:val="1"/>
    <w:qFormat/>
    <w:uiPriority w:val="99"/>
    <w:rPr>
      <w:rFonts w:ascii="宋体" w:hAnsi="Courier New" w:cs="宋体"/>
      <w:kern w:val="0"/>
      <w:sz w:val="20"/>
      <w:szCs w:val="21"/>
    </w:rPr>
  </w:style>
  <w:style w:type="paragraph" w:styleId="10">
    <w:name w:val="Date"/>
    <w:basedOn w:val="1"/>
    <w:next w:val="1"/>
    <w:link w:val="23"/>
    <w:qFormat/>
    <w:uiPriority w:val="0"/>
    <w:pPr>
      <w:ind w:left="100" w:leftChars="2500"/>
    </w:pPr>
  </w:style>
  <w:style w:type="paragraph" w:styleId="11">
    <w:name w:val="footer"/>
    <w:basedOn w:val="1"/>
    <w:link w:val="24"/>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6">
    <w:name w:val="Table Grid"/>
    <w:basedOn w:val="15"/>
    <w:qFormat/>
    <w:uiPriority w:val="3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8">
    <w:name w:val="Strong"/>
    <w:basedOn w:val="17"/>
    <w:qFormat/>
    <w:uiPriority w:val="22"/>
    <w:rPr>
      <w:b/>
      <w:bCs/>
    </w:rPr>
  </w:style>
  <w:style w:type="character" w:styleId="19">
    <w:name w:val="page number"/>
    <w:basedOn w:val="17"/>
    <w:qFormat/>
    <w:uiPriority w:val="0"/>
  </w:style>
  <w:style w:type="character" w:customStyle="1" w:styleId="20">
    <w:name w:val="公文文种"/>
    <w:basedOn w:val="17"/>
    <w:qFormat/>
    <w:uiPriority w:val="0"/>
    <w:rPr>
      <w:rFonts w:eastAsia="宋体"/>
      <w:sz w:val="32"/>
    </w:rPr>
  </w:style>
  <w:style w:type="character" w:customStyle="1" w:styleId="21">
    <w:name w:val="公文文号"/>
    <w:basedOn w:val="17"/>
    <w:qFormat/>
    <w:uiPriority w:val="0"/>
    <w:rPr>
      <w:rFonts w:eastAsia="仿宋_GB2312"/>
      <w:sz w:val="32"/>
    </w:rPr>
  </w:style>
  <w:style w:type="character" w:customStyle="1" w:styleId="22">
    <w:name w:val="标题 Char"/>
    <w:basedOn w:val="17"/>
    <w:link w:val="5"/>
    <w:qFormat/>
    <w:uiPriority w:val="0"/>
    <w:rPr>
      <w:rFonts w:ascii="Arial" w:hAnsi="Arial"/>
      <w:b/>
      <w:kern w:val="28"/>
      <w:sz w:val="32"/>
    </w:rPr>
  </w:style>
  <w:style w:type="character" w:customStyle="1" w:styleId="23">
    <w:name w:val="日期 Char"/>
    <w:basedOn w:val="17"/>
    <w:link w:val="10"/>
    <w:qFormat/>
    <w:uiPriority w:val="0"/>
    <w:rPr>
      <w:rFonts w:ascii="Calibri" w:hAnsi="Calibri"/>
      <w:kern w:val="2"/>
      <w:sz w:val="21"/>
      <w:szCs w:val="22"/>
    </w:rPr>
  </w:style>
  <w:style w:type="character" w:customStyle="1" w:styleId="24">
    <w:name w:val="页脚 Char"/>
    <w:basedOn w:val="17"/>
    <w:link w:val="11"/>
    <w:qFormat/>
    <w:uiPriority w:val="99"/>
    <w:rPr>
      <w:rFonts w:ascii="Calibri" w:hAnsi="Calibri"/>
      <w:kern w:val="2"/>
      <w:sz w:val="18"/>
      <w:szCs w:val="18"/>
    </w:rPr>
  </w:style>
  <w:style w:type="paragraph" w:customStyle="1" w:styleId="25">
    <w:name w:val="p0"/>
    <w:basedOn w:val="1"/>
    <w:qFormat/>
    <w:uiPriority w:val="0"/>
    <w:pPr>
      <w:widowControl/>
      <w:adjustRightInd w:val="0"/>
      <w:snapToGrid w:val="0"/>
      <w:spacing w:line="365" w:lineRule="atLeast"/>
      <w:ind w:left="1" w:firstLine="200" w:firstLineChars="200"/>
      <w:textAlignment w:val="bottom"/>
    </w:pPr>
    <w:rPr>
      <w:rFonts w:ascii="Times New Roman" w:hAnsi="Times New Roman"/>
      <w:kern w:val="0"/>
      <w:sz w:val="20"/>
      <w:szCs w:val="20"/>
    </w:rPr>
  </w:style>
  <w:style w:type="paragraph" w:customStyle="1" w:styleId="26">
    <w:name w:val="样式2"/>
    <w:basedOn w:val="1"/>
    <w:qFormat/>
    <w:uiPriority w:val="0"/>
    <w:pPr>
      <w:spacing w:line="360" w:lineRule="auto"/>
      <w:ind w:left="297" w:right="297" w:rightChars="100"/>
      <w:jc w:val="left"/>
    </w:pPr>
    <w:rPr>
      <w:rFonts w:ascii="仿宋_GB2312" w:hAnsi="Times New Roman" w:eastAsia="仿宋_GB2312"/>
      <w:b/>
      <w:color w:val="000000"/>
      <w:sz w:val="32"/>
      <w:szCs w:val="32"/>
    </w:rPr>
  </w:style>
  <w:style w:type="character" w:customStyle="1" w:styleId="27">
    <w:name w:val="apple-style-span"/>
    <w:qFormat/>
    <w:uiPriority w:val="99"/>
  </w:style>
  <w:style w:type="paragraph" w:customStyle="1" w:styleId="28">
    <w:name w:val="列出段落1"/>
    <w:basedOn w:val="1"/>
    <w:qFormat/>
    <w:uiPriority w:val="34"/>
    <w:pPr>
      <w:ind w:firstLine="420" w:firstLineChars="200"/>
    </w:pPr>
    <w:rPr>
      <w:rFonts w:asciiTheme="minorHAnsi" w:hAnsiTheme="minorHAnsi" w:eastAsiaTheme="minorEastAsia" w:cstheme="minorBidi"/>
    </w:rPr>
  </w:style>
  <w:style w:type="character" w:customStyle="1" w:styleId="29">
    <w:name w:val="公文正文"/>
    <w:qFormat/>
    <w:uiPriority w:val="0"/>
    <w:rPr>
      <w:rFonts w:hint="eastAsia" w:ascii="仿宋_GB2312" w:eastAsia="仿宋_GB2312"/>
      <w:sz w:val="32"/>
    </w:rPr>
  </w:style>
  <w:style w:type="paragraph" w:styleId="30">
    <w:name w:val="List Paragraph"/>
    <w:basedOn w:val="1"/>
    <w:qFormat/>
    <w:uiPriority w:val="34"/>
    <w:pPr>
      <w:ind w:firstLine="420" w:firstLineChars="200"/>
    </w:pPr>
    <w:rPr>
      <w:rFonts w:asciiTheme="minorHAnsi" w:hAnsiTheme="minorHAnsi" w:eastAsiaTheme="minorEastAsia" w:cstheme="minorBidi"/>
    </w:rPr>
  </w:style>
  <w:style w:type="paragraph" w:customStyle="1" w:styleId="31">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32">
    <w:name w:val="无间隔1"/>
    <w:unhideWhenUsed/>
    <w:qFormat/>
    <w:uiPriority w:val="0"/>
    <w:pPr>
      <w:widowControl w:val="0"/>
      <w:spacing w:line="240" w:lineRule="auto"/>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6D357-B6EF-4E04-995F-5AD6D1391CBC}">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7</Pages>
  <Words>3017</Words>
  <Characters>3121</Characters>
  <Lines>1</Lines>
  <Paragraphs>1</Paragraphs>
  <TotalTime>10</TotalTime>
  <ScaleCrop>false</ScaleCrop>
  <LinksUpToDate>false</LinksUpToDate>
  <CharactersWithSpaces>3133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2019-03-22T06:27:00Z</dcterms:created>
  <dc:creator>user</dc:creator>
  <cp:lastModifiedBy>灯火阑珊</cp:lastModifiedBy>
  <cp:lastPrinted>2024-05-14T04:58:00Z</cp:lastPrinted>
  <dcterms:modified xsi:type="dcterms:W3CDTF">2024-08-26T06:18:16Z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35771CDCEEB44C2DACBE8BF92B071585</vt:lpwstr>
  </property>
</Properties>
</file>