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8CE98">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14:paraId="1D5B2C32">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1EF088DA">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14:paraId="094D8BF4">
      <w:pPr>
        <w:pStyle w:val="5"/>
        <w:rPr>
          <w:rFonts w:hint="eastAsia"/>
          <w:lang w:val="en-US" w:eastAsia="zh-CN"/>
        </w:rPr>
      </w:pPr>
    </w:p>
    <w:p w14:paraId="2F0B0094">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146891B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（一）项目概况</w:t>
      </w:r>
    </w:p>
    <w:p w14:paraId="7BD7831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基本情况</w:t>
      </w:r>
      <w:r>
        <w:rPr>
          <w:rFonts w:hint="eastAsia" w:ascii="仿宋_GB2312" w:hAnsi="仿宋_GB2312" w:eastAsia="仿宋_GB2312" w:cs="仿宋_GB2312"/>
          <w:color w:val="auto"/>
          <w:sz w:val="32"/>
          <w:szCs w:val="32"/>
        </w:rPr>
        <w:t>及实施情况</w:t>
      </w:r>
    </w:p>
    <w:p w14:paraId="53068CE5">
      <w:pPr>
        <w:pStyle w:val="3"/>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（1）基本情况：</w:t>
      </w:r>
      <w:r>
        <w:rPr>
          <w:rFonts w:hint="default" w:ascii="仿宋_GB2312" w:hAnsi="仿宋_GB2312" w:eastAsia="仿宋_GB2312" w:cs="仿宋_GB2312"/>
          <w:color w:val="auto"/>
          <w:kern w:val="2"/>
          <w:sz w:val="32"/>
          <w:szCs w:val="32"/>
          <w:lang w:val="en-US" w:eastAsia="zh-CN" w:bidi="ar-SA"/>
        </w:rPr>
        <w:t>区建设服务中心承担着五华辖区范围内278条市政道路（共计约191.4公里，469.8万平方米）和59座桥梁(面积11.64万平方米)的管理维护。近几年随着城市建设的不断发展，区建设服务中心接管的道路桥梁设施急速增加，仅2021年就新增接管了15条市政道路（面积12.49万平方米）、6座人行天桥、21部天桥电梯及先生坡、景虹街等历史文化特色街区。</w:t>
      </w:r>
    </w:p>
    <w:p w14:paraId="6E3DE3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_GB2312"/>
          <w:lang w:val="en-US" w:eastAsia="zh-CN"/>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rPr>
        <w:t>实施情况</w:t>
      </w:r>
      <w:r>
        <w:rPr>
          <w:rFonts w:hint="eastAsia" w:ascii="仿宋_GB2312" w:hAnsi="仿宋_GB2312" w:eastAsia="仿宋_GB2312" w:cs="仿宋_GB2312"/>
          <w:color w:val="auto"/>
          <w:sz w:val="32"/>
          <w:szCs w:val="32"/>
          <w:lang w:eastAsia="zh-CN"/>
        </w:rPr>
        <w:t>：通过政府采购完成维护单位招标工作，并签订服务合同，完成五华辖区范围内278条市政道路（共计约191.4公里，469.8万平方米）和59座桥梁(面积11.64万平方米)的管理维护工作；完成4座人行天桥电梯运行维护费及五华区道路桥梁设施维修养护项目服务费。道桥维护一次性验收合格率100%，延长城市道、桥使用寿命，提升城市路、桥质量，保障城市路桥安全，保障人民群众出行安全，社会公众满意度达95%。</w:t>
      </w:r>
    </w:p>
    <w:p w14:paraId="34C8A45E">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lang w:val="en-US" w:eastAsia="zh-CN"/>
        </w:rPr>
      </w:pPr>
      <w:r>
        <w:rPr>
          <w:rFonts w:hint="eastAsia" w:ascii="仿宋_GB2312" w:hAnsi="仿宋_GB2312" w:eastAsia="仿宋_GB2312" w:cs="仿宋_GB2312"/>
          <w:color w:val="auto"/>
          <w:sz w:val="32"/>
          <w:szCs w:val="32"/>
          <w:lang w:val="en-US" w:eastAsia="zh-CN"/>
        </w:rPr>
        <w:t>2.资金使用情况</w:t>
      </w:r>
    </w:p>
    <w:p w14:paraId="215969C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lang w:val="en-US" w:eastAsia="zh-CN"/>
        </w:rPr>
      </w:pPr>
      <w:r>
        <w:rPr>
          <w:rFonts w:hint="default" w:ascii="Times New Roman" w:hAnsi="Times New Roman" w:eastAsia="仿宋_GB2312" w:cs="Times New Roman"/>
          <w:kern w:val="0"/>
          <w:sz w:val="32"/>
          <w:szCs w:val="32"/>
          <w:lang w:val="en-US" w:eastAsia="zh-CN"/>
        </w:rPr>
        <w:t>202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lang w:val="en-US" w:eastAsia="zh-CN"/>
        </w:rPr>
        <w:t>年度道路桥梁设施维护经费</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年初预算数</w:t>
      </w:r>
      <w:r>
        <w:rPr>
          <w:rFonts w:hint="eastAsia" w:ascii="Times New Roman" w:hAnsi="Times New Roman" w:eastAsia="仿宋_GB2312" w:cs="Times New Roman"/>
          <w:kern w:val="0"/>
          <w:sz w:val="32"/>
          <w:szCs w:val="32"/>
          <w:lang w:val="en-US" w:eastAsia="zh-CN"/>
        </w:rPr>
        <w:t>651.65</w:t>
      </w:r>
      <w:r>
        <w:rPr>
          <w:rFonts w:hint="default" w:ascii="Times New Roman" w:hAnsi="Times New Roman" w:eastAsia="仿宋_GB2312" w:cs="Times New Roman"/>
          <w:kern w:val="0"/>
          <w:sz w:val="32"/>
          <w:szCs w:val="32"/>
          <w:lang w:val="en-US" w:eastAsia="zh-CN"/>
        </w:rPr>
        <w:t>万元，预算确定数</w:t>
      </w:r>
      <w:r>
        <w:rPr>
          <w:rFonts w:hint="eastAsia" w:ascii="Times New Roman" w:hAnsi="Times New Roman" w:eastAsia="仿宋_GB2312" w:cs="Times New Roman"/>
          <w:kern w:val="0"/>
          <w:sz w:val="32"/>
          <w:szCs w:val="32"/>
          <w:lang w:val="en-US" w:eastAsia="zh-CN"/>
        </w:rPr>
        <w:t>495.06</w:t>
      </w:r>
      <w:r>
        <w:rPr>
          <w:rFonts w:hint="default" w:ascii="Times New Roman" w:hAnsi="Times New Roman" w:eastAsia="仿宋_GB2312" w:cs="Times New Roman"/>
          <w:kern w:val="0"/>
          <w:sz w:val="32"/>
          <w:szCs w:val="32"/>
          <w:lang w:val="en-US" w:eastAsia="zh-CN"/>
        </w:rPr>
        <w:t>万元，全年执行数13</w:t>
      </w:r>
      <w:r>
        <w:rPr>
          <w:rFonts w:hint="eastAsia" w:ascii="Times New Roman" w:hAnsi="Times New Roman" w:eastAsia="仿宋_GB2312" w:cs="Times New Roman"/>
          <w:kern w:val="0"/>
          <w:sz w:val="32"/>
          <w:szCs w:val="32"/>
          <w:lang w:val="en-US" w:eastAsia="zh-CN"/>
        </w:rPr>
        <w:t>5.06</w:t>
      </w:r>
      <w:r>
        <w:rPr>
          <w:rFonts w:hint="default" w:ascii="Times New Roman" w:hAnsi="Times New Roman" w:eastAsia="仿宋_GB2312" w:cs="Times New Roman"/>
          <w:kern w:val="0"/>
          <w:sz w:val="32"/>
          <w:szCs w:val="32"/>
          <w:lang w:val="en-US" w:eastAsia="zh-CN"/>
        </w:rPr>
        <w:t>万元。主要是用于区建设服务中心承担着五华辖区范围内278条市政道路（共计约191.4公里，469.8万平方米）和59座桥梁(面积11.64万平方米)的管理维护。</w:t>
      </w:r>
    </w:p>
    <w:p w14:paraId="6ED4388D">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（二）项目绩效目标。</w:t>
      </w:r>
    </w:p>
    <w:p w14:paraId="3320EC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1.总体目标</w:t>
      </w:r>
    </w:p>
    <w:p w14:paraId="346551A9">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针对日常巡查中发现的主次干道、商业大街以及背街小巷的道路破损、坑塘等问题，制定维护计划，考虑道路设施与周边环境协调、配套进行维护；结合网格化管理工作、相关保障工作的需要对我</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管养设施进行日常维护。以养护为主，主动对接办事处，对各办事处涉及点位及点位周边存在的道路破损问题进行检查并及时采取措施进行维修养护。</w:t>
      </w:r>
    </w:p>
    <w:p w14:paraId="28400A94">
      <w:pPr>
        <w:keepNext w:val="0"/>
        <w:keepLines w:val="0"/>
        <w:pageBreakBefore w:val="0"/>
        <w:widowControl w:val="0"/>
        <w:numPr>
          <w:ilvl w:val="0"/>
          <w:numId w:val="0"/>
        </w:numPr>
        <w:kinsoku/>
        <w:wordWrap/>
        <w:topLinePunct w:val="0"/>
        <w:bidi w:val="0"/>
        <w:spacing w:line="576"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color w:val="auto"/>
          <w:sz w:val="32"/>
          <w:szCs w:val="32"/>
        </w:rPr>
        <w:t>进一步加强桥梁日常巡检维护工作，做到桥梁病害早发现、早处理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根据区政府的资金安排，结合辖区内各座桥梁的实际情况，委托具备相应资质的桥梁检测机构对桥梁进行结构安全检测，为桥梁维护提供可靠依据</w:t>
      </w:r>
      <w:r>
        <w:rPr>
          <w:rFonts w:hint="eastAsia" w:ascii="仿宋_GB2312" w:hAnsi="仿宋_GB2312" w:eastAsia="仿宋_GB2312" w:cs="仿宋_GB2312"/>
          <w:color w:val="auto"/>
          <w:sz w:val="32"/>
          <w:szCs w:val="32"/>
          <w:lang w:eastAsia="zh-CN"/>
        </w:rPr>
        <w:t>，并根据检测报告结论，制定桥梁维护计划，对桥梁病害进行处置</w:t>
      </w:r>
      <w:r>
        <w:rPr>
          <w:rFonts w:hint="eastAsia" w:ascii="仿宋_GB2312" w:hAnsi="仿宋_GB2312" w:eastAsia="仿宋_GB2312" w:cs="仿宋_GB2312"/>
          <w:color w:val="auto"/>
          <w:sz w:val="32"/>
          <w:szCs w:val="32"/>
        </w:rPr>
        <w:t>。</w:t>
      </w:r>
    </w:p>
    <w:p w14:paraId="1F699879">
      <w:pPr>
        <w:keepNext w:val="0"/>
        <w:keepLines w:val="0"/>
        <w:pageBreakBefore w:val="0"/>
        <w:widowControl w:val="0"/>
        <w:numPr>
          <w:ilvl w:val="0"/>
          <w:numId w:val="0"/>
        </w:numPr>
        <w:kinsoku/>
        <w:wordWrap/>
        <w:topLinePunct w:val="0"/>
        <w:bidi w:val="0"/>
        <w:spacing w:line="576"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为道路、桥梁等市政设施的维护管理提供必要的保障，进一步提高工作效率，从而为市民创造良好的出行环境。通过对道路、桥梁病害的及时处置延缓大修周期。</w:t>
      </w:r>
    </w:p>
    <w:p w14:paraId="4EE77A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2.阶段性目标</w:t>
      </w:r>
    </w:p>
    <w:p w14:paraId="63656719">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（1）完成监控辖区内管养桥梁状态，保障桥梁安全运行。</w:t>
      </w:r>
    </w:p>
    <w:p w14:paraId="67F50B45">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（2）完成道桥维护年度维护，对辖区内负责的城市道路、桥梁及附属设施开展日常巡检维护工作。</w:t>
      </w:r>
    </w:p>
    <w:p w14:paraId="1E767C2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（3）延长城市道、桥使用寿命，延缓大修周期，保障城市路、桥的安全、平整、畅通，及时消除道路桥梁交通安全隐患，保障人民群众出行安全。</w:t>
      </w:r>
    </w:p>
    <w:p w14:paraId="6C07A65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（三）项目组织管理情况。</w:t>
      </w:r>
    </w:p>
    <w:p w14:paraId="773F0A9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项目组织情况</w:t>
      </w:r>
    </w:p>
    <w:p w14:paraId="0DDA978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sz w:val="32"/>
          <w:szCs w:val="32"/>
        </w:rPr>
        <w:t>为加强项目管理，特成立预算绩效管理工作小组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主要由王华忠负责。</w:t>
      </w:r>
      <w:r>
        <w:rPr>
          <w:rFonts w:hint="eastAsia" w:ascii="仿宋_GB2312" w:hAnsi="仿宋_GB2312" w:eastAsia="仿宋_GB2312" w:cs="仿宋_GB2312"/>
          <w:sz w:val="32"/>
          <w:szCs w:val="32"/>
        </w:rPr>
        <w:t>预算绩效管理小组负责组织协调、督促检查，实施对项目资金使用管理工作的统筹安排，主要职责如下：负责预算编审；负责任务目标分解，确保预算绩效考核目标任务的完成，做好对项目日常督促检查、运行监控及绩效考核工作；负责绩效管理台账资料整编汇总，相关资料（包括但不限于项目绩效目标申报表、项目绩效目标运行监控表和监控报告、项目绩效自评报告、绩效发现问题的整改报告等）的报送工作，绩效管理信息公开工作；负责项目工作的监督检查，并针对绩效运行监控及评价中发现的问题，及时整改落实措施。</w:t>
      </w:r>
    </w:p>
    <w:p w14:paraId="247DE93E">
      <w:pPr>
        <w:pStyle w:val="4"/>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2.项目资金管理情况</w:t>
      </w:r>
    </w:p>
    <w:p w14:paraId="00C0C874">
      <w:pPr>
        <w:pStyle w:val="4"/>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rPr>
      </w:pPr>
      <w:r>
        <w:rPr>
          <w:rFonts w:hint="eastAsia" w:ascii="仿宋_GB2312" w:hAnsi="仿宋_GB2312" w:eastAsia="仿宋_GB2312" w:cs="仿宋_GB2312"/>
          <w:color w:val="auto"/>
          <w:sz w:val="32"/>
          <w:szCs w:val="32"/>
          <w:lang w:val="en-US" w:eastAsia="zh-CN"/>
        </w:rPr>
        <w:t>为了保证该项目的实施严格执行《财务管理制度》《预算管理制度》绩效管理制度等，昆明市五华区建设服务中心资金来源主要为财政拨款资金，对资金支付申请及发票、付款单据等相关票据的核查，项目资金拨付审批手续完整，专款专用，支出依据合规，无虚列套取、截留、挤占、挪用情况，不存在超标准开支、超预算情况。项目支出资料完整齐全，会计核算规范。</w:t>
      </w:r>
    </w:p>
    <w:p w14:paraId="4845B73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14:paraId="0B83653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（一）绩效评价目的、对象和范围。</w:t>
      </w:r>
    </w:p>
    <w:p w14:paraId="70B8FEA0">
      <w:pPr>
        <w:pStyle w:val="2"/>
        <w:keepNext/>
        <w:keepLines/>
        <w:pageBreakBefore w:val="0"/>
        <w:widowControl/>
        <w:kinsoku/>
        <w:wordWrap/>
        <w:overflowPunct/>
        <w:topLinePunct w:val="0"/>
        <w:autoSpaceDE/>
        <w:autoSpaceDN/>
        <w:bidi w:val="0"/>
        <w:adjustRightInd/>
        <w:snapToGrid/>
        <w:spacing w:before="0" w:after="0" w:line="560" w:lineRule="exact"/>
        <w:ind w:firstLine="640" w:firstLineChars="200"/>
        <w:textAlignment w:val="auto"/>
        <w:rPr>
          <w:rFonts w:hint="eastAsia"/>
        </w:rPr>
      </w:pPr>
      <w:r>
        <w:rPr>
          <w:rFonts w:hint="eastAsia" w:ascii="仿宋_GB2312" w:hAnsi="仿宋_GB2312" w:eastAsia="仿宋_GB2312" w:cs="仿宋_GB2312"/>
          <w:bCs w:val="0"/>
          <w:color w:val="auto"/>
          <w:kern w:val="0"/>
          <w:sz w:val="32"/>
          <w:szCs w:val="32"/>
          <w:lang w:val="en-US" w:eastAsia="zh-CN"/>
        </w:rPr>
        <w:t>昆明市五华区建设服务中心通过收集本单位基本情况、预算制定与明细、部门中长期规划目标及组织架构等信息，分析本单位资源配置的合理性及中长期规划目标完成与履职情况，总结经验做法，找出预算绩效管理中的薄弱环节，提出改进建议，提高财政资金的使用效益。通过绩效评价，做到项目专款专用，提高资金使用效率。</w:t>
      </w:r>
    </w:p>
    <w:p w14:paraId="0C3A2E0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rPr>
      </w:pPr>
      <w:r>
        <w:rPr>
          <w:rFonts w:hint="eastAsia" w:ascii="仿宋_GB2312" w:hAnsi="仿宋_GB2312" w:eastAsia="仿宋_GB2312" w:cs="仿宋_GB2312"/>
          <w:color w:val="auto"/>
          <w:sz w:val="32"/>
          <w:szCs w:val="32"/>
        </w:rPr>
        <w:t>（二）绩效评</w:t>
      </w:r>
      <w:bookmarkStart w:id="0" w:name="_GoBack"/>
      <w:bookmarkEnd w:id="0"/>
      <w:r>
        <w:rPr>
          <w:rFonts w:hint="eastAsia" w:ascii="仿宋_GB2312" w:hAnsi="仿宋_GB2312" w:eastAsia="仿宋_GB2312" w:cs="仿宋_GB2312"/>
          <w:color w:val="auto"/>
          <w:sz w:val="32"/>
          <w:szCs w:val="32"/>
        </w:rPr>
        <w:t>价原则、依据、评价指标体系（附表说明）、评价方法、评价标准、评价抽样等。</w:t>
      </w:r>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721"/>
        <w:gridCol w:w="1769"/>
        <w:gridCol w:w="1333"/>
        <w:gridCol w:w="2017"/>
        <w:gridCol w:w="966"/>
        <w:gridCol w:w="1135"/>
      </w:tblGrid>
      <w:tr w14:paraId="55607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9D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1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72D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道路桥梁设施维护经费</w:t>
            </w:r>
          </w:p>
        </w:tc>
      </w:tr>
      <w:tr w14:paraId="3BA0B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DF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8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036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昆明市五华区建设服务中心</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B8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F72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昆明市五华区建设服务中心</w:t>
            </w:r>
          </w:p>
        </w:tc>
      </w:tr>
      <w:tr w14:paraId="1D4B8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97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Style w:val="8"/>
                <w:rFonts w:eastAsia="宋体"/>
                <w:lang w:val="en-US" w:eastAsia="zh-CN" w:bidi="ar"/>
              </w:rPr>
              <w:br w:type="textWrapping"/>
            </w:r>
            <w:r>
              <w:rPr>
                <w:rStyle w:val="9"/>
                <w:lang w:val="en-US" w:eastAsia="zh-CN" w:bidi="ar"/>
              </w:rPr>
              <w:t>（万元）</w:t>
            </w:r>
          </w:p>
        </w:tc>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0F2DE">
            <w:pPr>
              <w:jc w:val="center"/>
              <w:rPr>
                <w:rFonts w:hint="default" w:ascii="Calibri" w:hAnsi="Calibri" w:cs="Calibri"/>
                <w:i w:val="0"/>
                <w:iCs w:val="0"/>
                <w:color w:val="000000"/>
                <w:sz w:val="20"/>
                <w:szCs w:val="20"/>
                <w:u w:val="none"/>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7F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8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39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80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48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r>
      <w:tr w14:paraId="22802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DE8B3">
            <w:pPr>
              <w:jc w:val="center"/>
              <w:rPr>
                <w:rFonts w:hint="eastAsia" w:ascii="宋体" w:hAnsi="宋体" w:eastAsia="宋体" w:cs="宋体"/>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2BA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BFA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651.65</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1E5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4495.06</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852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5.06</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2AC8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eastAsia" w:cs="Calibri"/>
                <w:i w:val="0"/>
                <w:iCs w:val="0"/>
                <w:color w:val="000000"/>
                <w:kern w:val="0"/>
                <w:sz w:val="20"/>
                <w:szCs w:val="20"/>
                <w:u w:val="none"/>
                <w:lang w:val="en-US" w:eastAsia="zh-CN" w:bidi="ar"/>
              </w:rPr>
              <w:t>27.28</w:t>
            </w:r>
            <w:r>
              <w:rPr>
                <w:rFonts w:hint="default" w:ascii="Calibri" w:hAnsi="Calibri" w:eastAsia="宋体" w:cs="Calibri"/>
                <w:i w:val="0"/>
                <w:iCs w:val="0"/>
                <w:color w:val="000000"/>
                <w:kern w:val="0"/>
                <w:sz w:val="20"/>
                <w:szCs w:val="20"/>
                <w:u w:val="none"/>
                <w:lang w:val="en-US" w:eastAsia="zh-CN" w:bidi="ar"/>
              </w:rPr>
              <w:t>%</w:t>
            </w:r>
          </w:p>
        </w:tc>
      </w:tr>
      <w:tr w14:paraId="13BA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2DDE2">
            <w:pPr>
              <w:jc w:val="center"/>
              <w:rPr>
                <w:rFonts w:hint="eastAsia" w:ascii="宋体" w:hAnsi="宋体" w:eastAsia="宋体" w:cs="宋体"/>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B7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0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651.65</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543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4495.06</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B55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5.06</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A1BC9">
            <w:pPr>
              <w:ind w:firstLine="200" w:firstLineChars="100"/>
              <w:rPr>
                <w:rFonts w:hint="default" w:ascii="Calibri" w:hAnsi="Calibri" w:cs="Calibri"/>
                <w:i w:val="0"/>
                <w:iCs w:val="0"/>
                <w:color w:val="000000"/>
                <w:sz w:val="20"/>
                <w:szCs w:val="20"/>
                <w:u w:val="none"/>
              </w:rPr>
            </w:pPr>
            <w:r>
              <w:rPr>
                <w:rFonts w:hint="eastAsia" w:cs="Calibri"/>
                <w:i w:val="0"/>
                <w:iCs w:val="0"/>
                <w:color w:val="000000"/>
                <w:kern w:val="0"/>
                <w:sz w:val="20"/>
                <w:szCs w:val="20"/>
                <w:u w:val="none"/>
                <w:lang w:val="en-US" w:eastAsia="zh-CN" w:bidi="ar"/>
              </w:rPr>
              <w:t>27.28</w:t>
            </w:r>
            <w:r>
              <w:rPr>
                <w:rFonts w:hint="default" w:ascii="Calibri" w:hAnsi="Calibri" w:eastAsia="宋体" w:cs="Calibri"/>
                <w:i w:val="0"/>
                <w:iCs w:val="0"/>
                <w:color w:val="000000"/>
                <w:kern w:val="0"/>
                <w:sz w:val="20"/>
                <w:szCs w:val="20"/>
                <w:u w:val="none"/>
                <w:lang w:val="en-US" w:eastAsia="zh-CN" w:bidi="ar"/>
              </w:rPr>
              <w:t>%</w:t>
            </w:r>
          </w:p>
        </w:tc>
      </w:tr>
      <w:tr w14:paraId="6775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B4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r>
              <w:rPr>
                <w:rStyle w:val="8"/>
                <w:rFonts w:eastAsia="宋体"/>
                <w:lang w:val="en-US" w:eastAsia="zh-CN" w:bidi="ar"/>
              </w:rPr>
              <w:br w:type="textWrapping"/>
            </w:r>
            <w:r>
              <w:rPr>
                <w:rStyle w:val="9"/>
                <w:lang w:val="en-US" w:eastAsia="zh-CN" w:bidi="ar"/>
              </w:rPr>
              <w:t>总体</w:t>
            </w:r>
            <w:r>
              <w:rPr>
                <w:rStyle w:val="8"/>
                <w:rFonts w:eastAsia="宋体"/>
                <w:lang w:val="en-US" w:eastAsia="zh-CN" w:bidi="ar"/>
              </w:rPr>
              <w:br w:type="textWrapping"/>
            </w:r>
            <w:r>
              <w:rPr>
                <w:rStyle w:val="9"/>
                <w:lang w:val="en-US" w:eastAsia="zh-CN" w:bidi="ar"/>
              </w:rPr>
              <w:t>目标</w:t>
            </w:r>
          </w:p>
        </w:tc>
        <w:tc>
          <w:tcPr>
            <w:tcW w:w="328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C5A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3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37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5D580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D3549">
            <w:pPr>
              <w:jc w:val="center"/>
              <w:rPr>
                <w:rFonts w:hint="eastAsia" w:ascii="宋体" w:hAnsi="宋体" w:eastAsia="宋体" w:cs="宋体"/>
                <w:i w:val="0"/>
                <w:iCs w:val="0"/>
                <w:color w:val="000000"/>
                <w:sz w:val="20"/>
                <w:szCs w:val="20"/>
                <w:u w:val="none"/>
              </w:rPr>
            </w:pPr>
          </w:p>
        </w:tc>
        <w:tc>
          <w:tcPr>
            <w:tcW w:w="328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6CE187">
            <w:pPr>
              <w:keepNext w:val="0"/>
              <w:keepLines w:val="0"/>
              <w:widowControl/>
              <w:suppressLineNumbers w:val="0"/>
              <w:jc w:val="left"/>
              <w:textAlignment w:val="center"/>
              <w:rPr>
                <w:rFonts w:hint="default" w:ascii="Calibri" w:hAnsi="Calibri" w:cs="Calibri"/>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完成285条市政道路，55座桥梁，21部人行天桥电梯运营费、55座桥梁定期检测费、以及支付以前年未付道路桥梁管养服务费，确保道路桥梁设施正常运转，及时消除道路桥梁交通安全隐患，保障人民群众出行安全。通过对辖区对道路桥梁病害的及时处治，延长了道路桥梁的使用年限。</w:t>
            </w:r>
          </w:p>
        </w:tc>
        <w:tc>
          <w:tcPr>
            <w:tcW w:w="13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69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该项目为单位每年日常项目，日常维护，工作都在正常开展，由于财政资金紧张，不能及时支付维护费。</w:t>
            </w:r>
          </w:p>
        </w:tc>
      </w:tr>
      <w:tr w14:paraId="28D12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16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Style w:val="8"/>
                <w:rFonts w:eastAsia="宋体"/>
                <w:lang w:val="en-US" w:eastAsia="zh-CN" w:bidi="ar"/>
              </w:rPr>
              <w:br w:type="textWrapping"/>
            </w:r>
            <w:r>
              <w:rPr>
                <w:rStyle w:val="9"/>
                <w:lang w:val="en-US" w:eastAsia="zh-CN" w:bidi="ar"/>
              </w:rPr>
              <w:t>效</w:t>
            </w:r>
            <w:r>
              <w:rPr>
                <w:rStyle w:val="8"/>
                <w:rFonts w:eastAsia="宋体"/>
                <w:lang w:val="en-US" w:eastAsia="zh-CN" w:bidi="ar"/>
              </w:rPr>
              <w:br w:type="textWrapping"/>
            </w:r>
            <w:r>
              <w:rPr>
                <w:rStyle w:val="9"/>
                <w:lang w:val="en-US" w:eastAsia="zh-CN" w:bidi="ar"/>
              </w:rPr>
              <w:t>指</w:t>
            </w:r>
            <w:r>
              <w:rPr>
                <w:rStyle w:val="8"/>
                <w:rFonts w:eastAsia="宋体"/>
                <w:lang w:val="en-US" w:eastAsia="zh-CN" w:bidi="ar"/>
              </w:rPr>
              <w:br w:type="textWrapping"/>
            </w:r>
            <w:r>
              <w:rPr>
                <w:rStyle w:val="9"/>
                <w:lang w:val="en-US" w:eastAsia="zh-CN" w:bidi="ar"/>
              </w:rPr>
              <w:t>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DC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29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98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8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DC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r>
              <w:rPr>
                <w:rStyle w:val="8"/>
                <w:rFonts w:eastAsia="宋体"/>
                <w:lang w:val="en-US" w:eastAsia="zh-CN" w:bidi="ar"/>
              </w:rPr>
              <w:br w:type="textWrapping"/>
            </w:r>
            <w:r>
              <w:rPr>
                <w:rStyle w:val="9"/>
                <w:lang w:val="en-US" w:eastAsia="zh-CN" w:bidi="ar"/>
              </w:rPr>
              <w:t>指标值</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85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w:t>
            </w:r>
            <w:r>
              <w:rPr>
                <w:rStyle w:val="8"/>
                <w:rFonts w:eastAsia="宋体"/>
                <w:lang w:val="en-US" w:eastAsia="zh-CN" w:bidi="ar"/>
              </w:rPr>
              <w:br w:type="textWrapping"/>
            </w:r>
            <w:r>
              <w:rPr>
                <w:rStyle w:val="9"/>
                <w:lang w:val="en-US" w:eastAsia="zh-CN" w:bidi="ar"/>
              </w:rPr>
              <w:t>完成值</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BA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w:t>
            </w:r>
            <w:r>
              <w:rPr>
                <w:rStyle w:val="8"/>
                <w:rFonts w:eastAsia="宋体"/>
                <w:lang w:val="en-US" w:eastAsia="zh-CN" w:bidi="ar"/>
              </w:rPr>
              <w:br w:type="textWrapping"/>
            </w:r>
            <w:r>
              <w:rPr>
                <w:rStyle w:val="9"/>
                <w:lang w:val="en-US" w:eastAsia="zh-CN" w:bidi="ar"/>
              </w:rPr>
              <w:t>及改进措施</w:t>
            </w:r>
          </w:p>
        </w:tc>
      </w:tr>
      <w:tr w14:paraId="4A2B4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35679">
            <w:pPr>
              <w:jc w:val="center"/>
              <w:rPr>
                <w:rFonts w:hint="eastAsia" w:ascii="宋体" w:hAnsi="宋体" w:eastAsia="宋体" w:cs="宋体"/>
                <w:i w:val="0"/>
                <w:iCs w:val="0"/>
                <w:color w:val="000000"/>
                <w:sz w:val="20"/>
                <w:szCs w:val="20"/>
                <w:u w:val="none"/>
              </w:rPr>
            </w:pP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48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r>
              <w:rPr>
                <w:rStyle w:val="8"/>
                <w:rFonts w:eastAsia="宋体"/>
                <w:lang w:val="en-US" w:eastAsia="zh-CN" w:bidi="ar"/>
              </w:rPr>
              <w:t>50</w:t>
            </w:r>
            <w:r>
              <w:rPr>
                <w:rStyle w:val="10"/>
                <w:lang w:val="en-US" w:eastAsia="zh-CN" w:bidi="ar"/>
              </w:rPr>
              <w:t>％</w:t>
            </w:r>
            <w:r>
              <w:rPr>
                <w:rStyle w:val="9"/>
                <w:lang w:val="en-US" w:eastAsia="zh-CN" w:bidi="ar"/>
              </w:rPr>
              <w:t>）</w:t>
            </w:r>
          </w:p>
        </w:tc>
        <w:tc>
          <w:tcPr>
            <w:tcW w:w="1087" w:type="pct"/>
            <w:vMerge w:val="restart"/>
            <w:tcBorders>
              <w:top w:val="single" w:color="000000" w:sz="4" w:space="0"/>
              <w:left w:val="single" w:color="000000" w:sz="4" w:space="0"/>
              <w:right w:val="single" w:color="000000" w:sz="4" w:space="0"/>
            </w:tcBorders>
            <w:shd w:val="clear" w:color="auto" w:fill="auto"/>
            <w:vAlign w:val="center"/>
          </w:tcPr>
          <w:p w14:paraId="42582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D7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道路桥梁设施养护维修经费项目</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F5E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285条、55座</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D980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285条、55座</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C7F77">
            <w:pPr>
              <w:jc w:val="center"/>
              <w:rPr>
                <w:rFonts w:hint="eastAsia" w:ascii="Calibri" w:hAnsi="Calibri" w:eastAsia="宋体" w:cs="Calibri"/>
                <w:i w:val="0"/>
                <w:iCs w:val="0"/>
                <w:color w:val="000000"/>
                <w:sz w:val="20"/>
                <w:szCs w:val="20"/>
                <w:u w:val="none"/>
                <w:lang w:val="en-US" w:eastAsia="zh-CN"/>
              </w:rPr>
            </w:pPr>
            <w:r>
              <w:rPr>
                <w:rFonts w:hint="eastAsia" w:cs="Calibri"/>
                <w:i w:val="0"/>
                <w:iCs w:val="0"/>
                <w:color w:val="000000"/>
                <w:sz w:val="20"/>
                <w:szCs w:val="20"/>
                <w:u w:val="none"/>
                <w:lang w:val="en-US" w:eastAsia="zh-CN"/>
              </w:rPr>
              <w:t>无</w:t>
            </w:r>
          </w:p>
        </w:tc>
      </w:tr>
      <w:tr w14:paraId="1974E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7FE73">
            <w:pPr>
              <w:jc w:val="center"/>
              <w:rPr>
                <w:rFonts w:hint="eastAsia" w:ascii="宋体" w:hAnsi="宋体" w:eastAsia="宋体" w:cs="宋体"/>
                <w:i w:val="0"/>
                <w:iCs w:val="0"/>
                <w:color w:val="000000"/>
                <w:sz w:val="20"/>
                <w:szCs w:val="20"/>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BB4BE">
            <w:pPr>
              <w:jc w:val="center"/>
              <w:rPr>
                <w:rFonts w:hint="eastAsia" w:ascii="宋体" w:hAnsi="宋体" w:eastAsia="宋体" w:cs="宋体"/>
                <w:i w:val="0"/>
                <w:iCs w:val="0"/>
                <w:color w:val="000000"/>
                <w:sz w:val="20"/>
                <w:szCs w:val="20"/>
                <w:u w:val="none"/>
              </w:rPr>
            </w:pPr>
          </w:p>
        </w:tc>
        <w:tc>
          <w:tcPr>
            <w:tcW w:w="1087" w:type="pct"/>
            <w:vMerge w:val="continue"/>
            <w:tcBorders>
              <w:left w:val="single" w:color="000000" w:sz="4" w:space="0"/>
              <w:right w:val="single" w:color="000000" w:sz="4" w:space="0"/>
            </w:tcBorders>
            <w:shd w:val="clear" w:color="auto" w:fill="auto"/>
            <w:vAlign w:val="center"/>
          </w:tcPr>
          <w:p w14:paraId="4EFF4A07">
            <w:pPr>
              <w:jc w:val="center"/>
              <w:rPr>
                <w:rFonts w:hint="eastAsia" w:ascii="宋体" w:hAnsi="宋体" w:eastAsia="宋体" w:cs="宋体"/>
                <w:i w:val="0"/>
                <w:iCs w:val="0"/>
                <w:color w:val="000000"/>
                <w:sz w:val="20"/>
                <w:szCs w:val="20"/>
                <w:u w:val="none"/>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E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人行天桥电梯运营维护费</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BDA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21部</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406E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21部</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D511B">
            <w:pPr>
              <w:jc w:val="center"/>
              <w:rPr>
                <w:rFonts w:hint="default" w:ascii="Calibri" w:hAnsi="Calibri" w:cs="Calibri"/>
                <w:i w:val="0"/>
                <w:iCs w:val="0"/>
                <w:color w:val="000000"/>
                <w:sz w:val="20"/>
                <w:szCs w:val="20"/>
                <w:u w:val="none"/>
              </w:rPr>
            </w:pPr>
          </w:p>
        </w:tc>
      </w:tr>
      <w:tr w14:paraId="2F627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20084">
            <w:pPr>
              <w:jc w:val="center"/>
              <w:rPr>
                <w:rFonts w:hint="eastAsia" w:ascii="宋体" w:hAnsi="宋体" w:eastAsia="宋体" w:cs="宋体"/>
                <w:i w:val="0"/>
                <w:iCs w:val="0"/>
                <w:color w:val="000000"/>
                <w:sz w:val="20"/>
                <w:szCs w:val="20"/>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A62A5">
            <w:pPr>
              <w:jc w:val="center"/>
              <w:rPr>
                <w:rFonts w:hint="eastAsia" w:ascii="宋体" w:hAnsi="宋体" w:eastAsia="宋体" w:cs="宋体"/>
                <w:i w:val="0"/>
                <w:iCs w:val="0"/>
                <w:color w:val="000000"/>
                <w:sz w:val="20"/>
                <w:szCs w:val="20"/>
                <w:u w:val="none"/>
              </w:rPr>
            </w:pPr>
          </w:p>
        </w:tc>
        <w:tc>
          <w:tcPr>
            <w:tcW w:w="1087" w:type="pct"/>
            <w:vMerge w:val="continue"/>
            <w:tcBorders>
              <w:left w:val="single" w:color="000000" w:sz="4" w:space="0"/>
              <w:right w:val="single" w:color="000000" w:sz="4" w:space="0"/>
            </w:tcBorders>
            <w:shd w:val="clear" w:color="auto" w:fill="auto"/>
            <w:vAlign w:val="center"/>
          </w:tcPr>
          <w:p w14:paraId="69C00772">
            <w:pPr>
              <w:jc w:val="center"/>
              <w:rPr>
                <w:rFonts w:hint="eastAsia" w:ascii="宋体" w:hAnsi="宋体" w:eastAsia="宋体" w:cs="宋体"/>
                <w:i w:val="0"/>
                <w:iCs w:val="0"/>
                <w:color w:val="000000"/>
                <w:sz w:val="20"/>
                <w:szCs w:val="20"/>
                <w:u w:val="none"/>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4EE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桥梁定期检测经费</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7E3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55座</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0DF85">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55座</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A237">
            <w:pPr>
              <w:jc w:val="center"/>
              <w:rPr>
                <w:rFonts w:hint="default" w:ascii="Calibri" w:hAnsi="Calibri" w:cs="Calibri"/>
                <w:i w:val="0"/>
                <w:iCs w:val="0"/>
                <w:color w:val="000000"/>
                <w:sz w:val="20"/>
                <w:szCs w:val="20"/>
                <w:u w:val="none"/>
              </w:rPr>
            </w:pPr>
          </w:p>
        </w:tc>
      </w:tr>
      <w:tr w14:paraId="1390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EA083">
            <w:pPr>
              <w:jc w:val="center"/>
              <w:rPr>
                <w:rFonts w:hint="eastAsia" w:ascii="宋体" w:hAnsi="宋体" w:eastAsia="宋体" w:cs="宋体"/>
                <w:i w:val="0"/>
                <w:iCs w:val="0"/>
                <w:color w:val="000000"/>
                <w:sz w:val="20"/>
                <w:szCs w:val="20"/>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3BF36">
            <w:pPr>
              <w:jc w:val="center"/>
              <w:rPr>
                <w:rFonts w:hint="eastAsia" w:ascii="宋体" w:hAnsi="宋体" w:eastAsia="宋体" w:cs="宋体"/>
                <w:i w:val="0"/>
                <w:iCs w:val="0"/>
                <w:color w:val="000000"/>
                <w:sz w:val="20"/>
                <w:szCs w:val="20"/>
                <w:u w:val="none"/>
              </w:rPr>
            </w:pPr>
          </w:p>
        </w:tc>
        <w:tc>
          <w:tcPr>
            <w:tcW w:w="1087" w:type="pct"/>
            <w:vMerge w:val="continue"/>
            <w:tcBorders>
              <w:left w:val="single" w:color="000000" w:sz="4" w:space="0"/>
              <w:bottom w:val="single" w:color="000000" w:sz="4" w:space="0"/>
              <w:right w:val="single" w:color="000000" w:sz="4" w:space="0"/>
            </w:tcBorders>
            <w:shd w:val="clear" w:color="auto" w:fill="auto"/>
            <w:vAlign w:val="center"/>
          </w:tcPr>
          <w:p w14:paraId="42BAB9D4">
            <w:pPr>
              <w:jc w:val="center"/>
              <w:rPr>
                <w:rFonts w:hint="eastAsia" w:ascii="宋体" w:hAnsi="宋体" w:eastAsia="宋体" w:cs="宋体"/>
                <w:i w:val="0"/>
                <w:iCs w:val="0"/>
                <w:color w:val="000000"/>
                <w:sz w:val="20"/>
                <w:szCs w:val="20"/>
                <w:u w:val="none"/>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CE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其他设施及维护维护项目管理服务经费</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5F8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项</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EE30E">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项</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5D5E9">
            <w:pPr>
              <w:jc w:val="center"/>
              <w:rPr>
                <w:rFonts w:hint="default" w:ascii="Calibri" w:hAnsi="Calibri" w:cs="Calibri"/>
                <w:i w:val="0"/>
                <w:iCs w:val="0"/>
                <w:color w:val="000000"/>
                <w:sz w:val="20"/>
                <w:szCs w:val="20"/>
                <w:u w:val="none"/>
              </w:rPr>
            </w:pPr>
          </w:p>
        </w:tc>
      </w:tr>
      <w:tr w14:paraId="5234E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7E0AD">
            <w:pPr>
              <w:jc w:val="center"/>
              <w:rPr>
                <w:rFonts w:hint="eastAsia" w:ascii="宋体" w:hAnsi="宋体" w:eastAsia="宋体" w:cs="宋体"/>
                <w:i w:val="0"/>
                <w:iCs w:val="0"/>
                <w:color w:val="000000"/>
                <w:sz w:val="20"/>
                <w:szCs w:val="20"/>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CB282">
            <w:pPr>
              <w:jc w:val="center"/>
              <w:rPr>
                <w:rFonts w:hint="eastAsia" w:ascii="宋体" w:hAnsi="宋体" w:eastAsia="宋体" w:cs="宋体"/>
                <w:i w:val="0"/>
                <w:iCs w:val="0"/>
                <w:color w:val="000000"/>
                <w:sz w:val="20"/>
                <w:szCs w:val="20"/>
                <w:u w:val="none"/>
              </w:rPr>
            </w:pPr>
          </w:p>
        </w:tc>
        <w:tc>
          <w:tcPr>
            <w:tcW w:w="1087" w:type="pct"/>
            <w:vMerge w:val="restart"/>
            <w:tcBorders>
              <w:top w:val="single" w:color="000000" w:sz="4" w:space="0"/>
              <w:left w:val="single" w:color="000000" w:sz="4" w:space="0"/>
              <w:right w:val="single" w:color="000000" w:sz="4" w:space="0"/>
            </w:tcBorders>
            <w:shd w:val="clear" w:color="auto" w:fill="auto"/>
            <w:vAlign w:val="center"/>
          </w:tcPr>
          <w:p w14:paraId="3743F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90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道路桥梁设施养护维修质量达标率</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8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100%</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4B32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F36C3">
            <w:pPr>
              <w:jc w:val="center"/>
              <w:rPr>
                <w:rFonts w:hint="default" w:ascii="Calibri" w:hAnsi="Calibri" w:cs="Calibri"/>
                <w:i w:val="0"/>
                <w:iCs w:val="0"/>
                <w:color w:val="000000"/>
                <w:sz w:val="20"/>
                <w:szCs w:val="20"/>
                <w:u w:val="none"/>
              </w:rPr>
            </w:pPr>
          </w:p>
        </w:tc>
      </w:tr>
      <w:tr w14:paraId="0C03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55334">
            <w:pPr>
              <w:jc w:val="center"/>
              <w:rPr>
                <w:rFonts w:hint="eastAsia" w:ascii="宋体" w:hAnsi="宋体" w:eastAsia="宋体" w:cs="宋体"/>
                <w:i w:val="0"/>
                <w:iCs w:val="0"/>
                <w:color w:val="000000"/>
                <w:sz w:val="20"/>
                <w:szCs w:val="20"/>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51B10">
            <w:pPr>
              <w:jc w:val="center"/>
              <w:rPr>
                <w:rFonts w:hint="eastAsia" w:ascii="宋体" w:hAnsi="宋体" w:eastAsia="宋体" w:cs="宋体"/>
                <w:i w:val="0"/>
                <w:iCs w:val="0"/>
                <w:color w:val="000000"/>
                <w:sz w:val="20"/>
                <w:szCs w:val="20"/>
                <w:u w:val="none"/>
              </w:rPr>
            </w:pPr>
          </w:p>
        </w:tc>
        <w:tc>
          <w:tcPr>
            <w:tcW w:w="1087" w:type="pct"/>
            <w:vMerge w:val="continue"/>
            <w:tcBorders>
              <w:left w:val="single" w:color="000000" w:sz="4" w:space="0"/>
              <w:right w:val="single" w:color="000000" w:sz="4" w:space="0"/>
            </w:tcBorders>
            <w:shd w:val="clear" w:color="auto" w:fill="auto"/>
            <w:vAlign w:val="center"/>
          </w:tcPr>
          <w:p w14:paraId="1B08FB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724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人行天桥运行维护完成率</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15A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100%</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2CB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45B7F">
            <w:pPr>
              <w:jc w:val="center"/>
              <w:rPr>
                <w:rFonts w:hint="default" w:ascii="Calibri" w:hAnsi="Calibri" w:cs="Calibri"/>
                <w:i w:val="0"/>
                <w:iCs w:val="0"/>
                <w:color w:val="000000"/>
                <w:sz w:val="20"/>
                <w:szCs w:val="20"/>
                <w:u w:val="none"/>
              </w:rPr>
            </w:pPr>
          </w:p>
        </w:tc>
      </w:tr>
      <w:tr w14:paraId="0716B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FD6E0">
            <w:pPr>
              <w:jc w:val="center"/>
              <w:rPr>
                <w:rFonts w:hint="eastAsia" w:ascii="宋体" w:hAnsi="宋体" w:eastAsia="宋体" w:cs="宋体"/>
                <w:i w:val="0"/>
                <w:iCs w:val="0"/>
                <w:color w:val="000000"/>
                <w:sz w:val="20"/>
                <w:szCs w:val="20"/>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FFF7F">
            <w:pPr>
              <w:jc w:val="center"/>
              <w:rPr>
                <w:rFonts w:hint="eastAsia" w:ascii="宋体" w:hAnsi="宋体" w:eastAsia="宋体" w:cs="宋体"/>
                <w:i w:val="0"/>
                <w:iCs w:val="0"/>
                <w:color w:val="000000"/>
                <w:sz w:val="20"/>
                <w:szCs w:val="20"/>
                <w:u w:val="none"/>
              </w:rPr>
            </w:pPr>
          </w:p>
        </w:tc>
        <w:tc>
          <w:tcPr>
            <w:tcW w:w="1087" w:type="pct"/>
            <w:vMerge w:val="continue"/>
            <w:tcBorders>
              <w:left w:val="single" w:color="000000" w:sz="4" w:space="0"/>
              <w:right w:val="single" w:color="000000" w:sz="4" w:space="0"/>
            </w:tcBorders>
            <w:shd w:val="clear" w:color="auto" w:fill="auto"/>
            <w:vAlign w:val="center"/>
          </w:tcPr>
          <w:p w14:paraId="75E1AA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4A2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桥梁检测指标达标完成率</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00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100%</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429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110FB">
            <w:pPr>
              <w:jc w:val="center"/>
              <w:rPr>
                <w:rFonts w:hint="default" w:ascii="Calibri" w:hAnsi="Calibri" w:cs="Calibri"/>
                <w:i w:val="0"/>
                <w:iCs w:val="0"/>
                <w:color w:val="000000"/>
                <w:sz w:val="20"/>
                <w:szCs w:val="20"/>
                <w:u w:val="none"/>
              </w:rPr>
            </w:pPr>
          </w:p>
        </w:tc>
      </w:tr>
      <w:tr w14:paraId="14A82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C51CD">
            <w:pPr>
              <w:jc w:val="center"/>
              <w:rPr>
                <w:rFonts w:hint="eastAsia" w:ascii="宋体" w:hAnsi="宋体" w:eastAsia="宋体" w:cs="宋体"/>
                <w:i w:val="0"/>
                <w:iCs w:val="0"/>
                <w:color w:val="000000"/>
                <w:sz w:val="20"/>
                <w:szCs w:val="20"/>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6F821">
            <w:pPr>
              <w:jc w:val="center"/>
              <w:rPr>
                <w:rFonts w:hint="eastAsia" w:ascii="宋体" w:hAnsi="宋体" w:eastAsia="宋体" w:cs="宋体"/>
                <w:i w:val="0"/>
                <w:iCs w:val="0"/>
                <w:color w:val="000000"/>
                <w:sz w:val="20"/>
                <w:szCs w:val="20"/>
                <w:u w:val="none"/>
              </w:rPr>
            </w:pPr>
          </w:p>
        </w:tc>
        <w:tc>
          <w:tcPr>
            <w:tcW w:w="1087" w:type="pct"/>
            <w:vMerge w:val="continue"/>
            <w:tcBorders>
              <w:left w:val="single" w:color="000000" w:sz="4" w:space="0"/>
              <w:bottom w:val="single" w:color="000000" w:sz="4" w:space="0"/>
              <w:right w:val="single" w:color="000000" w:sz="4" w:space="0"/>
            </w:tcBorders>
            <w:shd w:val="clear" w:color="auto" w:fill="auto"/>
            <w:vAlign w:val="center"/>
          </w:tcPr>
          <w:p w14:paraId="188DA7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0D5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其他设施维护指标达标率</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57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100%</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0A0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9FB22">
            <w:pPr>
              <w:jc w:val="center"/>
              <w:rPr>
                <w:rFonts w:hint="default" w:ascii="Calibri" w:hAnsi="Calibri" w:cs="Calibri"/>
                <w:i w:val="0"/>
                <w:iCs w:val="0"/>
                <w:color w:val="000000"/>
                <w:sz w:val="20"/>
                <w:szCs w:val="20"/>
                <w:u w:val="none"/>
              </w:rPr>
            </w:pPr>
          </w:p>
        </w:tc>
      </w:tr>
      <w:tr w14:paraId="1AC9C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6A2F8">
            <w:pPr>
              <w:jc w:val="center"/>
              <w:rPr>
                <w:rFonts w:hint="eastAsia" w:ascii="宋体" w:hAnsi="宋体" w:eastAsia="宋体" w:cs="宋体"/>
                <w:i w:val="0"/>
                <w:iCs w:val="0"/>
                <w:color w:val="000000"/>
                <w:sz w:val="20"/>
                <w:szCs w:val="20"/>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AAC67">
            <w:pPr>
              <w:jc w:val="center"/>
              <w:rPr>
                <w:rFonts w:hint="eastAsia" w:ascii="宋体" w:hAnsi="宋体" w:eastAsia="宋体" w:cs="宋体"/>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77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DB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项目完成时间</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0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2023年-2024年</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AD2A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已完成</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7EF16">
            <w:pPr>
              <w:jc w:val="center"/>
              <w:rPr>
                <w:rFonts w:hint="default" w:ascii="Calibri" w:hAnsi="Calibri" w:cs="Calibri"/>
                <w:i w:val="0"/>
                <w:iCs w:val="0"/>
                <w:color w:val="000000"/>
                <w:sz w:val="20"/>
                <w:szCs w:val="20"/>
                <w:u w:val="none"/>
              </w:rPr>
            </w:pPr>
          </w:p>
        </w:tc>
      </w:tr>
      <w:tr w14:paraId="4E20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A43CB">
            <w:pPr>
              <w:jc w:val="center"/>
              <w:rPr>
                <w:rFonts w:hint="eastAsia" w:ascii="宋体" w:hAnsi="宋体" w:eastAsia="宋体" w:cs="宋体"/>
                <w:i w:val="0"/>
                <w:iCs w:val="0"/>
                <w:color w:val="000000"/>
                <w:sz w:val="20"/>
                <w:szCs w:val="20"/>
                <w:u w:val="none"/>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2608A">
            <w:pPr>
              <w:jc w:val="center"/>
              <w:rPr>
                <w:rFonts w:hint="eastAsia" w:ascii="宋体" w:hAnsi="宋体" w:eastAsia="宋体" w:cs="宋体"/>
                <w:i w:val="0"/>
                <w:iCs w:val="0"/>
                <w:color w:val="000000"/>
                <w:sz w:val="20"/>
                <w:szCs w:val="20"/>
                <w:u w:val="none"/>
              </w:rPr>
            </w:pPr>
          </w:p>
        </w:tc>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0C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85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2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小于等于预算批复数</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E57D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小于预算批复数</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1270">
            <w:pPr>
              <w:jc w:val="left"/>
              <w:rPr>
                <w:rFonts w:hint="eastAsia" w:ascii="宋体" w:hAnsi="宋体" w:eastAsia="宋体" w:cs="宋体"/>
                <w:i w:val="0"/>
                <w:iCs w:val="0"/>
                <w:color w:val="000000"/>
                <w:sz w:val="20"/>
                <w:szCs w:val="20"/>
                <w:u w:val="none"/>
              </w:rPr>
            </w:pPr>
          </w:p>
        </w:tc>
      </w:tr>
      <w:tr w14:paraId="44586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6BE8C">
            <w:pPr>
              <w:jc w:val="center"/>
              <w:rPr>
                <w:rFonts w:hint="eastAsia" w:ascii="宋体" w:hAnsi="宋体" w:eastAsia="宋体" w:cs="宋体"/>
                <w:i w:val="0"/>
                <w:iCs w:val="0"/>
                <w:color w:val="000000"/>
                <w:sz w:val="20"/>
                <w:szCs w:val="20"/>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1D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r>
              <w:rPr>
                <w:rStyle w:val="8"/>
                <w:rFonts w:eastAsia="宋体"/>
                <w:lang w:val="en-US" w:eastAsia="zh-CN" w:bidi="ar"/>
              </w:rPr>
              <w:t>30</w:t>
            </w:r>
            <w:r>
              <w:rPr>
                <w:rStyle w:val="9"/>
                <w:lang w:val="en-US" w:eastAsia="zh-CN" w:bidi="ar"/>
              </w:rPr>
              <w:t>％）</w:t>
            </w:r>
          </w:p>
        </w:tc>
        <w:tc>
          <w:tcPr>
            <w:tcW w:w="1087" w:type="pct"/>
            <w:vMerge w:val="restart"/>
            <w:tcBorders>
              <w:top w:val="single" w:color="000000" w:sz="4" w:space="0"/>
              <w:left w:val="single" w:color="000000" w:sz="4" w:space="0"/>
              <w:right w:val="single" w:color="000000" w:sz="4" w:space="0"/>
            </w:tcBorders>
            <w:shd w:val="clear" w:color="auto" w:fill="auto"/>
            <w:vAlign w:val="center"/>
          </w:tcPr>
          <w:p w14:paraId="09A57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Style w:val="8"/>
                <w:rFonts w:eastAsia="宋体"/>
                <w:lang w:val="en-US" w:eastAsia="zh-CN" w:bidi="ar"/>
              </w:rPr>
              <w:br w:type="textWrapping"/>
            </w:r>
            <w:r>
              <w:rPr>
                <w:rStyle w:val="9"/>
                <w:lang w:val="en-US" w:eastAsia="zh-CN" w:bidi="ar"/>
              </w:rPr>
              <w:t>指标</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2D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道路桥梁维护对社会环境作用</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A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作用明显</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04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作用明显</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E0270">
            <w:pPr>
              <w:jc w:val="center"/>
              <w:rPr>
                <w:rFonts w:hint="default" w:ascii="Calibri" w:hAnsi="Calibri" w:cs="Calibri"/>
                <w:i w:val="0"/>
                <w:iCs w:val="0"/>
                <w:color w:val="000000"/>
                <w:sz w:val="20"/>
                <w:szCs w:val="20"/>
                <w:u w:val="none"/>
              </w:rPr>
            </w:pPr>
          </w:p>
        </w:tc>
      </w:tr>
      <w:tr w14:paraId="4FD46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CAB65">
            <w:pPr>
              <w:jc w:val="center"/>
              <w:rPr>
                <w:rFonts w:hint="eastAsia" w:ascii="宋体" w:hAnsi="宋体" w:eastAsia="宋体" w:cs="宋体"/>
                <w:i w:val="0"/>
                <w:iCs w:val="0"/>
                <w:color w:val="000000"/>
                <w:sz w:val="20"/>
                <w:szCs w:val="20"/>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B24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7" w:type="pct"/>
            <w:vMerge w:val="continue"/>
            <w:tcBorders>
              <w:left w:val="single" w:color="000000" w:sz="4" w:space="0"/>
              <w:bottom w:val="nil"/>
              <w:right w:val="single" w:color="000000" w:sz="4" w:space="0"/>
            </w:tcBorders>
            <w:shd w:val="clear" w:color="auto" w:fill="auto"/>
            <w:vAlign w:val="center"/>
          </w:tcPr>
          <w:p w14:paraId="37FFA3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274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保障道路桥梁持续使用</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6C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持续保障</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53F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持续保障</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4A939">
            <w:pPr>
              <w:jc w:val="center"/>
              <w:rPr>
                <w:rFonts w:hint="default" w:ascii="Calibri" w:hAnsi="Calibri" w:cs="Calibri"/>
                <w:i w:val="0"/>
                <w:iCs w:val="0"/>
                <w:color w:val="000000"/>
                <w:sz w:val="20"/>
                <w:szCs w:val="20"/>
                <w:u w:val="none"/>
              </w:rPr>
            </w:pPr>
          </w:p>
        </w:tc>
      </w:tr>
      <w:tr w14:paraId="1B31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B165F">
            <w:pPr>
              <w:jc w:val="center"/>
              <w:rPr>
                <w:rFonts w:hint="eastAsia" w:ascii="宋体" w:hAnsi="宋体" w:eastAsia="宋体" w:cs="宋体"/>
                <w:i w:val="0"/>
                <w:iCs w:val="0"/>
                <w:color w:val="000000"/>
                <w:sz w:val="20"/>
                <w:szCs w:val="20"/>
                <w:u w:val="none"/>
              </w:rPr>
            </w:pP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73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w:t>
            </w:r>
            <w:r>
              <w:rPr>
                <w:rStyle w:val="8"/>
                <w:rFonts w:eastAsia="宋体"/>
                <w:lang w:val="en-US" w:eastAsia="zh-CN" w:bidi="ar"/>
              </w:rPr>
              <w:br w:type="textWrapping"/>
            </w:r>
            <w:r>
              <w:rPr>
                <w:rStyle w:val="9"/>
                <w:lang w:val="en-US" w:eastAsia="zh-CN" w:bidi="ar"/>
              </w:rPr>
              <w:t>指标（</w:t>
            </w:r>
            <w:r>
              <w:rPr>
                <w:rStyle w:val="8"/>
                <w:rFonts w:eastAsia="宋体"/>
                <w:lang w:val="en-US" w:eastAsia="zh-CN" w:bidi="ar"/>
              </w:rPr>
              <w:t>1</w:t>
            </w:r>
            <w:r>
              <w:rPr>
                <w:rStyle w:val="9"/>
                <w:lang w:val="en-US" w:eastAsia="zh-CN" w:bidi="ar"/>
              </w:rPr>
              <w:t>0％）</w:t>
            </w:r>
          </w:p>
        </w:tc>
        <w:tc>
          <w:tcPr>
            <w:tcW w:w="10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E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Style w:val="8"/>
                <w:rFonts w:eastAsia="宋体"/>
                <w:lang w:val="en-US" w:eastAsia="zh-CN" w:bidi="ar"/>
              </w:rPr>
              <w:br w:type="textWrapping"/>
            </w:r>
            <w:r>
              <w:rPr>
                <w:rStyle w:val="9"/>
                <w:lang w:val="en-US" w:eastAsia="zh-CN" w:bidi="ar"/>
              </w:rPr>
              <w:t>满意度指</w:t>
            </w:r>
            <w:r>
              <w:rPr>
                <w:rStyle w:val="8"/>
                <w:rFonts w:eastAsia="宋体"/>
                <w:lang w:val="en-US" w:eastAsia="zh-CN" w:bidi="ar"/>
              </w:rPr>
              <w:br w:type="textWrapping"/>
            </w:r>
            <w:r>
              <w:rPr>
                <w:rStyle w:val="9"/>
                <w:lang w:val="en-US" w:eastAsia="zh-CN" w:bidi="ar"/>
              </w:rPr>
              <w:t>标</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2BB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人民群众满意度</w:t>
            </w:r>
          </w:p>
        </w:tc>
        <w:tc>
          <w:tcPr>
            <w:tcW w:w="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329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95</w:t>
            </w:r>
            <w:r>
              <w:rPr>
                <w:rFonts w:hint="eastAsia" w:ascii="宋体" w:hAnsi="宋体" w:cs="宋体"/>
                <w:i w:val="0"/>
                <w:iCs w:val="0"/>
                <w:color w:val="000000"/>
                <w:kern w:val="0"/>
                <w:sz w:val="20"/>
                <w:szCs w:val="20"/>
                <w:u w:val="none"/>
                <w:lang w:val="en-US" w:eastAsia="zh-CN" w:bidi="ar"/>
              </w:rPr>
              <w:t>%</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B62E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95</w:t>
            </w:r>
            <w:r>
              <w:rPr>
                <w:rFonts w:hint="eastAsia" w:ascii="宋体" w:hAnsi="宋体" w:cs="宋体"/>
                <w:i w:val="0"/>
                <w:iCs w:val="0"/>
                <w:color w:val="000000"/>
                <w:kern w:val="0"/>
                <w:sz w:val="20"/>
                <w:szCs w:val="20"/>
                <w:u w:val="none"/>
                <w:lang w:val="en-US" w:eastAsia="zh-CN" w:bidi="ar"/>
              </w:rPr>
              <w:t>%</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B86E">
            <w:pPr>
              <w:jc w:val="center"/>
              <w:rPr>
                <w:rFonts w:hint="default" w:ascii="Calibri" w:hAnsi="Calibri" w:cs="Calibri"/>
                <w:i w:val="0"/>
                <w:iCs w:val="0"/>
                <w:color w:val="000000"/>
                <w:sz w:val="20"/>
                <w:szCs w:val="20"/>
                <w:u w:val="none"/>
              </w:rPr>
            </w:pPr>
          </w:p>
        </w:tc>
      </w:tr>
    </w:tbl>
    <w:p w14:paraId="702832D1">
      <w:pPr>
        <w:pStyle w:val="2"/>
        <w:rPr>
          <w:rFonts w:hint="eastAsia"/>
        </w:rPr>
      </w:pPr>
    </w:p>
    <w:p w14:paraId="4E7AA78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（三）绩效评价工作过程。</w:t>
      </w:r>
    </w:p>
    <w:p w14:paraId="1E8C797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资金管理：包括拨付资金是否及时、基础数据是否准确，县财政下达专项资金是否及时，县财政部门是否安排补助资金，以及资金管理是否合法合规等。</w:t>
      </w:r>
    </w:p>
    <w:p w14:paraId="1CAE5B8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项目管理：一是制定项目实施方案。五华区内的道路、桥梁等市政设施的维护管理提供必要的保障，消除城市道路、桥梁、隧道的安全隐患，保障人民群众的平安、快捷出行，为市民创造良好的出行环境。二是制定资金管理办法。根据实际情况制定项目资金管理办法，要求项目资金专款专用、专账核算。</w:t>
      </w:r>
    </w:p>
    <w:p w14:paraId="1B3A05D7">
      <w:pPr>
        <w:pStyle w:val="2"/>
        <w:rPr>
          <w:rFonts w:hint="eastAsia"/>
        </w:rPr>
      </w:pPr>
      <w:r>
        <w:rPr>
          <w:rFonts w:hint="eastAsia" w:ascii="Times New Roman" w:hAnsi="Times New Roman" w:eastAsia="仿宋_GB2312" w:cs="Times New Roman"/>
          <w:sz w:val="32"/>
          <w:szCs w:val="32"/>
          <w:lang w:val="en-US" w:eastAsia="zh-CN"/>
        </w:rPr>
        <w:t>项目效益：包括开工情况、资金到位情况、资金兑付情况、工程验收情况等。</w:t>
      </w:r>
    </w:p>
    <w:p w14:paraId="0AFBDCEC">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tbl>
      <w:tblPr>
        <w:tblStyle w:val="6"/>
        <w:tblpPr w:leftFromText="180" w:rightFromText="180" w:vertAnchor="text" w:horzAnchor="page" w:tblpX="1510" w:tblpY="810"/>
        <w:tblOverlap w:val="never"/>
        <w:tblW w:w="90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3"/>
        <w:gridCol w:w="748"/>
        <w:gridCol w:w="1597"/>
        <w:gridCol w:w="621"/>
        <w:gridCol w:w="2516"/>
        <w:gridCol w:w="1334"/>
        <w:gridCol w:w="790"/>
      </w:tblGrid>
      <w:tr w14:paraId="77922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713EC0D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tcBorders>
              <w:top w:val="single" w:color="000000" w:sz="4" w:space="0"/>
              <w:left w:val="single" w:color="000000" w:sz="4" w:space="0"/>
              <w:right w:val="single" w:color="000000" w:sz="4" w:space="0"/>
            </w:tcBorders>
            <w:noWrap w:val="0"/>
            <w:vAlign w:val="center"/>
          </w:tcPr>
          <w:p w14:paraId="302FAEEC">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8F8D44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205F8A7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D2BB023">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B4A856D">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82FB06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48FEB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31E0AB9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决策</w:t>
            </w:r>
          </w:p>
          <w:p w14:paraId="50D867B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restart"/>
            <w:tcBorders>
              <w:top w:val="single" w:color="000000" w:sz="4" w:space="0"/>
              <w:left w:val="single" w:color="000000" w:sz="4" w:space="0"/>
              <w:right w:val="single" w:color="000000" w:sz="4" w:space="0"/>
            </w:tcBorders>
            <w:noWrap w:val="0"/>
            <w:vAlign w:val="center"/>
          </w:tcPr>
          <w:p w14:paraId="3C0014C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15E7627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14A99F1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7C187DF">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立项依据充分性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C1B209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2C0DA92">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0741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FB697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1EF4AF8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3D922AB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59EC511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5B59315">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立项程序规范性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8414E5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02D110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18BF8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C764C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4B1AA5C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72E1152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绩效目标</w:t>
            </w:r>
          </w:p>
        </w:tc>
        <w:tc>
          <w:tcPr>
            <w:tcW w:w="621" w:type="dxa"/>
            <w:vMerge w:val="restart"/>
            <w:tcBorders>
              <w:left w:val="single" w:color="000000" w:sz="4" w:space="0"/>
              <w:right w:val="single" w:color="000000" w:sz="4" w:space="0"/>
            </w:tcBorders>
            <w:noWrap w:val="0"/>
            <w:vAlign w:val="center"/>
          </w:tcPr>
          <w:p w14:paraId="3C1D497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EE477A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绩效目标合理性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D33D51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07F2E1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064A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46545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0ACB78F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77BADF2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1FDBDA7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461D6FA">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0F557F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47D3F8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682CD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7CCC43">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right w:val="single" w:color="000000" w:sz="4" w:space="0"/>
            </w:tcBorders>
            <w:noWrap w:val="0"/>
            <w:vAlign w:val="center"/>
          </w:tcPr>
          <w:p w14:paraId="4BA57557">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335FD3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0E108E5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2F8444D">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661C48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83E2C2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1B15D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0157C03A">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bottom w:val="single" w:color="auto" w:sz="4" w:space="0"/>
              <w:right w:val="single" w:color="000000" w:sz="4" w:space="0"/>
            </w:tcBorders>
            <w:noWrap w:val="0"/>
            <w:vAlign w:val="center"/>
          </w:tcPr>
          <w:p w14:paraId="61353505">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2EBBA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317E4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CFB0E75">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89FFE3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D32872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6CC87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6E28FF2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vMerge w:val="continue"/>
            <w:tcBorders>
              <w:top w:val="single" w:color="auto" w:sz="4" w:space="0"/>
              <w:left w:val="single" w:color="000000" w:sz="4" w:space="0"/>
              <w:right w:val="single" w:color="000000" w:sz="4" w:space="0"/>
            </w:tcBorders>
            <w:noWrap w:val="0"/>
            <w:vAlign w:val="center"/>
          </w:tcPr>
          <w:p w14:paraId="25F09F4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414CFDC">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2CCE2A1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E44D82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94C0F8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4C60F2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7E8A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5BFAA">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right w:val="single" w:color="000000" w:sz="4" w:space="0"/>
            </w:tcBorders>
            <w:noWrap w:val="0"/>
            <w:vAlign w:val="center"/>
          </w:tcPr>
          <w:p w14:paraId="524921B1">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F502AD">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5B0789">
            <w:pPr>
              <w:spacing w:line="300" w:lineRule="exact"/>
              <w:ind w:left="0" w:leftChars="0" w:right="0" w:rightChars="0" w:firstLine="0" w:firstLineChars="0"/>
              <w:jc w:val="center"/>
              <w:rPr>
                <w:rFonts w:hint="eastAsia" w:ascii="宋体" w:hAnsi="宋体" w:eastAsia="宋体"/>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2EDED5E3">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1F9C2E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A1DCCC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59FF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5A26F1">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right w:val="single" w:color="000000" w:sz="4" w:space="0"/>
            </w:tcBorders>
            <w:noWrap w:val="0"/>
            <w:vAlign w:val="center"/>
          </w:tcPr>
          <w:p w14:paraId="3DD3083E">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9B5573A">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56EF98D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D0D4B4F">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0453AD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0A54D5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r>
      <w:tr w14:paraId="05931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93E98A">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right w:val="single" w:color="000000" w:sz="4" w:space="0"/>
            </w:tcBorders>
            <w:noWrap w:val="0"/>
            <w:vAlign w:val="center"/>
          </w:tcPr>
          <w:p w14:paraId="3A909AA1">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0C1B7696">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　</w:t>
            </w:r>
          </w:p>
        </w:tc>
        <w:tc>
          <w:tcPr>
            <w:tcW w:w="621" w:type="dxa"/>
            <w:vMerge w:val="restart"/>
            <w:tcBorders>
              <w:top w:val="single" w:color="000000" w:sz="4" w:space="0"/>
              <w:left w:val="single" w:color="000000" w:sz="4" w:space="0"/>
              <w:right w:val="single" w:color="000000" w:sz="4" w:space="0"/>
            </w:tcBorders>
            <w:noWrap w:val="0"/>
            <w:vAlign w:val="center"/>
          </w:tcPr>
          <w:p w14:paraId="79C67B1B">
            <w:pPr>
              <w:autoSpaceDN w:val="0"/>
              <w:spacing w:line="300" w:lineRule="exact"/>
              <w:ind w:left="0" w:leftChars="0" w:right="0" w:rightChars="0" w:firstLine="0" w:firstLineChars="0"/>
              <w:jc w:val="center"/>
              <w:textAlignment w:val="center"/>
              <w:rPr>
                <w:rFonts w:hint="eastAsia" w:ascii="宋体" w:hAnsi="宋体" w:eastAsia="宋体"/>
                <w:sz w:val="18"/>
                <w:szCs w:val="18"/>
                <w:lang w:val="en-US" w:eastAsia="zh-CN"/>
              </w:rPr>
            </w:pPr>
            <w:r>
              <w:rPr>
                <w:rFonts w:hint="eastAsia" w:ascii="宋体" w:hAnsi="宋体"/>
                <w:sz w:val="18"/>
                <w:szCs w:val="18"/>
                <w:lang w:val="en-US" w:eastAsia="zh-CN"/>
              </w:rPr>
              <w:t>6</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FC1033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4E7301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9979B5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40102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BA34B">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bottom w:val="single" w:color="000000" w:sz="4" w:space="0"/>
              <w:right w:val="single" w:color="000000" w:sz="4" w:space="0"/>
            </w:tcBorders>
            <w:noWrap w:val="0"/>
            <w:vAlign w:val="center"/>
          </w:tcPr>
          <w:p w14:paraId="6A29DAFA">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3D079C1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3484B25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01FC8E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C484FA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B05754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0D7A0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5B9F051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vMerge w:val="restart"/>
            <w:tcBorders>
              <w:top w:val="single" w:color="000000" w:sz="4" w:space="0"/>
              <w:left w:val="single" w:color="000000" w:sz="4" w:space="0"/>
              <w:bottom w:val="single" w:color="000000" w:sz="4" w:space="0"/>
              <w:right w:val="single" w:color="000000" w:sz="4" w:space="0"/>
            </w:tcBorders>
            <w:noWrap w:val="0"/>
            <w:vAlign w:val="center"/>
          </w:tcPr>
          <w:p w14:paraId="4163F49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16D5A0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19129BB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B934AB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市政道路桥梁维护项目专项经费</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F78989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53C3F8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5D4E3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F23FDD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040273B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56FFD0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2878FC59">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CD22A6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五华区市政人行天桥电梯管养维护项目管理服务经费</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41712C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5502ED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6CD4E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F1F365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3F7237B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34618E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11F9984F">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1FD80C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桥梁检测项目专项经费</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54273C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EDF3D1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761D5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2EB5459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49FC86B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B617E8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26E9E6B1">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4F98AF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其他设施及维护维护项目管理服务经费</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65DC2E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64B97C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38B21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F08F34F">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B3B3F2">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6ACEFC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3F9DD043">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FCBFBE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道路桥梁设施养护维修质量达标率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606DF3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6CADD8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158F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44D1234">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E48E6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490DAC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61E120D">
            <w:pPr>
              <w:spacing w:line="300" w:lineRule="exact"/>
              <w:ind w:left="0" w:leftChars="0" w:right="0" w:rightChars="0" w:firstLine="0" w:firstLineChars="0"/>
              <w:jc w:val="center"/>
              <w:rPr>
                <w:rFonts w:hint="default" w:ascii="宋体" w:hAnsi="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740A11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人行天桥运行维护完成率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83C9C0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203CAE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79EE0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B86FF59">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0B0C0">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2FFA27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553FD901">
            <w:pPr>
              <w:spacing w:line="300" w:lineRule="exact"/>
              <w:ind w:left="0" w:leftChars="0" w:right="0" w:rightChars="0" w:firstLine="0" w:firstLineChars="0"/>
              <w:jc w:val="center"/>
              <w:rPr>
                <w:rFonts w:hint="default" w:ascii="宋体" w:hAnsi="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F5D187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桥梁检测指标达标完成率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C179AC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9DC7D9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7F96E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4B0DEBD">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5EA94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180621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186C3729">
            <w:pPr>
              <w:spacing w:line="300" w:lineRule="exact"/>
              <w:ind w:left="0" w:leftChars="0" w:right="0" w:rightChars="0" w:firstLine="0" w:firstLineChars="0"/>
              <w:jc w:val="center"/>
              <w:rPr>
                <w:rFonts w:hint="default" w:ascii="宋体" w:hAnsi="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EC6027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其他设施维护指标达标率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FC14CD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D125A1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355AA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52A951E">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5B2301">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93A629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产出时效</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6330F8AD">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807499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2023年-2024年</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C4C17F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A797EB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29ECC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416A66CE">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2A45FB">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D16CE7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产出成本</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62E4C0D7">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F8CB8F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经济成本指标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741760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1ACEDA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2D7E6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3832EB9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效益</w:t>
            </w: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69B6A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2845A86">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B6DD3FD">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5</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FF1983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道路桥梁维护对社会环境作用</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0574AA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A15BF3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0EA8D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8E5A80E">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1CEF14">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9103C32">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65D3CE1">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5</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27A0D5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保障道路桥梁持续使用</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4C14FC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089BBD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7A26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14:paraId="54321985">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CE793B">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13CE36A">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28F253C8">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63FDF1D">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社会公众或服务对象满意度</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AB8FA7B">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C10DAB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9</w:t>
            </w:r>
          </w:p>
        </w:tc>
      </w:tr>
      <w:tr w14:paraId="1D383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14:paraId="513A55DC">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总分</w:t>
            </w:r>
          </w:p>
        </w:tc>
        <w:tc>
          <w:tcPr>
            <w:tcW w:w="748" w:type="dxa"/>
            <w:tcBorders>
              <w:top w:val="single" w:color="000000" w:sz="4" w:space="0"/>
              <w:left w:val="single" w:color="000000" w:sz="4" w:space="0"/>
              <w:bottom w:val="single" w:color="000000" w:sz="4" w:space="0"/>
              <w:right w:val="single" w:color="000000" w:sz="4" w:space="0"/>
            </w:tcBorders>
            <w:noWrap w:val="0"/>
            <w:vAlign w:val="center"/>
          </w:tcPr>
          <w:p w14:paraId="40BD733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CC19B4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AF5EEB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7D41D9B">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6498E3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82259AA">
            <w:pPr>
              <w:autoSpaceDN w:val="0"/>
              <w:spacing w:line="300" w:lineRule="exact"/>
              <w:ind w:left="0" w:leftChars="0" w:right="0" w:rightChars="0" w:firstLine="0" w:firstLineChars="0"/>
              <w:jc w:val="center"/>
              <w:textAlignment w:val="center"/>
              <w:rPr>
                <w:rFonts w:hint="default" w:ascii="宋体" w:hAnsi="宋体" w:eastAsia="宋体"/>
                <w:bCs/>
                <w:color w:val="000000"/>
                <w:sz w:val="18"/>
                <w:szCs w:val="18"/>
                <w:lang w:val="en-US" w:eastAsia="zh-CN"/>
              </w:rPr>
            </w:pPr>
            <w:r>
              <w:rPr>
                <w:rFonts w:hint="eastAsia" w:ascii="宋体" w:hAnsi="宋体"/>
                <w:bCs/>
                <w:color w:val="000000"/>
                <w:sz w:val="18"/>
                <w:szCs w:val="18"/>
                <w:lang w:val="en-US" w:eastAsia="zh-CN"/>
              </w:rPr>
              <w:t>98</w:t>
            </w:r>
          </w:p>
        </w:tc>
      </w:tr>
      <w:tr w14:paraId="227E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6A8EA461">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606" w:type="dxa"/>
            <w:gridSpan w:val="6"/>
            <w:noWrap w:val="0"/>
            <w:vAlign w:val="center"/>
          </w:tcPr>
          <w:p w14:paraId="710E79E2">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rPr>
              <w:sym w:font="Wingdings 2" w:char="0052"/>
            </w:r>
            <w:r>
              <w:rPr>
                <w:rFonts w:hint="eastAsia" w:ascii="宋体" w:hAnsi="宋体" w:eastAsia="宋体" w:cs="宋体"/>
                <w:color w:val="000000"/>
                <w:kern w:val="0"/>
                <w:sz w:val="18"/>
                <w:szCs w:val="18"/>
              </w:rPr>
              <w:t xml:space="preserve">        良□       中 □       差□</w:t>
            </w:r>
          </w:p>
        </w:tc>
      </w:tr>
      <w:tr w14:paraId="5219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524671CB">
            <w:pPr>
              <w:spacing w:line="300" w:lineRule="exact"/>
              <w:ind w:left="0" w:leftChars="0" w:right="0" w:rightChars="0" w:firstLine="0" w:firstLineChars="0"/>
              <w:jc w:val="center"/>
              <w:rPr>
                <w:rFonts w:hint="eastAsia" w:ascii="宋体" w:hAnsi="宋体" w:eastAsia="宋体"/>
                <w:sz w:val="18"/>
                <w:szCs w:val="18"/>
              </w:rPr>
            </w:pPr>
          </w:p>
        </w:tc>
        <w:tc>
          <w:tcPr>
            <w:tcW w:w="7606" w:type="dxa"/>
            <w:gridSpan w:val="6"/>
            <w:noWrap w:val="0"/>
            <w:vAlign w:val="center"/>
          </w:tcPr>
          <w:p w14:paraId="2010522D">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bl>
    <w:p w14:paraId="3796E821">
      <w:pPr>
        <w:pStyle w:val="2"/>
        <w:rPr>
          <w:rFonts w:hint="eastAsia"/>
        </w:rPr>
      </w:pPr>
    </w:p>
    <w:p w14:paraId="2123BCA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59E7FF58">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（一）项目决策情况分析</w:t>
      </w:r>
      <w:r>
        <w:rPr>
          <w:rFonts w:hint="eastAsia" w:ascii="仿宋_GB2312" w:hAnsi="仿宋_GB2312" w:eastAsia="仿宋_GB2312" w:cs="仿宋_GB2312"/>
          <w:color w:val="auto"/>
          <w:sz w:val="32"/>
          <w:szCs w:val="32"/>
          <w:lang w:eastAsia="zh-CN"/>
        </w:rPr>
        <w:t>。</w:t>
      </w:r>
    </w:p>
    <w:p w14:paraId="3985A061">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Times New Roman" w:hAnsi="Times New Roman" w:eastAsia="仿宋_GB2312" w:cs="Times New Roman"/>
          <w:bCs w:val="0"/>
          <w:kern w:val="0"/>
          <w:sz w:val="32"/>
          <w:szCs w:val="32"/>
          <w:lang w:val="en-US" w:eastAsia="zh-CN"/>
        </w:rPr>
      </w:pPr>
      <w:r>
        <w:rPr>
          <w:rFonts w:hint="eastAsia" w:ascii="Times New Roman" w:hAnsi="Times New Roman" w:eastAsia="仿宋_GB2312" w:cs="Times New Roman"/>
          <w:bCs w:val="0"/>
          <w:kern w:val="0"/>
          <w:sz w:val="32"/>
          <w:szCs w:val="32"/>
          <w:lang w:val="en-US" w:eastAsia="zh-CN"/>
        </w:rPr>
        <w:t>2023年度道路桥梁设施维护经费项目进行事前绩效评估，立项依据充分、程序规范。</w:t>
      </w:r>
    </w:p>
    <w:p w14:paraId="6B5EBFE5">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（二）项目过程情况分析。</w:t>
      </w:r>
    </w:p>
    <w:p w14:paraId="162C0CF2">
      <w:pPr>
        <w:pStyle w:val="2"/>
        <w:keepNext/>
        <w:keepLines/>
        <w:pageBreakBefore w:val="0"/>
        <w:widowControl/>
        <w:kinsoku/>
        <w:wordWrap/>
        <w:overflowPunct/>
        <w:topLinePunct w:val="0"/>
        <w:autoSpaceDE/>
        <w:autoSpaceDN/>
        <w:bidi w:val="0"/>
        <w:adjustRightInd/>
        <w:snapToGrid/>
        <w:spacing w:before="0" w:after="0" w:line="560" w:lineRule="exact"/>
        <w:ind w:firstLine="640" w:firstLineChars="200"/>
        <w:textAlignment w:val="auto"/>
        <w:rPr>
          <w:rFonts w:hint="eastAsia"/>
        </w:rPr>
      </w:pPr>
      <w:r>
        <w:rPr>
          <w:rFonts w:hint="eastAsia" w:ascii="Times New Roman" w:hAnsi="Times New Roman" w:eastAsia="仿宋_GB2312" w:cs="Times New Roman"/>
          <w:bCs w:val="0"/>
          <w:kern w:val="0"/>
          <w:sz w:val="32"/>
          <w:szCs w:val="32"/>
          <w:lang w:val="en-US" w:eastAsia="zh-CN"/>
        </w:rPr>
        <w:t>2023年度道路桥梁设施维护经费项目资金部分财政没有资金支付、资金使用合规、管理制度健全、制度执行有效。</w:t>
      </w:r>
    </w:p>
    <w:p w14:paraId="160C39A2">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（三）项目产出情况分析。</w:t>
      </w:r>
    </w:p>
    <w:p w14:paraId="2E30BB8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Times New Roman" w:hAnsi="Times New Roman" w:eastAsia="仿宋_GB2312" w:cs="Times New Roman"/>
          <w:bCs w:val="0"/>
          <w:kern w:val="0"/>
          <w:sz w:val="32"/>
          <w:szCs w:val="32"/>
          <w:lang w:val="en-US" w:eastAsia="zh-CN"/>
        </w:rPr>
        <w:t>通过政府采购完成维护单位招标工作，并签订服务合同,</w:t>
      </w:r>
      <w:r>
        <w:rPr>
          <w:rFonts w:hint="default" w:ascii="Times New Roman" w:hAnsi="Times New Roman" w:eastAsia="仿宋_GB2312" w:cs="Times New Roman"/>
          <w:bCs w:val="0"/>
          <w:kern w:val="0"/>
          <w:sz w:val="32"/>
          <w:szCs w:val="32"/>
          <w:lang w:val="en-US" w:eastAsia="zh-CN"/>
        </w:rPr>
        <w:t>完成五华辖区范围内278条市政道路（共计约191.4公里，469.8万平方米）和59座桥梁(面积11.64万平方米)的管理维护工作；完成4座人行天桥电梯运行维护费及五华区道路桥梁设施维修养护项目服务费。道桥维护一次性验收合格率100%，延长城市道、桥使用寿命，提升城市路、桥质量，保障城市路桥安全，保障人民群众出行安全，社会公众满意度达95%。</w:t>
      </w:r>
    </w:p>
    <w:p w14:paraId="0338316D">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（四）项目效益情况分析。</w:t>
      </w:r>
    </w:p>
    <w:p w14:paraId="2381850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Times New Roman" w:hAnsi="Times New Roman" w:eastAsia="仿宋_GB2312" w:cs="Times New Roman"/>
          <w:bCs w:val="0"/>
          <w:kern w:val="0"/>
          <w:sz w:val="32"/>
          <w:szCs w:val="32"/>
          <w:lang w:val="en-US" w:eastAsia="zh-CN"/>
        </w:rPr>
        <w:t>道路桥梁设施维护经费项目一是为</w:t>
      </w:r>
      <w:r>
        <w:rPr>
          <w:rFonts w:hint="eastAsia" w:ascii="仿宋_GB2312" w:eastAsia="仿宋_GB2312"/>
          <w:sz w:val="32"/>
          <w:szCs w:val="32"/>
        </w:rPr>
        <w:t>五华区内的道路、桥梁等市政设施的维护管理提供必要的保障，消除城市道路、桥梁、隧道的安全隐患，保障人民群众的平安、快捷出行，为市民创造良好的出行环境。二是通过对道路、桥梁病害的及时处置延缓大修周期。三是规范城市道路、桥梁日常养护管理，提高城市道路、桥梁养护质量，发挥城市道路、桥梁使用功能，确保城市道路、桥梁的完好率不降低，提高道路、桥梁的通行率，提升城市综合服务功能和城市整体品位。</w:t>
      </w:r>
    </w:p>
    <w:p w14:paraId="0A91913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14:paraId="3490B3D0">
      <w:pPr>
        <w:topLinePunct/>
        <w:spacing w:line="520" w:lineRule="exact"/>
        <w:ind w:firstLine="800" w:firstLineChars="250"/>
        <w:rPr>
          <w:rFonts w:hint="eastAsia"/>
        </w:rPr>
      </w:pPr>
      <w:r>
        <w:rPr>
          <w:rFonts w:hint="eastAsia" w:ascii="仿宋_GB2312" w:hAnsi="Calibri" w:eastAsia="仿宋_GB2312" w:cs="Times New Roman"/>
          <w:kern w:val="2"/>
          <w:sz w:val="32"/>
          <w:szCs w:val="32"/>
          <w:highlight w:val="none"/>
          <w:lang w:val="en-US" w:eastAsia="zh-CN" w:bidi="ar-SA"/>
        </w:rPr>
        <w:t>提高绩效管理认识，通过设立目标有利于项目决策的制定，有助于项目的实施管理。项目实施前应结合本单位自身情况，设定明确、合理的绩效目标，并将目标量化、细化分解，与预算资金相匹配起来。</w:t>
      </w:r>
      <w:r>
        <w:rPr>
          <w:rFonts w:hint="eastAsia" w:ascii="仿宋_GB2312" w:eastAsia="仿宋_GB2312" w:cs="Times New Roman"/>
          <w:kern w:val="2"/>
          <w:sz w:val="32"/>
          <w:szCs w:val="32"/>
          <w:highlight w:val="none"/>
          <w:lang w:val="en-US" w:eastAsia="zh-CN" w:bidi="ar-SA"/>
        </w:rPr>
        <w:t>昆明市五华区建设服务中心</w:t>
      </w:r>
      <w:r>
        <w:rPr>
          <w:rFonts w:hint="eastAsia" w:ascii="仿宋_GB2312" w:hAnsi="Calibri" w:eastAsia="仿宋_GB2312" w:cs="Times New Roman"/>
          <w:kern w:val="2"/>
          <w:sz w:val="32"/>
          <w:szCs w:val="32"/>
          <w:highlight w:val="none"/>
          <w:lang w:val="en-US" w:eastAsia="zh-CN" w:bidi="ar-SA"/>
        </w:rPr>
        <w:t>认真对待绩效自评，针对自身情况对实施项目提出合理的问题及建议，逐步提高绩效管理认识。</w:t>
      </w:r>
    </w:p>
    <w:p w14:paraId="265C44B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六、存在的问题及原因分析</w:t>
      </w:r>
    </w:p>
    <w:p w14:paraId="09428DF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绩效管理体系不够完善，预算与绩效管理一体化的程度有待提高</w:t>
      </w:r>
      <w:r>
        <w:rPr>
          <w:rFonts w:hint="eastAsia" w:ascii="Times New Roman" w:hAnsi="Times New Roman" w:eastAsia="仿宋_GB2312" w:cs="Times New Roman"/>
          <w:sz w:val="32"/>
          <w:szCs w:val="32"/>
          <w:lang w:val="en-US" w:eastAsia="zh-CN"/>
        </w:rPr>
        <w:t>。</w:t>
      </w:r>
    </w:p>
    <w:p w14:paraId="0C11D21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rPr>
      </w:pPr>
      <w:r>
        <w:rPr>
          <w:rFonts w:hint="eastAsia" w:ascii="Times New Roman" w:hAnsi="Times New Roman" w:eastAsia="仿宋_GB2312" w:cs="Times New Roman"/>
          <w:sz w:val="32"/>
          <w:szCs w:val="32"/>
          <w:lang w:val="en-US" w:eastAsia="zh-CN"/>
        </w:rPr>
        <w:t>2.绩效管理认识不够，在填报项目支出时不够细化分解、量化。绩效评价未针对自身情况提出合理的问题及建议，绩效管理认识不够，应积极跟踪项目实施进度。</w:t>
      </w:r>
    </w:p>
    <w:p w14:paraId="72B547E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七、有关建议</w:t>
      </w:r>
    </w:p>
    <w:p w14:paraId="4FEA08F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b/>
          <w:bCs/>
        </w:rPr>
      </w:pPr>
      <w:r>
        <w:rPr>
          <w:rFonts w:hint="eastAsia" w:ascii="仿宋_GB2312" w:hAnsi="仿宋_GB2312" w:eastAsia="仿宋_GB2312" w:cs="仿宋_GB2312"/>
          <w:color w:val="auto"/>
          <w:sz w:val="32"/>
          <w:szCs w:val="32"/>
          <w:lang w:val="en-US" w:eastAsia="zh-CN"/>
        </w:rPr>
        <w:t>昆明市五华区建设服务中心积极参加预算绩效管理培训并结合实际情况，汇总、对比以往年度项目预算，从而科学、有依据的做出下一年的项目资金预算，编制更为合理的预算，优化项目资金预算。</w:t>
      </w:r>
    </w:p>
    <w:p w14:paraId="60A5108C">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14:paraId="25100F0F">
      <w:pPr>
        <w:keepNext w:val="0"/>
        <w:keepLines w:val="0"/>
        <w:pageBreakBefore w:val="0"/>
        <w:widowControl/>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color w:val="auto"/>
          <w:sz w:val="32"/>
          <w:szCs w:val="32"/>
          <w:lang w:val="en-US" w:eastAsia="zh-CN"/>
        </w:rPr>
        <w:t>无。</w:t>
      </w:r>
    </w:p>
    <w:p w14:paraId="05598888">
      <w:pPr>
        <w:pStyle w:val="5"/>
        <w:rPr>
          <w:rFonts w:hint="eastAsia"/>
          <w:lang w:eastAsia="zh-CN"/>
        </w:rPr>
      </w:pPr>
    </w:p>
    <w:p w14:paraId="4D5CC996"/>
    <w:p w14:paraId="27FAD12C">
      <w:pPr>
        <w:pStyle w:val="2"/>
      </w:pPr>
    </w:p>
    <w:p w14:paraId="04D063E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昆明市五华区建设服务中心</w:t>
      </w:r>
    </w:p>
    <w:p w14:paraId="1CA1835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2024年5月29日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1NTFjZGIxOWVkZDcyZjAzMTkwOTY2YWRmZDMwNWYifQ=="/>
  </w:docVars>
  <w:rsids>
    <w:rsidRoot w:val="63AB6689"/>
    <w:rsid w:val="0C8B0141"/>
    <w:rsid w:val="15C3180D"/>
    <w:rsid w:val="2E415DD4"/>
    <w:rsid w:val="3F0120EC"/>
    <w:rsid w:val="45566FD9"/>
    <w:rsid w:val="63AB6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adjustRightInd w:val="0"/>
      <w:snapToGrid w:val="0"/>
      <w:spacing w:line="570" w:lineRule="exact"/>
      <w:outlineLvl w:val="0"/>
    </w:pPr>
    <w:rPr>
      <w:rFonts w:ascii="华文中宋" w:hAnsi="华文中宋" w:eastAsia="华文中宋"/>
      <w:color w:val="000000"/>
      <w:sz w:val="44"/>
      <w:szCs w:val="44"/>
    </w:rPr>
  </w:style>
  <w:style w:type="paragraph" w:styleId="3">
    <w:name w:val="heading 2"/>
    <w:basedOn w:val="4"/>
    <w:next w:val="4"/>
    <w:qFormat/>
    <w:uiPriority w:val="0"/>
    <w:pPr>
      <w:keepNext/>
      <w:keepLines/>
      <w:spacing w:line="560" w:lineRule="exact"/>
      <w:ind w:firstLine="640"/>
      <w:outlineLvl w:val="1"/>
    </w:pPr>
    <w:rPr>
      <w:rFonts w:eastAsia="黑体"/>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rPr>
      <w:rFonts w:ascii="Calibri" w:hAnsi="Calibri" w:eastAsia="宋体" w:cs="Times New Roman"/>
    </w:rPr>
  </w:style>
  <w:style w:type="paragraph" w:styleId="5">
    <w:name w:val="Body Text First Indent"/>
    <w:basedOn w:val="4"/>
    <w:qFormat/>
    <w:uiPriority w:val="0"/>
    <w:pPr>
      <w:snapToGrid/>
      <w:spacing w:line="520" w:lineRule="exact"/>
      <w:ind w:firstLine="0" w:firstLineChars="0"/>
      <w:jc w:val="center"/>
    </w:pPr>
    <w:rPr>
      <w:rFonts w:ascii="Times New Roman" w:hAnsi="Times New Roman"/>
      <w:sz w:val="24"/>
      <w:szCs w:val="20"/>
    </w:rPr>
  </w:style>
  <w:style w:type="character" w:customStyle="1" w:styleId="8">
    <w:name w:val="font21"/>
    <w:basedOn w:val="7"/>
    <w:autoRedefine/>
    <w:qFormat/>
    <w:uiPriority w:val="0"/>
    <w:rPr>
      <w:rFonts w:ascii="Calibri" w:hAnsi="Calibri" w:cs="Calibri"/>
      <w:color w:val="000000"/>
      <w:sz w:val="20"/>
      <w:szCs w:val="20"/>
      <w:u w:val="none"/>
    </w:rPr>
  </w:style>
  <w:style w:type="character" w:customStyle="1" w:styleId="9">
    <w:name w:val="font11"/>
    <w:basedOn w:val="7"/>
    <w:autoRedefine/>
    <w:qFormat/>
    <w:uiPriority w:val="0"/>
    <w:rPr>
      <w:rFonts w:hint="eastAsia" w:ascii="宋体" w:hAnsi="宋体" w:eastAsia="宋体" w:cs="宋体"/>
      <w:color w:val="000000"/>
      <w:sz w:val="20"/>
      <w:szCs w:val="20"/>
      <w:u w:val="none"/>
    </w:rPr>
  </w:style>
  <w:style w:type="character" w:customStyle="1" w:styleId="10">
    <w:name w:val="font31"/>
    <w:basedOn w:val="7"/>
    <w:autoRedefine/>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9</Pages>
  <Words>0</Words>
  <Characters>0</Characters>
  <Lines>0</Lines>
  <Paragraphs>0</Paragraphs>
  <TotalTime>35</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2024-08-23T07:18:00Z</dcterms:created>
  <dc:creator>停</dc:creator>
  <cp:lastModifiedBy>停</cp:lastModifiedBy>
  <dcterms:modified xsi:type="dcterms:W3CDTF">2024-08-23T08:48:08Z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159458CD677049E5957DB89C91E55ED5_11</vt:lpwstr>
  </property>
</Properties>
</file>