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14AFF">
      <w:pPr>
        <w:keepNext w:val="0"/>
        <w:keepLines w:val="0"/>
        <w:pageBreakBefore w:val="0"/>
        <w:widowControl/>
        <w:tabs>
          <w:tab w:val="left" w:pos="1050"/>
        </w:tabs>
        <w:kinsoku/>
        <w:wordWrap/>
        <w:overflowPunct/>
        <w:topLinePunct w:val="0"/>
        <w:autoSpaceDE/>
        <w:autoSpaceDN/>
        <w:bidi w:val="0"/>
        <w:adjustRightInd/>
        <w:snapToGrid/>
        <w:spacing w:after="0" w:line="560" w:lineRule="exact"/>
        <w:ind w:left="0" w:right="0" w:firstLine="880" w:firstLineChars="200"/>
        <w:textAlignment w:val="auto"/>
        <w:rPr>
          <w:rFonts w:hint="eastAsia" w:ascii="方正小标宋简体" w:hAnsi="方正小标宋简体" w:eastAsia="方正小标宋简体" w:cs="方正小标宋简体"/>
          <w:color w:val="auto"/>
          <w:sz w:val="44"/>
          <w:szCs w:val="44"/>
        </w:rPr>
      </w:pPr>
    </w:p>
    <w:p w14:paraId="4B351968">
      <w:pPr>
        <w:keepNext w:val="0"/>
        <w:keepLines w:val="0"/>
        <w:pageBreakBefore w:val="0"/>
        <w:widowControl/>
        <w:kinsoku/>
        <w:wordWrap/>
        <w:overflowPunct/>
        <w:topLinePunct w:val="0"/>
        <w:autoSpaceDE/>
        <w:autoSpaceDN/>
        <w:bidi w:val="0"/>
        <w:adjustRightInd/>
        <w:snapToGrid/>
        <w:spacing w:after="0" w:line="560" w:lineRule="exact"/>
        <w:ind w:left="0" w:right="0" w:firstLine="2200" w:firstLineChars="500"/>
        <w:jc w:val="both"/>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14:paraId="4554A560">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仿宋_GB2312" w:hAnsi="仿宋_GB2312" w:eastAsia="仿宋_GB2312" w:cs="仿宋_GB2312"/>
          <w:color w:val="auto"/>
          <w:sz w:val="30"/>
          <w:szCs w:val="30"/>
          <w:lang w:val="en-US" w:eastAsia="zh-CN"/>
        </w:rPr>
      </w:pPr>
    </w:p>
    <w:p w14:paraId="7D6301B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2F0E01E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（一）项目概况</w:t>
      </w:r>
    </w:p>
    <w:p w14:paraId="51F22021">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1.项目背景</w:t>
      </w:r>
    </w:p>
    <w:p w14:paraId="33AA3410">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根据部门职能职责、年度工作计划，严格执行安全生产各种法规、制度，落实安全生产各方主体责任，加强安全生产管理工作。依据《建设工程质量管理条例》（国务院279令）第四十六条规定，五华区建设工程质量安全监督管理站受五华区住房和城乡建设局委托，实施具体的建设工程质量监督和竣工验收备案工作。以国家建设法规和现行的标准、规范、规程为执法依据，对建设工程的施工全过程及参与工程建设的勘察、设计、施工、监理和建设单位各方质量、安全生产责任主体的行为进行监督。</w:t>
      </w:r>
    </w:p>
    <w:p w14:paraId="50ECE23E">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2.主要内容及实施情况</w:t>
      </w:r>
    </w:p>
    <w:p w14:paraId="0AB7F632">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主要内容：通过购买服务的方式，对本区区域内的建设工程（包括房屋建筑和市政基础设施工程，在市政府划定的职能职责范围内）实行质量、安全监督，加大检查力度；督促区域内施工企业加强工程管理，正确执行国家建筑行业相关安全质量技术标准和规范，确保工程实体质量、安全达到有关要求；对我站深入开展业务工作、努力提高监督水平起到积极促进作用。</w:t>
      </w:r>
    </w:p>
    <w:p w14:paraId="18C93D9E">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实施情况：日常配合质安站监督人员开展监督检查，确保按质按量完成相应的工作任务；每年的专项检查次数不低于6次；建筑工程质量检查合格率达到100%，加强工程质量监督，确保工程质量稳定；发现隐患问题，要求项目部整改到位并复查；排查安全建筑工程隐患，促进安全生产建设；降低安全事故发生次数；提高辖区社会公众综合满意度。</w:t>
      </w:r>
    </w:p>
    <w:p w14:paraId="043E50A4">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3.资金投入和使用情况</w:t>
      </w:r>
    </w:p>
    <w:p w14:paraId="387B5E9F">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购买建工安全生产、质量监督服务专项资金，年初预算数</w:t>
      </w:r>
      <w:r>
        <w:rPr>
          <w:rFonts w:hint="eastAsia" w:ascii="仿宋_GB2312" w:hAnsi="仿宋_GB2312" w:eastAsia="仿宋_GB2312" w:cs="仿宋_GB2312"/>
          <w:color w:val="auto"/>
          <w:sz w:val="32"/>
          <w:szCs w:val="32"/>
          <w:lang w:val="en-US" w:eastAsia="zh-CN"/>
        </w:rPr>
        <w:t>72</w:t>
      </w:r>
      <w:r>
        <w:rPr>
          <w:rFonts w:hint="default" w:ascii="仿宋_GB2312" w:hAnsi="仿宋_GB2312" w:eastAsia="仿宋_GB2312" w:cs="仿宋_GB2312"/>
          <w:color w:val="auto"/>
          <w:sz w:val="32"/>
          <w:szCs w:val="32"/>
          <w:lang w:val="en-US" w:eastAsia="zh-CN"/>
        </w:rPr>
        <w:t>万元，预算确定数</w:t>
      </w:r>
      <w:r>
        <w:rPr>
          <w:rFonts w:hint="eastAsia" w:ascii="仿宋_GB2312" w:hAnsi="仿宋_GB2312" w:eastAsia="仿宋_GB2312" w:cs="仿宋_GB2312"/>
          <w:color w:val="auto"/>
          <w:sz w:val="32"/>
          <w:szCs w:val="32"/>
          <w:lang w:val="en-US" w:eastAsia="zh-CN"/>
        </w:rPr>
        <w:t>72</w:t>
      </w:r>
      <w:r>
        <w:rPr>
          <w:rFonts w:hint="default" w:ascii="仿宋_GB2312" w:hAnsi="仿宋_GB2312" w:eastAsia="仿宋_GB2312" w:cs="仿宋_GB2312"/>
          <w:color w:val="auto"/>
          <w:sz w:val="32"/>
          <w:szCs w:val="32"/>
          <w:lang w:val="en-US" w:eastAsia="zh-CN"/>
        </w:rPr>
        <w:t>万元，全年执行数</w:t>
      </w:r>
      <w:r>
        <w:rPr>
          <w:rFonts w:hint="eastAsia" w:ascii="仿宋_GB2312" w:hAnsi="仿宋_GB2312" w:eastAsia="仿宋_GB2312" w:cs="仿宋_GB2312"/>
          <w:color w:val="auto"/>
          <w:sz w:val="32"/>
          <w:szCs w:val="32"/>
          <w:lang w:val="en-US" w:eastAsia="zh-CN"/>
        </w:rPr>
        <w:t>0</w:t>
      </w:r>
      <w:r>
        <w:rPr>
          <w:rFonts w:hint="default" w:ascii="仿宋_GB2312" w:hAnsi="仿宋_GB2312" w:eastAsia="仿宋_GB2312" w:cs="仿宋_GB2312"/>
          <w:color w:val="auto"/>
          <w:sz w:val="32"/>
          <w:szCs w:val="32"/>
          <w:lang w:val="en-US" w:eastAsia="zh-CN"/>
        </w:rPr>
        <w:t>万元，执行率</w:t>
      </w:r>
      <w:r>
        <w:rPr>
          <w:rFonts w:hint="eastAsia" w:ascii="仿宋_GB2312" w:hAnsi="仿宋_GB2312" w:eastAsia="仿宋_GB2312" w:cs="仿宋_GB2312"/>
          <w:color w:val="auto"/>
          <w:sz w:val="32"/>
          <w:szCs w:val="32"/>
          <w:lang w:val="en-US" w:eastAsia="zh-CN"/>
        </w:rPr>
        <w:t>0</w:t>
      </w:r>
      <w:r>
        <w:rPr>
          <w:rFonts w:hint="default" w:ascii="仿宋_GB2312" w:hAnsi="仿宋_GB2312" w:eastAsia="仿宋_GB2312" w:cs="仿宋_GB2312"/>
          <w:color w:val="auto"/>
          <w:sz w:val="32"/>
          <w:szCs w:val="32"/>
          <w:lang w:val="en-US" w:eastAsia="zh-CN"/>
        </w:rPr>
        <w:t>%。主要是用于对建设工程的施工全过程及参与工程建设的勘察、设计、施工、监理和建设单位各方质量、安全生产责任主体的行为进行安全监督检查</w:t>
      </w:r>
      <w:r>
        <w:rPr>
          <w:rFonts w:hint="eastAsia" w:ascii="仿宋_GB2312" w:hAnsi="仿宋_GB2312" w:eastAsia="仿宋_GB2312" w:cs="仿宋_GB2312"/>
          <w:color w:val="auto"/>
          <w:sz w:val="32"/>
          <w:szCs w:val="32"/>
          <w:lang w:val="en-US" w:eastAsia="zh-CN"/>
        </w:rPr>
        <w:t>。</w:t>
      </w:r>
    </w:p>
    <w:p w14:paraId="5B05B77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（二）项目绩效目标</w:t>
      </w:r>
    </w:p>
    <w:p w14:paraId="64210E55">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1.总体目标</w:t>
      </w:r>
    </w:p>
    <w:p w14:paraId="2221AC3F">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部门职能职责、年度工作计划，严格执行安全生产各种法规、制度，落实安全生产各方主体责任，加强安全生产管理工作。通过购买服务的方式，对本区区域内的建设工程（包括房屋建筑和市政基础设施工程，在市政府划定的职能职责范围内）实行质量、安全监督，加大检查力度；督促区域内施工企业加强工程管理，正确执行国家建筑行业相关安全质量技术标准和规范，确保工程实体质量、安全达到有关要求；对我站深入开展业务工作、努力提高监督水平起到积极促进作用。</w:t>
      </w:r>
    </w:p>
    <w:p w14:paraId="3AF4DD73">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2.阶段性目标</w:t>
      </w:r>
    </w:p>
    <w:p w14:paraId="5ACEEF74">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（1）日常配合质安站监督人员开展监督检查，确保按质按量完成相应的工作任务。</w:t>
      </w:r>
    </w:p>
    <w:p w14:paraId="14251F58">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（2）每年的专项检查次数不低于6次。</w:t>
      </w:r>
    </w:p>
    <w:p w14:paraId="32EEE1E6">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（3）建筑工程质量检查合格率达到100%，加强工程质量监督，确保工程质量稳定。</w:t>
      </w:r>
    </w:p>
    <w:p w14:paraId="7722DF05">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（4）发现隐患问题，要求项目部整改到位并复查。</w:t>
      </w:r>
    </w:p>
    <w:p w14:paraId="0F16F33A">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（5）排查安全建筑工程隐患，促进安全生产建设。</w:t>
      </w:r>
    </w:p>
    <w:p w14:paraId="07EB50F3">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（6）降低安全事故发生次数。</w:t>
      </w:r>
    </w:p>
    <w:p w14:paraId="61D112BE">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Times New Roman" w:hAnsi="Times New Roman" w:eastAsia="仿宋_GB2312" w:cs="Times New Roman"/>
          <w:kern w:val="0"/>
          <w:sz w:val="32"/>
          <w:szCs w:val="32"/>
          <w:lang w:val="en-US" w:eastAsia="zh-CN" w:bidi="ar-SA"/>
        </w:rPr>
      </w:pPr>
      <w:r>
        <w:rPr>
          <w:rFonts w:hint="eastAsia" w:ascii="仿宋_GB2312" w:hAnsi="仿宋_GB2312" w:eastAsia="仿宋_GB2312" w:cs="仿宋_GB2312"/>
          <w:color w:val="auto"/>
          <w:sz w:val="32"/>
          <w:szCs w:val="32"/>
          <w:lang w:val="en-US" w:eastAsia="zh-CN"/>
        </w:rPr>
        <w:t>（7）提高辖区社会公众综合满意度</w:t>
      </w:r>
      <w:r>
        <w:rPr>
          <w:rFonts w:hint="eastAsia" w:ascii="Times New Roman" w:hAnsi="Times New Roman" w:eastAsia="仿宋_GB2312" w:cs="Times New Roman"/>
          <w:kern w:val="0"/>
          <w:sz w:val="32"/>
          <w:szCs w:val="32"/>
          <w:lang w:val="en-US" w:eastAsia="zh-CN" w:bidi="ar-SA"/>
        </w:rPr>
        <w:t>。</w:t>
      </w:r>
    </w:p>
    <w:p w14:paraId="5FF42520">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（三）项目组织管理情况。</w:t>
      </w:r>
    </w:p>
    <w:p w14:paraId="3E86AC4E">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1.项目组织情况</w:t>
      </w:r>
    </w:p>
    <w:p w14:paraId="79CEAA05">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此项目由区质安站办公室和工程安全服务科两个科室组织实施具体工作。由质安站办公室人员负责收集和保存材料，服务科人员负责现场监督。每年按合同金额72万元履行。</w:t>
      </w:r>
    </w:p>
    <w:p w14:paraId="2449CA04">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2.单位内控制度</w:t>
      </w:r>
    </w:p>
    <w:p w14:paraId="4561D01D">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为加强资金和项目管理、规范财务行为，严格财务审批手续，明确职责，强化财经纪律，昆明市五华区建设工程质量安全服务站已根据相关文件要求，结合单位实际情况制定了相应财务管理制度、三重一大制度、采购制度、产业项目管理办法等，严格资金审批程序，经检查验收合格，手续完备后才划拨相关资金。 </w:t>
      </w:r>
    </w:p>
    <w:p w14:paraId="486641B0">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3.财务管理措施</w:t>
      </w:r>
    </w:p>
    <w:p w14:paraId="0190C9E9">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根据项目实施进度及时拨付资金，尽可能减少资金拨付环节和资金拨付时间，避免资金闲置、截留，提高资金使用效率，避免造成财政资源浪费。</w:t>
      </w:r>
    </w:p>
    <w:p w14:paraId="5EA78941">
      <w:pPr>
        <w:pStyle w:val="2"/>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rPr>
      </w:pPr>
      <w:r>
        <w:rPr>
          <w:rFonts w:ascii="仿宋_GB2312" w:eastAsia="仿宋_GB2312"/>
          <w:sz w:val="32"/>
          <w:szCs w:val="32"/>
        </w:rPr>
        <w:t xml:space="preserve"> </w:t>
      </w:r>
    </w:p>
    <w:p w14:paraId="7D9037E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14:paraId="26BBF0E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（一）绩效评价目的、对象和范围。</w:t>
      </w:r>
    </w:p>
    <w:p w14:paraId="025344C2">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昆明市五华区建设工程质量安全服务站通过收集本单位基本情况、预算制定与明细、部门中长期规划目标及组织架构等信息，分析本单位资源配置的合理性及中长期规划目标完成与履职情况，总结经验做法，找出预算绩效管理中的薄弱环节，提出改进建议，提高财政资金的使用效益。通过绩效评价，做到项目专款专用，提高资金使用效率。</w:t>
      </w:r>
    </w:p>
    <w:p w14:paraId="2E18072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bCs w:val="0"/>
          <w:color w:val="auto"/>
          <w:kern w:val="0"/>
          <w:sz w:val="32"/>
          <w:szCs w:val="32"/>
          <w:lang w:val="en-US" w:eastAsia="zh-CN" w:bidi="ar-SA"/>
        </w:rPr>
      </w:pPr>
      <w:r>
        <w:rPr>
          <w:rFonts w:hint="eastAsia" w:ascii="仿宋_GB2312" w:hAnsi="仿宋_GB2312" w:eastAsia="仿宋_GB2312" w:cs="仿宋_GB2312"/>
          <w:bCs w:val="0"/>
          <w:color w:val="auto"/>
          <w:kern w:val="0"/>
          <w:sz w:val="32"/>
          <w:szCs w:val="32"/>
          <w:lang w:val="en-US" w:eastAsia="zh-CN" w:bidi="ar-SA"/>
        </w:rPr>
        <w:t>（二）绩效评价原则、依据、评价指标体系（附表说明）、评价方法、评价标准、评价抽样等。</w:t>
      </w:r>
    </w:p>
    <w:tbl>
      <w:tblPr>
        <w:tblStyle w:val="1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822"/>
        <w:gridCol w:w="1618"/>
        <w:gridCol w:w="1790"/>
        <w:gridCol w:w="1820"/>
        <w:gridCol w:w="1080"/>
        <w:gridCol w:w="1266"/>
      </w:tblGrid>
      <w:tr w14:paraId="2FDA1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E41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18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A640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购买建工安全生产、质量监督服务专项资金</w:t>
            </w:r>
          </w:p>
        </w:tc>
      </w:tr>
      <w:tr w14:paraId="64C6F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1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D1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88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8C6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昆明市五华区建设工程质量安全服务站</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03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EF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昆明市五华区建设工程质量安全服务站</w:t>
            </w:r>
          </w:p>
        </w:tc>
      </w:tr>
      <w:tr w14:paraId="41CE2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37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Style w:val="34"/>
                <w:rFonts w:eastAsia="宋体"/>
                <w:lang w:val="en-US" w:eastAsia="zh-CN" w:bidi="ar"/>
              </w:rPr>
              <w:br w:type="textWrapping"/>
            </w:r>
            <w:r>
              <w:rPr>
                <w:rStyle w:val="35"/>
                <w:lang w:val="en-US" w:eastAsia="zh-CN" w:bidi="ar"/>
              </w:rPr>
              <w:t>（万元）</w:t>
            </w: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996C0">
            <w:pPr>
              <w:jc w:val="center"/>
              <w:rPr>
                <w:rFonts w:hint="default" w:ascii="Calibri" w:hAnsi="Calibri" w:cs="Calibri"/>
                <w:i w:val="0"/>
                <w:iCs w:val="0"/>
                <w:color w:val="000000"/>
                <w:sz w:val="20"/>
                <w:szCs w:val="20"/>
                <w:u w:val="none"/>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A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06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32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93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r>
      <w:tr w14:paraId="7860D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A480A">
            <w:pPr>
              <w:jc w:val="center"/>
              <w:rPr>
                <w:rFonts w:hint="eastAsia" w:ascii="宋体" w:hAnsi="宋体" w:eastAsia="宋体" w:cs="宋体"/>
                <w:i w:val="0"/>
                <w:iCs w:val="0"/>
                <w:color w:val="000000"/>
                <w:sz w:val="20"/>
                <w:szCs w:val="20"/>
                <w:u w:val="none"/>
              </w:rPr>
            </w:pP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445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9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FCD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B3C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72</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9EB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7F18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0</w:t>
            </w:r>
            <w:r>
              <w:rPr>
                <w:rFonts w:hint="default" w:ascii="宋体" w:hAnsi="宋体" w:eastAsia="宋体" w:cs="宋体"/>
                <w:i w:val="0"/>
                <w:iCs w:val="0"/>
                <w:color w:val="000000"/>
                <w:kern w:val="0"/>
                <w:sz w:val="20"/>
                <w:szCs w:val="20"/>
                <w:u w:val="none"/>
                <w:lang w:val="en-US" w:eastAsia="zh-CN" w:bidi="ar"/>
              </w:rPr>
              <w:t>%</w:t>
            </w:r>
          </w:p>
        </w:tc>
      </w:tr>
      <w:tr w14:paraId="4548D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FC6A1">
            <w:pPr>
              <w:jc w:val="center"/>
              <w:rPr>
                <w:rFonts w:hint="eastAsia" w:ascii="宋体" w:hAnsi="宋体" w:eastAsia="宋体" w:cs="宋体"/>
                <w:i w:val="0"/>
                <w:iCs w:val="0"/>
                <w:color w:val="000000"/>
                <w:sz w:val="20"/>
                <w:szCs w:val="20"/>
                <w:u w:val="none"/>
              </w:rPr>
            </w:pP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E6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9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A71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B693">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72</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1430">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35C3">
            <w:pPr>
              <w:ind w:firstLine="400" w:firstLineChars="200"/>
              <w:rPr>
                <w:rFonts w:hint="default" w:ascii="Calibri" w:hAnsi="Calibri" w:cs="Calibri"/>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0</w:t>
            </w:r>
            <w:r>
              <w:rPr>
                <w:rFonts w:hint="default" w:ascii="宋体" w:hAnsi="宋体" w:eastAsia="宋体" w:cs="宋体"/>
                <w:i w:val="0"/>
                <w:iCs w:val="0"/>
                <w:color w:val="000000"/>
                <w:kern w:val="0"/>
                <w:sz w:val="20"/>
                <w:szCs w:val="20"/>
                <w:u w:val="none"/>
                <w:lang w:val="en-US" w:eastAsia="zh-CN" w:bidi="ar"/>
              </w:rPr>
              <w:t>%</w:t>
            </w:r>
          </w:p>
        </w:tc>
      </w:tr>
      <w:tr w14:paraId="65CB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BF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r>
              <w:rPr>
                <w:rStyle w:val="34"/>
                <w:rFonts w:eastAsia="宋体"/>
                <w:lang w:val="en-US" w:eastAsia="zh-CN" w:bidi="ar"/>
              </w:rPr>
              <w:br w:type="textWrapping"/>
            </w:r>
            <w:r>
              <w:rPr>
                <w:rStyle w:val="35"/>
                <w:lang w:val="en-US" w:eastAsia="zh-CN" w:bidi="ar"/>
              </w:rPr>
              <w:t>总体</w:t>
            </w:r>
            <w:r>
              <w:rPr>
                <w:rStyle w:val="34"/>
                <w:rFonts w:eastAsia="宋体"/>
                <w:lang w:val="en-US" w:eastAsia="zh-CN" w:bidi="ar"/>
              </w:rPr>
              <w:br w:type="textWrapping"/>
            </w:r>
            <w:r>
              <w:rPr>
                <w:rStyle w:val="35"/>
                <w:lang w:val="en-US" w:eastAsia="zh-CN" w:bidi="ar"/>
              </w:rPr>
              <w:t>目标</w:t>
            </w:r>
          </w:p>
        </w:tc>
        <w:tc>
          <w:tcPr>
            <w:tcW w:w="333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CDD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2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E8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253C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468E5">
            <w:pPr>
              <w:jc w:val="center"/>
              <w:rPr>
                <w:rFonts w:hint="eastAsia" w:ascii="宋体" w:hAnsi="宋体" w:eastAsia="宋体" w:cs="宋体"/>
                <w:i w:val="0"/>
                <w:iCs w:val="0"/>
                <w:color w:val="000000"/>
                <w:sz w:val="20"/>
                <w:szCs w:val="20"/>
                <w:u w:val="none"/>
              </w:rPr>
            </w:pPr>
          </w:p>
        </w:tc>
        <w:tc>
          <w:tcPr>
            <w:tcW w:w="333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BC76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2023年度工作目标以国家建设法规和现行的标准、规范、规程为执法依据，由购买服务机构中的中高级专业人员对建设工程的施工全过程及参与工程建设的勘察、设计、施工、监理和建设单位各方质量、安全生产责任主体的行为进行安全监督检查。</w:t>
            </w:r>
          </w:p>
          <w:p w14:paraId="0C9A8E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1.日常配合质安站监督人员开展监督检查，确保按质按量完成相应的工作任务。</w:t>
            </w:r>
          </w:p>
          <w:p w14:paraId="406244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2.每年的专项检查次数不低于6次。</w:t>
            </w:r>
          </w:p>
          <w:p w14:paraId="4F2AEA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3.建筑工程质量检查合格率达到100%，加强工程质量监督，确保工程质量稳定。</w:t>
            </w:r>
          </w:p>
          <w:p w14:paraId="30CED8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4.发现隐患问题，要求项目部整改到位并复查。</w:t>
            </w:r>
          </w:p>
          <w:p w14:paraId="42C080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5.排查安全建筑工程隐患，促进安全生产建设。</w:t>
            </w:r>
          </w:p>
          <w:p w14:paraId="612DA0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6.降低安全事故发生次数。</w:t>
            </w:r>
          </w:p>
          <w:p w14:paraId="01A7908C">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7.提高辖区社会公众综合满意度。</w:t>
            </w:r>
          </w:p>
          <w:p w14:paraId="6429DEE5">
            <w:pPr>
              <w:keepNext w:val="0"/>
              <w:keepLines w:val="0"/>
              <w:widowControl/>
              <w:suppressLineNumbers w:val="0"/>
              <w:jc w:val="left"/>
              <w:textAlignment w:val="center"/>
              <w:rPr>
                <w:rFonts w:hint="default" w:ascii="Calibri" w:hAnsi="Calibri" w:cs="Calibri"/>
                <w:i w:val="0"/>
                <w:iCs w:val="0"/>
                <w:color w:val="000000"/>
                <w:sz w:val="20"/>
                <w:szCs w:val="20"/>
                <w:u w:val="none"/>
              </w:rPr>
            </w:pPr>
          </w:p>
        </w:tc>
        <w:tc>
          <w:tcPr>
            <w:tcW w:w="12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B90C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工作已完成，但资金为支付。</w:t>
            </w:r>
          </w:p>
        </w:tc>
      </w:tr>
      <w:tr w14:paraId="427D7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7F0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w:t>
            </w:r>
            <w:r>
              <w:rPr>
                <w:rStyle w:val="34"/>
                <w:rFonts w:eastAsia="宋体"/>
                <w:lang w:val="en-US" w:eastAsia="zh-CN" w:bidi="ar"/>
              </w:rPr>
              <w:br w:type="textWrapping"/>
            </w:r>
            <w:r>
              <w:rPr>
                <w:rStyle w:val="35"/>
                <w:lang w:val="en-US" w:eastAsia="zh-CN" w:bidi="ar"/>
              </w:rPr>
              <w:t>效</w:t>
            </w:r>
            <w:r>
              <w:rPr>
                <w:rStyle w:val="34"/>
                <w:rFonts w:eastAsia="宋体"/>
                <w:lang w:val="en-US" w:eastAsia="zh-CN" w:bidi="ar"/>
              </w:rPr>
              <w:br w:type="textWrapping"/>
            </w:r>
            <w:r>
              <w:rPr>
                <w:rStyle w:val="35"/>
                <w:lang w:val="en-US" w:eastAsia="zh-CN" w:bidi="ar"/>
              </w:rPr>
              <w:t>指</w:t>
            </w:r>
            <w:r>
              <w:rPr>
                <w:rStyle w:val="34"/>
                <w:rFonts w:eastAsia="宋体"/>
                <w:lang w:val="en-US" w:eastAsia="zh-CN" w:bidi="ar"/>
              </w:rPr>
              <w:br w:type="textWrapping"/>
            </w:r>
            <w:r>
              <w:rPr>
                <w:rStyle w:val="35"/>
                <w:lang w:val="en-US" w:eastAsia="zh-CN" w:bidi="ar"/>
              </w:rPr>
              <w:t>标</w:t>
            </w: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5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1A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6F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97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r>
              <w:rPr>
                <w:rStyle w:val="34"/>
                <w:rFonts w:eastAsia="宋体"/>
                <w:lang w:val="en-US" w:eastAsia="zh-CN" w:bidi="ar"/>
              </w:rPr>
              <w:br w:type="textWrapping"/>
            </w:r>
            <w:r>
              <w:rPr>
                <w:rStyle w:val="35"/>
                <w:lang w:val="en-US" w:eastAsia="zh-CN" w:bidi="ar"/>
              </w:rPr>
              <w:t>指标值</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83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w:t>
            </w:r>
            <w:r>
              <w:rPr>
                <w:rStyle w:val="34"/>
                <w:rFonts w:eastAsia="宋体"/>
                <w:lang w:val="en-US" w:eastAsia="zh-CN" w:bidi="ar"/>
              </w:rPr>
              <w:br w:type="textWrapping"/>
            </w:r>
            <w:r>
              <w:rPr>
                <w:rStyle w:val="35"/>
                <w:lang w:val="en-US" w:eastAsia="zh-CN" w:bidi="ar"/>
              </w:rPr>
              <w:t>完成值</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1E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w:t>
            </w:r>
            <w:r>
              <w:rPr>
                <w:rStyle w:val="34"/>
                <w:rFonts w:eastAsia="宋体"/>
                <w:lang w:val="en-US" w:eastAsia="zh-CN" w:bidi="ar"/>
              </w:rPr>
              <w:br w:type="textWrapping"/>
            </w:r>
            <w:r>
              <w:rPr>
                <w:rStyle w:val="35"/>
                <w:lang w:val="en-US" w:eastAsia="zh-CN" w:bidi="ar"/>
              </w:rPr>
              <w:t>及改进措施</w:t>
            </w:r>
          </w:p>
        </w:tc>
      </w:tr>
      <w:tr w14:paraId="47751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713FD">
            <w:pPr>
              <w:jc w:val="center"/>
              <w:rPr>
                <w:rFonts w:hint="eastAsia" w:ascii="宋体" w:hAnsi="宋体" w:eastAsia="宋体" w:cs="宋体"/>
                <w:i w:val="0"/>
                <w:iCs w:val="0"/>
                <w:color w:val="000000"/>
                <w:sz w:val="20"/>
                <w:szCs w:val="20"/>
                <w:u w:val="none"/>
              </w:rPr>
            </w:pPr>
          </w:p>
        </w:tc>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97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r>
              <w:rPr>
                <w:rStyle w:val="34"/>
                <w:rFonts w:eastAsia="宋体"/>
                <w:lang w:val="en-US" w:eastAsia="zh-CN" w:bidi="ar"/>
              </w:rPr>
              <w:t>50</w:t>
            </w:r>
            <w:r>
              <w:rPr>
                <w:rStyle w:val="36"/>
                <w:lang w:val="en-US" w:eastAsia="zh-CN" w:bidi="ar"/>
              </w:rPr>
              <w:t>％</w:t>
            </w:r>
            <w:r>
              <w:rPr>
                <w:rStyle w:val="35"/>
                <w:lang w:val="en-US" w:eastAsia="zh-CN" w:bidi="ar"/>
              </w:rPr>
              <w:t>）</w:t>
            </w:r>
          </w:p>
        </w:tc>
        <w:tc>
          <w:tcPr>
            <w:tcW w:w="893" w:type="pct"/>
            <w:vMerge w:val="restart"/>
            <w:tcBorders>
              <w:top w:val="single" w:color="000000" w:sz="4" w:space="0"/>
              <w:left w:val="single" w:color="000000" w:sz="4" w:space="0"/>
              <w:right w:val="single" w:color="000000" w:sz="4" w:space="0"/>
            </w:tcBorders>
            <w:shd w:val="clear" w:color="auto" w:fill="auto"/>
            <w:vAlign w:val="center"/>
          </w:tcPr>
          <w:p w14:paraId="3279C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32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分组检查次数</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C68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144次/</w:t>
            </w:r>
            <w:r>
              <w:rPr>
                <w:rFonts w:hint="eastAsia" w:ascii="宋体" w:hAnsi="宋体" w:cs="宋体"/>
                <w:i w:val="0"/>
                <w:iCs w:val="0"/>
                <w:color w:val="000000"/>
                <w:kern w:val="0"/>
                <w:sz w:val="20"/>
                <w:szCs w:val="20"/>
                <w:u w:val="none"/>
                <w:lang w:val="en-US" w:eastAsia="zh-CN" w:bidi="ar"/>
              </w:rPr>
              <w:t>年</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4A5B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144次/</w:t>
            </w:r>
            <w:r>
              <w:rPr>
                <w:rFonts w:hint="eastAsia" w:ascii="宋体" w:hAnsi="宋体" w:cs="宋体"/>
                <w:i w:val="0"/>
                <w:iCs w:val="0"/>
                <w:color w:val="000000"/>
                <w:kern w:val="0"/>
                <w:sz w:val="20"/>
                <w:szCs w:val="20"/>
                <w:u w:val="none"/>
                <w:lang w:val="en-US" w:eastAsia="zh-CN" w:bidi="ar"/>
              </w:rPr>
              <w:t>年</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D8A1A">
            <w:pPr>
              <w:jc w:val="center"/>
              <w:rPr>
                <w:rFonts w:hint="default" w:ascii="Calibri" w:hAnsi="Calibri" w:cs="Calibri"/>
                <w:i w:val="0"/>
                <w:iCs w:val="0"/>
                <w:color w:val="000000"/>
                <w:sz w:val="20"/>
                <w:szCs w:val="20"/>
                <w:u w:val="none"/>
              </w:rPr>
            </w:pPr>
          </w:p>
        </w:tc>
      </w:tr>
      <w:tr w14:paraId="0B119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1C67F">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8CDA7">
            <w:pPr>
              <w:jc w:val="center"/>
              <w:rPr>
                <w:rFonts w:hint="eastAsia" w:ascii="宋体" w:hAnsi="宋体" w:eastAsia="宋体" w:cs="宋体"/>
                <w:i w:val="0"/>
                <w:iCs w:val="0"/>
                <w:color w:val="000000"/>
                <w:sz w:val="20"/>
                <w:szCs w:val="20"/>
                <w:u w:val="none"/>
              </w:rPr>
            </w:pPr>
          </w:p>
        </w:tc>
        <w:tc>
          <w:tcPr>
            <w:tcW w:w="893" w:type="pct"/>
            <w:vMerge w:val="continue"/>
            <w:tcBorders>
              <w:left w:val="single" w:color="000000" w:sz="4" w:space="0"/>
              <w:right w:val="single" w:color="000000" w:sz="4" w:space="0"/>
            </w:tcBorders>
            <w:shd w:val="clear" w:color="auto" w:fill="auto"/>
            <w:vAlign w:val="center"/>
          </w:tcPr>
          <w:p w14:paraId="6DA2B420">
            <w:pPr>
              <w:jc w:val="center"/>
              <w:rPr>
                <w:rFonts w:hint="eastAsia" w:ascii="宋体" w:hAnsi="宋体" w:eastAsia="宋体" w:cs="宋体"/>
                <w:i w:val="0"/>
                <w:iCs w:val="0"/>
                <w:color w:val="000000"/>
                <w:sz w:val="20"/>
                <w:szCs w:val="20"/>
                <w:u w:val="none"/>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26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专项检查次数</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111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次/</w:t>
            </w:r>
            <w:r>
              <w:rPr>
                <w:rFonts w:hint="eastAsia" w:ascii="宋体" w:hAnsi="宋体" w:cs="宋体"/>
                <w:i w:val="0"/>
                <w:iCs w:val="0"/>
                <w:color w:val="000000"/>
                <w:kern w:val="0"/>
                <w:sz w:val="20"/>
                <w:szCs w:val="20"/>
                <w:u w:val="none"/>
                <w:lang w:val="en-US" w:eastAsia="zh-CN" w:bidi="ar"/>
              </w:rPr>
              <w:t>年</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EEB2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次/</w:t>
            </w:r>
            <w:r>
              <w:rPr>
                <w:rFonts w:hint="eastAsia" w:ascii="宋体" w:hAnsi="宋体" w:cs="宋体"/>
                <w:i w:val="0"/>
                <w:iCs w:val="0"/>
                <w:color w:val="000000"/>
                <w:kern w:val="0"/>
                <w:sz w:val="20"/>
                <w:szCs w:val="20"/>
                <w:u w:val="none"/>
                <w:lang w:val="en-US" w:eastAsia="zh-CN" w:bidi="ar"/>
              </w:rPr>
              <w:t>年</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9D8D">
            <w:pPr>
              <w:jc w:val="center"/>
              <w:rPr>
                <w:rFonts w:hint="default" w:ascii="Calibri" w:hAnsi="Calibri" w:cs="Calibri"/>
                <w:i w:val="0"/>
                <w:iCs w:val="0"/>
                <w:color w:val="000000"/>
                <w:sz w:val="20"/>
                <w:szCs w:val="20"/>
                <w:u w:val="none"/>
              </w:rPr>
            </w:pPr>
          </w:p>
        </w:tc>
      </w:tr>
      <w:tr w14:paraId="1106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0C4CE">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6FA6F">
            <w:pPr>
              <w:jc w:val="center"/>
              <w:rPr>
                <w:rFonts w:hint="eastAsia" w:ascii="宋体" w:hAnsi="宋体" w:eastAsia="宋体" w:cs="宋体"/>
                <w:i w:val="0"/>
                <w:iCs w:val="0"/>
                <w:color w:val="000000"/>
                <w:sz w:val="20"/>
                <w:szCs w:val="20"/>
                <w:u w:val="none"/>
              </w:rPr>
            </w:pPr>
          </w:p>
        </w:tc>
        <w:tc>
          <w:tcPr>
            <w:tcW w:w="893" w:type="pct"/>
            <w:vMerge w:val="restart"/>
            <w:tcBorders>
              <w:top w:val="single" w:color="000000" w:sz="4" w:space="0"/>
              <w:left w:val="single" w:color="000000" w:sz="4" w:space="0"/>
              <w:right w:val="single" w:color="000000" w:sz="4" w:space="0"/>
            </w:tcBorders>
            <w:shd w:val="clear" w:color="auto" w:fill="auto"/>
            <w:vAlign w:val="center"/>
          </w:tcPr>
          <w:p w14:paraId="2CA37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ED8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隐患问题复查率</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E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4903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5B7B3">
            <w:pPr>
              <w:jc w:val="center"/>
              <w:rPr>
                <w:rFonts w:hint="default" w:ascii="Calibri" w:hAnsi="Calibri" w:cs="Calibri"/>
                <w:i w:val="0"/>
                <w:iCs w:val="0"/>
                <w:color w:val="000000"/>
                <w:sz w:val="20"/>
                <w:szCs w:val="20"/>
                <w:u w:val="none"/>
              </w:rPr>
            </w:pPr>
          </w:p>
        </w:tc>
      </w:tr>
      <w:tr w14:paraId="370D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DAED4">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E33E5">
            <w:pPr>
              <w:jc w:val="center"/>
              <w:rPr>
                <w:rFonts w:hint="eastAsia" w:ascii="宋体" w:hAnsi="宋体" w:eastAsia="宋体" w:cs="宋体"/>
                <w:i w:val="0"/>
                <w:iCs w:val="0"/>
                <w:color w:val="000000"/>
                <w:sz w:val="20"/>
                <w:szCs w:val="20"/>
                <w:u w:val="none"/>
              </w:rPr>
            </w:pPr>
          </w:p>
        </w:tc>
        <w:tc>
          <w:tcPr>
            <w:tcW w:w="893" w:type="pct"/>
            <w:vMerge w:val="continue"/>
            <w:tcBorders>
              <w:left w:val="single" w:color="000000" w:sz="4" w:space="0"/>
              <w:right w:val="single" w:color="000000" w:sz="4" w:space="0"/>
            </w:tcBorders>
            <w:shd w:val="clear" w:color="auto" w:fill="auto"/>
            <w:vAlign w:val="center"/>
          </w:tcPr>
          <w:p w14:paraId="334A67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C22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建筑工程质量检查合格率</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C3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9B9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49982">
            <w:pPr>
              <w:jc w:val="center"/>
              <w:rPr>
                <w:rFonts w:hint="default" w:ascii="Calibri" w:hAnsi="Calibri" w:cs="Calibri"/>
                <w:i w:val="0"/>
                <w:iCs w:val="0"/>
                <w:color w:val="000000"/>
                <w:sz w:val="20"/>
                <w:szCs w:val="20"/>
                <w:u w:val="none"/>
              </w:rPr>
            </w:pPr>
          </w:p>
        </w:tc>
      </w:tr>
      <w:tr w14:paraId="06772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F07B1">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A3784">
            <w:pPr>
              <w:jc w:val="center"/>
              <w:rPr>
                <w:rFonts w:hint="eastAsia" w:ascii="宋体" w:hAnsi="宋体" w:eastAsia="宋体" w:cs="宋体"/>
                <w:i w:val="0"/>
                <w:iCs w:val="0"/>
                <w:color w:val="000000"/>
                <w:sz w:val="20"/>
                <w:szCs w:val="20"/>
                <w:u w:val="none"/>
              </w:rPr>
            </w:pPr>
          </w:p>
        </w:tc>
        <w:tc>
          <w:tcPr>
            <w:tcW w:w="893" w:type="pct"/>
            <w:vMerge w:val="continue"/>
            <w:tcBorders>
              <w:left w:val="single" w:color="000000" w:sz="4" w:space="0"/>
              <w:right w:val="single" w:color="000000" w:sz="4" w:space="0"/>
            </w:tcBorders>
            <w:shd w:val="clear" w:color="auto" w:fill="auto"/>
            <w:vAlign w:val="center"/>
          </w:tcPr>
          <w:p w14:paraId="07D176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0E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购买服务成果优良率</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96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C9FB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F4849">
            <w:pPr>
              <w:jc w:val="center"/>
              <w:rPr>
                <w:rFonts w:hint="default" w:ascii="Calibri" w:hAnsi="Calibri" w:cs="Calibri"/>
                <w:i w:val="0"/>
                <w:iCs w:val="0"/>
                <w:color w:val="000000"/>
                <w:sz w:val="20"/>
                <w:szCs w:val="20"/>
                <w:u w:val="none"/>
              </w:rPr>
            </w:pPr>
          </w:p>
        </w:tc>
      </w:tr>
      <w:tr w14:paraId="04035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13DE2">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4E352">
            <w:pPr>
              <w:jc w:val="center"/>
              <w:rPr>
                <w:rFonts w:hint="eastAsia" w:ascii="宋体" w:hAnsi="宋体" w:eastAsia="宋体" w:cs="宋体"/>
                <w:i w:val="0"/>
                <w:iCs w:val="0"/>
                <w:color w:val="000000"/>
                <w:sz w:val="20"/>
                <w:szCs w:val="20"/>
                <w:u w:val="none"/>
              </w:rPr>
            </w:pPr>
          </w:p>
        </w:tc>
        <w:tc>
          <w:tcPr>
            <w:tcW w:w="893" w:type="pct"/>
            <w:vMerge w:val="continue"/>
            <w:tcBorders>
              <w:left w:val="single" w:color="000000" w:sz="4" w:space="0"/>
              <w:bottom w:val="single" w:color="000000" w:sz="4" w:space="0"/>
              <w:right w:val="single" w:color="000000" w:sz="4" w:space="0"/>
            </w:tcBorders>
            <w:shd w:val="clear" w:color="auto" w:fill="auto"/>
            <w:vAlign w:val="center"/>
          </w:tcPr>
          <w:p w14:paraId="4506AF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A20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安全监督检查合格率</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F69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106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E204">
            <w:pPr>
              <w:jc w:val="center"/>
              <w:rPr>
                <w:rFonts w:hint="default" w:ascii="Calibri" w:hAnsi="Calibri" w:cs="Calibri"/>
                <w:i w:val="0"/>
                <w:iCs w:val="0"/>
                <w:color w:val="000000"/>
                <w:sz w:val="20"/>
                <w:szCs w:val="20"/>
                <w:u w:val="none"/>
              </w:rPr>
            </w:pPr>
          </w:p>
        </w:tc>
      </w:tr>
      <w:tr w14:paraId="5CA8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EC299">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E44C">
            <w:pPr>
              <w:jc w:val="center"/>
              <w:rPr>
                <w:rFonts w:hint="eastAsia" w:ascii="宋体" w:hAnsi="宋体" w:eastAsia="宋体" w:cs="宋体"/>
                <w:i w:val="0"/>
                <w:iCs w:val="0"/>
                <w:color w:val="000000"/>
                <w:sz w:val="20"/>
                <w:szCs w:val="20"/>
                <w:u w:val="none"/>
              </w:rPr>
            </w:pPr>
          </w:p>
        </w:tc>
        <w:tc>
          <w:tcPr>
            <w:tcW w:w="893" w:type="pct"/>
            <w:vMerge w:val="restart"/>
            <w:tcBorders>
              <w:top w:val="single" w:color="000000" w:sz="4" w:space="0"/>
              <w:left w:val="single" w:color="000000" w:sz="4" w:space="0"/>
              <w:right w:val="single" w:color="000000" w:sz="4" w:space="0"/>
            </w:tcBorders>
            <w:shd w:val="clear" w:color="auto" w:fill="auto"/>
            <w:vAlign w:val="center"/>
          </w:tcPr>
          <w:p w14:paraId="0AD3E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5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服务成果提交及时率</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D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9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457C6">
            <w:pPr>
              <w:jc w:val="center"/>
              <w:rPr>
                <w:rFonts w:hint="default" w:ascii="Calibri" w:hAnsi="Calibri" w:cs="Calibri"/>
                <w:i w:val="0"/>
                <w:iCs w:val="0"/>
                <w:color w:val="000000"/>
                <w:sz w:val="20"/>
                <w:szCs w:val="20"/>
                <w:u w:val="none"/>
              </w:rPr>
            </w:pPr>
          </w:p>
        </w:tc>
      </w:tr>
      <w:tr w14:paraId="45071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A24C6">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DCBDA">
            <w:pPr>
              <w:jc w:val="center"/>
              <w:rPr>
                <w:rFonts w:hint="eastAsia" w:ascii="宋体" w:hAnsi="宋体" w:eastAsia="宋体" w:cs="宋体"/>
                <w:i w:val="0"/>
                <w:iCs w:val="0"/>
                <w:color w:val="000000"/>
                <w:sz w:val="20"/>
                <w:szCs w:val="20"/>
                <w:u w:val="none"/>
              </w:rPr>
            </w:pPr>
          </w:p>
        </w:tc>
        <w:tc>
          <w:tcPr>
            <w:tcW w:w="893" w:type="pct"/>
            <w:vMerge w:val="continue"/>
            <w:tcBorders>
              <w:left w:val="single" w:color="000000" w:sz="4" w:space="0"/>
              <w:bottom w:val="single" w:color="000000" w:sz="4" w:space="0"/>
              <w:right w:val="single" w:color="000000" w:sz="4" w:space="0"/>
            </w:tcBorders>
            <w:shd w:val="clear" w:color="auto" w:fill="auto"/>
            <w:vAlign w:val="center"/>
          </w:tcPr>
          <w:p w14:paraId="2FD505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851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项目完成及时率</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E0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45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3160">
            <w:pPr>
              <w:jc w:val="center"/>
              <w:rPr>
                <w:rFonts w:hint="default" w:ascii="Calibri" w:hAnsi="Calibri" w:cs="Calibri"/>
                <w:i w:val="0"/>
                <w:iCs w:val="0"/>
                <w:color w:val="000000"/>
                <w:sz w:val="20"/>
                <w:szCs w:val="20"/>
                <w:u w:val="none"/>
              </w:rPr>
            </w:pPr>
          </w:p>
        </w:tc>
      </w:tr>
      <w:tr w14:paraId="0FCC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B23D5">
            <w:pPr>
              <w:jc w:val="center"/>
              <w:rPr>
                <w:rFonts w:hint="eastAsia" w:ascii="宋体" w:hAnsi="宋体" w:eastAsia="宋体" w:cs="宋体"/>
                <w:i w:val="0"/>
                <w:iCs w:val="0"/>
                <w:color w:val="000000"/>
                <w:sz w:val="20"/>
                <w:szCs w:val="20"/>
                <w:u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F9457">
            <w:pPr>
              <w:jc w:val="center"/>
              <w:rPr>
                <w:rFonts w:hint="eastAsia" w:ascii="宋体" w:hAnsi="宋体" w:eastAsia="宋体" w:cs="宋体"/>
                <w:i w:val="0"/>
                <w:iCs w:val="0"/>
                <w:color w:val="000000"/>
                <w:sz w:val="20"/>
                <w:szCs w:val="20"/>
                <w:u w:val="none"/>
              </w:rPr>
            </w:pP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44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2F68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经济成本指标</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E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小于年度预算批复</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4454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小于年度预算批复</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1E756">
            <w:pPr>
              <w:jc w:val="left"/>
              <w:rPr>
                <w:rFonts w:hint="eastAsia" w:ascii="宋体" w:hAnsi="宋体" w:eastAsia="宋体" w:cs="宋体"/>
                <w:i w:val="0"/>
                <w:iCs w:val="0"/>
                <w:color w:val="000000"/>
                <w:sz w:val="20"/>
                <w:szCs w:val="20"/>
                <w:u w:val="none"/>
              </w:rPr>
            </w:pPr>
          </w:p>
        </w:tc>
      </w:tr>
      <w:tr w14:paraId="29AF0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355F0">
            <w:pPr>
              <w:jc w:val="center"/>
              <w:rPr>
                <w:rFonts w:hint="eastAsia" w:ascii="宋体" w:hAnsi="宋体" w:eastAsia="宋体" w:cs="宋体"/>
                <w:i w:val="0"/>
                <w:iCs w:val="0"/>
                <w:color w:val="000000"/>
                <w:sz w:val="20"/>
                <w:szCs w:val="20"/>
                <w:u w:val="none"/>
              </w:rPr>
            </w:pPr>
          </w:p>
        </w:tc>
        <w:tc>
          <w:tcPr>
            <w:tcW w:w="453" w:type="pct"/>
            <w:vMerge w:val="restart"/>
            <w:tcBorders>
              <w:top w:val="single" w:color="000000" w:sz="4" w:space="0"/>
              <w:left w:val="single" w:color="000000" w:sz="4" w:space="0"/>
              <w:right w:val="single" w:color="000000" w:sz="4" w:space="0"/>
            </w:tcBorders>
            <w:shd w:val="clear" w:color="auto" w:fill="auto"/>
            <w:vAlign w:val="center"/>
          </w:tcPr>
          <w:p w14:paraId="4CB2AF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r>
              <w:rPr>
                <w:rStyle w:val="34"/>
                <w:rFonts w:eastAsia="宋体"/>
                <w:lang w:val="en-US" w:eastAsia="zh-CN" w:bidi="ar"/>
              </w:rPr>
              <w:t>30</w:t>
            </w:r>
            <w:r>
              <w:rPr>
                <w:rStyle w:val="35"/>
                <w:lang w:val="en-US" w:eastAsia="zh-CN" w:bidi="ar"/>
              </w:rPr>
              <w:t>％）</w:t>
            </w:r>
          </w:p>
        </w:tc>
        <w:tc>
          <w:tcPr>
            <w:tcW w:w="893" w:type="pct"/>
            <w:vMerge w:val="restart"/>
            <w:tcBorders>
              <w:top w:val="single" w:color="000000" w:sz="4" w:space="0"/>
              <w:left w:val="single" w:color="000000" w:sz="4" w:space="0"/>
              <w:right w:val="single" w:color="000000" w:sz="4" w:space="0"/>
            </w:tcBorders>
            <w:shd w:val="clear" w:color="auto" w:fill="auto"/>
            <w:vAlign w:val="center"/>
          </w:tcPr>
          <w:p w14:paraId="793A2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r>
              <w:rPr>
                <w:rStyle w:val="34"/>
                <w:rFonts w:eastAsia="宋体"/>
                <w:lang w:val="en-US" w:eastAsia="zh-CN" w:bidi="ar"/>
              </w:rPr>
              <w:br w:type="textWrapping"/>
            </w:r>
            <w:r>
              <w:rPr>
                <w:rStyle w:val="35"/>
                <w:lang w:val="en-US" w:eastAsia="zh-CN" w:bidi="ar"/>
              </w:rPr>
              <w:t>指标</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F4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重大安全事故发生次数</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E51D">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rPr>
              <w:t>0</w:t>
            </w:r>
            <w:r>
              <w:rPr>
                <w:rFonts w:hint="eastAsia" w:ascii="宋体" w:hAnsi="宋体" w:cs="宋体"/>
                <w:i w:val="0"/>
                <w:iCs w:val="0"/>
                <w:color w:val="000000"/>
                <w:sz w:val="20"/>
                <w:szCs w:val="20"/>
                <w:u w:val="none"/>
                <w:lang w:val="en-US" w:eastAsia="zh-CN"/>
              </w:rPr>
              <w:t>次</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9C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0</w:t>
            </w:r>
            <w:r>
              <w:rPr>
                <w:rFonts w:hint="eastAsia" w:ascii="宋体" w:hAnsi="宋体" w:cs="宋体"/>
                <w:i w:val="0"/>
                <w:iCs w:val="0"/>
                <w:color w:val="000000"/>
                <w:sz w:val="20"/>
                <w:szCs w:val="20"/>
                <w:u w:val="none"/>
                <w:lang w:val="en-US" w:eastAsia="zh-CN"/>
              </w:rPr>
              <w:t>次</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B2B6C">
            <w:pPr>
              <w:jc w:val="center"/>
              <w:rPr>
                <w:rFonts w:hint="default" w:ascii="Calibri" w:hAnsi="Calibri" w:cs="Calibri"/>
                <w:i w:val="0"/>
                <w:iCs w:val="0"/>
                <w:color w:val="000000"/>
                <w:sz w:val="20"/>
                <w:szCs w:val="20"/>
                <w:u w:val="none"/>
              </w:rPr>
            </w:pPr>
          </w:p>
        </w:tc>
      </w:tr>
      <w:tr w14:paraId="1AED7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3DC0">
            <w:pPr>
              <w:jc w:val="center"/>
              <w:rPr>
                <w:rFonts w:hint="eastAsia" w:ascii="宋体" w:hAnsi="宋体" w:eastAsia="宋体" w:cs="宋体"/>
                <w:i w:val="0"/>
                <w:iCs w:val="0"/>
                <w:color w:val="000000"/>
                <w:sz w:val="20"/>
                <w:szCs w:val="20"/>
                <w:u w:val="none"/>
              </w:rPr>
            </w:pPr>
          </w:p>
        </w:tc>
        <w:tc>
          <w:tcPr>
            <w:tcW w:w="453" w:type="pct"/>
            <w:vMerge w:val="continue"/>
            <w:tcBorders>
              <w:left w:val="single" w:color="000000" w:sz="4" w:space="0"/>
              <w:right w:val="single" w:color="000000" w:sz="4" w:space="0"/>
            </w:tcBorders>
            <w:shd w:val="clear" w:color="auto" w:fill="auto"/>
            <w:vAlign w:val="center"/>
          </w:tcPr>
          <w:p w14:paraId="3E0342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93" w:type="pct"/>
            <w:vMerge w:val="continue"/>
            <w:tcBorders>
              <w:left w:val="single" w:color="000000" w:sz="4" w:space="0"/>
              <w:right w:val="single" w:color="000000" w:sz="4" w:space="0"/>
            </w:tcBorders>
            <w:shd w:val="clear" w:color="auto" w:fill="auto"/>
            <w:vAlign w:val="center"/>
          </w:tcPr>
          <w:p w14:paraId="45B20B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39F0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排查安全建筑工程隐患，促进安全生产建设</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D1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效果良好</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09E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效果良好</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6BDB">
            <w:pPr>
              <w:jc w:val="center"/>
              <w:rPr>
                <w:rFonts w:hint="default" w:ascii="Calibri" w:hAnsi="Calibri" w:cs="Calibri"/>
                <w:i w:val="0"/>
                <w:iCs w:val="0"/>
                <w:color w:val="000000"/>
                <w:sz w:val="20"/>
                <w:szCs w:val="20"/>
                <w:u w:val="none"/>
              </w:rPr>
            </w:pPr>
          </w:p>
        </w:tc>
      </w:tr>
      <w:tr w14:paraId="09C30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23268">
            <w:pPr>
              <w:jc w:val="center"/>
              <w:rPr>
                <w:rFonts w:hint="eastAsia" w:ascii="宋体" w:hAnsi="宋体" w:eastAsia="宋体" w:cs="宋体"/>
                <w:i w:val="0"/>
                <w:iCs w:val="0"/>
                <w:color w:val="000000"/>
                <w:sz w:val="20"/>
                <w:szCs w:val="20"/>
                <w:u w:val="none"/>
              </w:rPr>
            </w:pPr>
          </w:p>
        </w:tc>
        <w:tc>
          <w:tcPr>
            <w:tcW w:w="453" w:type="pct"/>
            <w:vMerge w:val="continue"/>
            <w:tcBorders>
              <w:left w:val="single" w:color="000000" w:sz="4" w:space="0"/>
              <w:bottom w:val="single" w:color="000000" w:sz="4" w:space="0"/>
              <w:right w:val="single" w:color="000000" w:sz="4" w:space="0"/>
            </w:tcBorders>
            <w:shd w:val="clear" w:color="auto" w:fill="auto"/>
            <w:vAlign w:val="center"/>
          </w:tcPr>
          <w:p w14:paraId="6311B6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893" w:type="pct"/>
            <w:vMerge w:val="continue"/>
            <w:tcBorders>
              <w:left w:val="single" w:color="000000" w:sz="4" w:space="0"/>
              <w:bottom w:val="nil"/>
              <w:right w:val="single" w:color="000000" w:sz="4" w:space="0"/>
            </w:tcBorders>
            <w:shd w:val="clear" w:color="auto" w:fill="auto"/>
            <w:vAlign w:val="center"/>
          </w:tcPr>
          <w:p w14:paraId="2F4101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25CC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加强工程质量监督，确保工程质量稳定</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94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效果良好</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F741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效果良好</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B71C8">
            <w:pPr>
              <w:jc w:val="center"/>
              <w:rPr>
                <w:rFonts w:hint="default" w:ascii="Calibri" w:hAnsi="Calibri" w:cs="Calibri"/>
                <w:i w:val="0"/>
                <w:iCs w:val="0"/>
                <w:color w:val="000000"/>
                <w:sz w:val="20"/>
                <w:szCs w:val="20"/>
                <w:u w:val="none"/>
              </w:rPr>
            </w:pPr>
          </w:p>
        </w:tc>
      </w:tr>
      <w:tr w14:paraId="7146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C2BD9">
            <w:pPr>
              <w:jc w:val="center"/>
              <w:rPr>
                <w:rFonts w:hint="eastAsia" w:ascii="宋体" w:hAnsi="宋体" w:eastAsia="宋体" w:cs="宋体"/>
                <w:i w:val="0"/>
                <w:iCs w:val="0"/>
                <w:color w:val="000000"/>
                <w:sz w:val="20"/>
                <w:szCs w:val="20"/>
                <w:u w:val="none"/>
              </w:rPr>
            </w:pPr>
          </w:p>
        </w:tc>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70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w:t>
            </w:r>
            <w:r>
              <w:rPr>
                <w:rStyle w:val="34"/>
                <w:rFonts w:eastAsia="宋体"/>
                <w:lang w:val="en-US" w:eastAsia="zh-CN" w:bidi="ar"/>
              </w:rPr>
              <w:br w:type="textWrapping"/>
            </w:r>
            <w:r>
              <w:rPr>
                <w:rStyle w:val="35"/>
                <w:lang w:val="en-US" w:eastAsia="zh-CN" w:bidi="ar"/>
              </w:rPr>
              <w:t>指标（</w:t>
            </w:r>
            <w:r>
              <w:rPr>
                <w:rStyle w:val="34"/>
                <w:rFonts w:eastAsia="宋体"/>
                <w:lang w:val="en-US" w:eastAsia="zh-CN" w:bidi="ar"/>
              </w:rPr>
              <w:t>1</w:t>
            </w:r>
            <w:r>
              <w:rPr>
                <w:rStyle w:val="35"/>
                <w:lang w:val="en-US" w:eastAsia="zh-CN" w:bidi="ar"/>
              </w:rPr>
              <w:t>0％）</w:t>
            </w:r>
          </w:p>
        </w:tc>
        <w:tc>
          <w:tcPr>
            <w:tcW w:w="8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17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w:t>
            </w:r>
            <w:r>
              <w:rPr>
                <w:rStyle w:val="34"/>
                <w:rFonts w:eastAsia="宋体"/>
                <w:lang w:val="en-US" w:eastAsia="zh-CN" w:bidi="ar"/>
              </w:rPr>
              <w:br w:type="textWrapping"/>
            </w:r>
            <w:r>
              <w:rPr>
                <w:rStyle w:val="35"/>
                <w:lang w:val="en-US" w:eastAsia="zh-CN" w:bidi="ar"/>
              </w:rPr>
              <w:t>满意度指</w:t>
            </w:r>
            <w:r>
              <w:rPr>
                <w:rStyle w:val="34"/>
                <w:rFonts w:eastAsia="宋体"/>
                <w:lang w:val="en-US" w:eastAsia="zh-CN" w:bidi="ar"/>
              </w:rPr>
              <w:br w:type="textWrapping"/>
            </w:r>
            <w:r>
              <w:rPr>
                <w:rStyle w:val="35"/>
                <w:lang w:val="en-US" w:eastAsia="zh-CN" w:bidi="ar"/>
              </w:rPr>
              <w:t>标</w:t>
            </w:r>
          </w:p>
        </w:tc>
        <w:tc>
          <w:tcPr>
            <w:tcW w:w="9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A09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人民群众满意度</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5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6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F6266">
            <w:pPr>
              <w:jc w:val="center"/>
              <w:rPr>
                <w:rFonts w:hint="default" w:ascii="Calibri" w:hAnsi="Calibri" w:cs="Calibri"/>
                <w:i w:val="0"/>
                <w:iCs w:val="0"/>
                <w:color w:val="000000"/>
                <w:sz w:val="20"/>
                <w:szCs w:val="20"/>
                <w:u w:val="none"/>
              </w:rPr>
            </w:pPr>
          </w:p>
        </w:tc>
      </w:tr>
    </w:tbl>
    <w:p w14:paraId="43B79789">
      <w:pPr>
        <w:pStyle w:val="2"/>
        <w:rPr>
          <w:rFonts w:hint="eastAsia"/>
        </w:rPr>
      </w:pPr>
    </w:p>
    <w:p w14:paraId="2165EC1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（三）绩效评价工作过程。</w:t>
      </w:r>
    </w:p>
    <w:p w14:paraId="30F17E8A">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资金管理：包括拨付资金是否及时、基础数据是否准确，县财政下达专项资金是否及时，县财政部门是否安排补助资金，以及资金管理是否合法合规等。</w:t>
      </w:r>
    </w:p>
    <w:p w14:paraId="429955BA">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管理：一是制定项目实施方案，以国家建设法规和现行的标准、规范、规程为执法依据，由购买服务机构中的中高级专业人员对建设工程的施工全过程及参与工程建设的勘察、设计、施工、监理和建设单位各方质量、安全生产责任主体的行为进行安全监督检查。二是制定资金管理办法。根据实际情况制定项目资金管理办法，要求项目资金专款专用、专账核算。</w:t>
      </w:r>
    </w:p>
    <w:p w14:paraId="70CFFCBB">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项目效益：包括资金到位情况、资金兑付情况、工程验收情况等。</w:t>
      </w:r>
    </w:p>
    <w:p w14:paraId="4C28A3F1">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tbl>
      <w:tblPr>
        <w:tblStyle w:val="16"/>
        <w:tblpPr w:leftFromText="180" w:rightFromText="180" w:vertAnchor="text" w:horzAnchor="page" w:tblpXSpec="center" w:tblpY="258"/>
        <w:tblOverlap w:val="never"/>
        <w:tblW w:w="90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3"/>
        <w:gridCol w:w="748"/>
        <w:gridCol w:w="1597"/>
        <w:gridCol w:w="621"/>
        <w:gridCol w:w="2516"/>
        <w:gridCol w:w="1334"/>
        <w:gridCol w:w="790"/>
      </w:tblGrid>
      <w:tr w14:paraId="6D633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6F9B2E2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tcBorders>
              <w:top w:val="single" w:color="000000" w:sz="4" w:space="0"/>
              <w:left w:val="single" w:color="000000" w:sz="4" w:space="0"/>
              <w:right w:val="single" w:color="000000" w:sz="4" w:space="0"/>
            </w:tcBorders>
            <w:noWrap w:val="0"/>
            <w:vAlign w:val="center"/>
          </w:tcPr>
          <w:p w14:paraId="107EC79A">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7810F5B">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EE21C3B">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603877D">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80BA493">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932317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69BCB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5CB79BC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决策</w:t>
            </w:r>
          </w:p>
          <w:p w14:paraId="1EE154E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restart"/>
            <w:tcBorders>
              <w:top w:val="single" w:color="000000" w:sz="4" w:space="0"/>
              <w:left w:val="single" w:color="000000" w:sz="4" w:space="0"/>
              <w:right w:val="single" w:color="000000" w:sz="4" w:space="0"/>
            </w:tcBorders>
            <w:noWrap w:val="0"/>
            <w:vAlign w:val="center"/>
          </w:tcPr>
          <w:p w14:paraId="232DCFD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31ED473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2E73E82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2CB60FE6">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立项依据充分性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E3B057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BE9CD6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2F7B8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F6AC2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15D84E0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4AF6D71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5E5E5D0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D464BF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立项程序规范性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9CBB88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813B80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AF87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C94F8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10B0054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0BF9BD0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绩效目标</w:t>
            </w:r>
          </w:p>
        </w:tc>
        <w:tc>
          <w:tcPr>
            <w:tcW w:w="621" w:type="dxa"/>
            <w:vMerge w:val="restart"/>
            <w:tcBorders>
              <w:left w:val="single" w:color="000000" w:sz="4" w:space="0"/>
              <w:right w:val="single" w:color="000000" w:sz="4" w:space="0"/>
            </w:tcBorders>
            <w:noWrap w:val="0"/>
            <w:vAlign w:val="center"/>
          </w:tcPr>
          <w:p w14:paraId="003997A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1264749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绩效目标合理性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4B649DA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C5C976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446B2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0A04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667B1F8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57A9CA6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6DFF05F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C50C7E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6D5104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8B4418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3684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FB2C28">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4A662B5B">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7C347C2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662BB42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0E09C3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89B4F2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D159C3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5DB9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77828581">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bottom w:val="single" w:color="auto" w:sz="4" w:space="0"/>
              <w:right w:val="single" w:color="000000" w:sz="4" w:space="0"/>
            </w:tcBorders>
            <w:noWrap w:val="0"/>
            <w:vAlign w:val="center"/>
          </w:tcPr>
          <w:p w14:paraId="49F8581D">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26D0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FDF80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266FD4D">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36BCE9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517251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4A5FF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7E2D17F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vMerge w:val="continue"/>
            <w:tcBorders>
              <w:top w:val="single" w:color="auto" w:sz="4" w:space="0"/>
              <w:left w:val="single" w:color="000000" w:sz="4" w:space="0"/>
              <w:right w:val="single" w:color="000000" w:sz="4" w:space="0"/>
            </w:tcBorders>
            <w:noWrap w:val="0"/>
            <w:vAlign w:val="center"/>
          </w:tcPr>
          <w:p w14:paraId="5F2323B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E5E8F33">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1C972DC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48B8FAC">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6FB924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097EAF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CDA7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2C30B0">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7ECF06C6">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D695AB">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B0E744">
            <w:pPr>
              <w:spacing w:line="300" w:lineRule="exact"/>
              <w:ind w:left="0" w:leftChars="0" w:right="0" w:rightChars="0" w:firstLine="0" w:firstLineChars="0"/>
              <w:jc w:val="center"/>
              <w:rPr>
                <w:rFonts w:hint="eastAsia" w:ascii="宋体" w:hAnsi="宋体" w:eastAsia="宋体"/>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E26B066">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6B5B7A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29DEE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561C8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FB20FA">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190D8E7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5E35008">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39DACD8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A7579AF">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4D4063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E82FA1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8</w:t>
            </w:r>
          </w:p>
        </w:tc>
      </w:tr>
      <w:tr w14:paraId="19F1C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99D83C">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right w:val="single" w:color="000000" w:sz="4" w:space="0"/>
            </w:tcBorders>
            <w:noWrap w:val="0"/>
            <w:vAlign w:val="center"/>
          </w:tcPr>
          <w:p w14:paraId="37B02FB1">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44F28E0E">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　</w:t>
            </w:r>
          </w:p>
        </w:tc>
        <w:tc>
          <w:tcPr>
            <w:tcW w:w="621" w:type="dxa"/>
            <w:vMerge w:val="restart"/>
            <w:tcBorders>
              <w:top w:val="single" w:color="000000" w:sz="4" w:space="0"/>
              <w:left w:val="single" w:color="000000" w:sz="4" w:space="0"/>
              <w:right w:val="single" w:color="000000" w:sz="4" w:space="0"/>
            </w:tcBorders>
            <w:noWrap w:val="0"/>
            <w:vAlign w:val="center"/>
          </w:tcPr>
          <w:p w14:paraId="56A69C56">
            <w:pPr>
              <w:autoSpaceDN w:val="0"/>
              <w:spacing w:line="300" w:lineRule="exact"/>
              <w:ind w:left="0" w:leftChars="0" w:right="0" w:rightChars="0" w:firstLine="0" w:firstLineChars="0"/>
              <w:jc w:val="center"/>
              <w:textAlignment w:val="center"/>
              <w:rPr>
                <w:rFonts w:hint="eastAsia" w:ascii="宋体" w:hAnsi="宋体" w:eastAsia="宋体"/>
                <w:sz w:val="18"/>
                <w:szCs w:val="18"/>
                <w:lang w:val="en-US" w:eastAsia="zh-CN"/>
              </w:rPr>
            </w:pPr>
            <w:r>
              <w:rPr>
                <w:rFonts w:hint="eastAsia" w:ascii="宋体" w:hAnsi="宋体"/>
                <w:sz w:val="18"/>
                <w:szCs w:val="18"/>
                <w:lang w:val="en-US" w:eastAsia="zh-CN"/>
              </w:rPr>
              <w:t>6</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0C826488">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F6DFB8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94F2D6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0D586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48C6A">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left w:val="single" w:color="000000" w:sz="4" w:space="0"/>
              <w:bottom w:val="single" w:color="000000" w:sz="4" w:space="0"/>
              <w:right w:val="single" w:color="000000" w:sz="4" w:space="0"/>
            </w:tcBorders>
            <w:noWrap w:val="0"/>
            <w:vAlign w:val="center"/>
          </w:tcPr>
          <w:p w14:paraId="430BBA8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54E7573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7F4D22E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C95AF15">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97C15C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9F4A2B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3</w:t>
            </w:r>
          </w:p>
        </w:tc>
      </w:tr>
      <w:tr w14:paraId="052C8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08127C6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vMerge w:val="restart"/>
            <w:tcBorders>
              <w:top w:val="single" w:color="000000" w:sz="4" w:space="0"/>
              <w:left w:val="single" w:color="000000" w:sz="4" w:space="0"/>
              <w:bottom w:val="single" w:color="000000" w:sz="4" w:space="0"/>
              <w:right w:val="single" w:color="000000" w:sz="4" w:space="0"/>
            </w:tcBorders>
            <w:noWrap w:val="0"/>
            <w:vAlign w:val="center"/>
          </w:tcPr>
          <w:p w14:paraId="176D93A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85685C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3523163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B32F04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分组检查次数</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26E586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8B5EA1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E76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15543F1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vMerge w:val="continue"/>
            <w:tcBorders>
              <w:left w:val="single" w:color="000000" w:sz="4" w:space="0"/>
              <w:right w:val="single" w:color="000000" w:sz="4" w:space="0"/>
            </w:tcBorders>
            <w:noWrap w:val="0"/>
            <w:vAlign w:val="center"/>
          </w:tcPr>
          <w:p w14:paraId="4E00EF4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83760C6">
            <w:pPr>
              <w:autoSpaceDN w:val="0"/>
              <w:spacing w:line="300" w:lineRule="exact"/>
              <w:ind w:left="0" w:leftChars="0" w:right="0" w:rightChars="0" w:firstLine="0" w:firstLineChars="0"/>
              <w:jc w:val="center"/>
              <w:textAlignment w:val="center"/>
              <w:rPr>
                <w:rFonts w:hint="eastAsia" w:ascii="宋体" w:hAnsi="宋体" w:eastAsia="宋体" w:cs="Times New Roman"/>
                <w:color w:val="000000"/>
                <w:kern w:val="2"/>
                <w:sz w:val="18"/>
                <w:szCs w:val="18"/>
                <w:lang w:val="en-US" w:eastAsia="zh-CN" w:bidi="ar-SA"/>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1144605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AB3BC1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专项检查次数</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74882B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F78BF4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093F5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CCC2354">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B2D45A">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D6CFD8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332F234B">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2CE545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隐患问题复查率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F7D598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07AE1C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0B102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7E08D919">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A615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F97FF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23087763">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7442F7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建筑工程质量检查合格率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755D4B8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2D86F8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1596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5478DD5">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E47D73">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BFDF5F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5CB0059">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40114B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购买服务成果优良率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148E69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DDC7A0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1BD7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2C8E3023">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ECE83F">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10A81D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产出质量</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706A0B1">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780F9E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安全监督检查合格率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1B4F6A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8AFC6A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2EEEA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C088201">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A4DD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159A7A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E52AE65">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4C8E78D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服务成果提交及时率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176EA07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1972C8C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1AF85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9DE4591">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C999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B0C23B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7C5652E7">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2936268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项目完成及时率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E1C87CF">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94301D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61DD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59A2ACBB">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1A2396">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8AF88D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产出成本</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9880114">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B658776">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经济成本指标</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3F6D85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5</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7CFF714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79E78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615AFB43">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效益</w:t>
            </w: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E226BB">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E98D6D0">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4255FDA9">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30171AE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重大安全事故发生次数</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23CC5C62">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34CBDBA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3700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6968777F">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2AE46">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F1D39E8">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E8A3D8A">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610BC4E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排查安全建筑工程隐患，促进安全生产建设</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6C0F9C3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0B96B2E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0EF2E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45DF475">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BDBF3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2F45611">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26769797">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5CDC59D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加强工程质量监督，确保工程质量稳定</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99F183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4</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2C347BB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4</w:t>
            </w:r>
          </w:p>
        </w:tc>
      </w:tr>
      <w:tr w14:paraId="66B1C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bottom w:val="single" w:color="000000" w:sz="4" w:space="0"/>
              <w:right w:val="single" w:color="000000" w:sz="4" w:space="0"/>
            </w:tcBorders>
            <w:noWrap w:val="0"/>
            <w:vAlign w:val="center"/>
          </w:tcPr>
          <w:p w14:paraId="4BEE6EA2">
            <w:pPr>
              <w:spacing w:line="300" w:lineRule="exact"/>
              <w:ind w:left="0" w:leftChars="0" w:right="0" w:rightChars="0" w:firstLine="0" w:firstLineChars="0"/>
              <w:jc w:val="center"/>
              <w:rPr>
                <w:rFonts w:hint="eastAsia" w:ascii="宋体" w:hAnsi="宋体" w:eastAsia="宋体"/>
                <w:sz w:val="18"/>
                <w:szCs w:val="18"/>
              </w:rPr>
            </w:pPr>
          </w:p>
        </w:tc>
        <w:tc>
          <w:tcPr>
            <w:tcW w:w="74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A1BEBE">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30DE19ED">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62C814D4">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default" w:ascii="宋体" w:hAnsi="宋体" w:eastAsia="宋体"/>
                <w:sz w:val="18"/>
                <w:szCs w:val="18"/>
                <w:lang w:val="en-US" w:eastAsia="zh-CN"/>
              </w:rPr>
            </w:pPr>
            <w:r>
              <w:rPr>
                <w:rFonts w:hint="eastAsia" w:ascii="宋体" w:hAnsi="宋体" w:eastAsia="宋体"/>
                <w:sz w:val="18"/>
                <w:szCs w:val="18"/>
                <w:lang w:val="en-US" w:eastAsia="zh-CN"/>
              </w:rPr>
              <w:t>10</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2FE4ED95">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社会公众或服务对象满意度</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08D2962B">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eastAsia="宋体"/>
                <w:color w:val="000000"/>
                <w:sz w:val="18"/>
                <w:szCs w:val="18"/>
                <w:lang w:val="en-US" w:eastAsia="zh-CN"/>
              </w:rPr>
              <w:t>10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D91B73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9</w:t>
            </w:r>
          </w:p>
        </w:tc>
      </w:tr>
      <w:tr w14:paraId="07554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bottom w:val="single" w:color="000000" w:sz="4" w:space="0"/>
              <w:right w:val="single" w:color="000000" w:sz="4" w:space="0"/>
            </w:tcBorders>
            <w:noWrap w:val="0"/>
            <w:vAlign w:val="center"/>
          </w:tcPr>
          <w:p w14:paraId="689E7A76">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总分</w:t>
            </w:r>
          </w:p>
        </w:tc>
        <w:tc>
          <w:tcPr>
            <w:tcW w:w="748" w:type="dxa"/>
            <w:tcBorders>
              <w:top w:val="single" w:color="000000" w:sz="4" w:space="0"/>
              <w:left w:val="single" w:color="000000" w:sz="4" w:space="0"/>
              <w:bottom w:val="single" w:color="000000" w:sz="4" w:space="0"/>
              <w:right w:val="single" w:color="000000" w:sz="4" w:space="0"/>
            </w:tcBorders>
            <w:noWrap w:val="0"/>
            <w:vAlign w:val="center"/>
          </w:tcPr>
          <w:p w14:paraId="6CCCE45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23E6395">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02F193AF">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2516" w:type="dxa"/>
            <w:tcBorders>
              <w:top w:val="single" w:color="000000" w:sz="4" w:space="0"/>
              <w:left w:val="single" w:color="000000" w:sz="4" w:space="0"/>
              <w:bottom w:val="single" w:color="000000" w:sz="4" w:space="0"/>
              <w:right w:val="single" w:color="000000" w:sz="4" w:space="0"/>
            </w:tcBorders>
            <w:noWrap w:val="0"/>
            <w:vAlign w:val="center"/>
          </w:tcPr>
          <w:p w14:paraId="7E940507">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p>
        </w:tc>
        <w:tc>
          <w:tcPr>
            <w:tcW w:w="1334" w:type="dxa"/>
            <w:tcBorders>
              <w:top w:val="single" w:color="000000" w:sz="4" w:space="0"/>
              <w:left w:val="single" w:color="000000" w:sz="4" w:space="0"/>
              <w:bottom w:val="single" w:color="000000" w:sz="4" w:space="0"/>
              <w:right w:val="single" w:color="000000" w:sz="4" w:space="0"/>
            </w:tcBorders>
            <w:noWrap w:val="0"/>
            <w:vAlign w:val="center"/>
          </w:tcPr>
          <w:p w14:paraId="38AB699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100</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4DF2F02B">
            <w:pPr>
              <w:autoSpaceDN w:val="0"/>
              <w:spacing w:line="300" w:lineRule="exact"/>
              <w:ind w:left="0" w:leftChars="0" w:right="0" w:rightChars="0" w:firstLine="0" w:firstLineChars="0"/>
              <w:jc w:val="center"/>
              <w:textAlignment w:val="center"/>
              <w:rPr>
                <w:rFonts w:hint="default" w:ascii="宋体" w:hAnsi="宋体" w:eastAsia="宋体"/>
                <w:bCs/>
                <w:color w:val="000000"/>
                <w:sz w:val="18"/>
                <w:szCs w:val="18"/>
                <w:lang w:val="en-US" w:eastAsia="zh-CN"/>
              </w:rPr>
            </w:pPr>
            <w:r>
              <w:rPr>
                <w:rFonts w:hint="eastAsia" w:ascii="宋体" w:hAnsi="宋体"/>
                <w:bCs/>
                <w:color w:val="000000"/>
                <w:sz w:val="18"/>
                <w:szCs w:val="18"/>
                <w:lang w:val="en-US" w:eastAsia="zh-CN"/>
              </w:rPr>
              <w:t>99</w:t>
            </w:r>
          </w:p>
        </w:tc>
      </w:tr>
      <w:tr w14:paraId="17BBD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088589E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606" w:type="dxa"/>
            <w:gridSpan w:val="6"/>
            <w:noWrap w:val="0"/>
            <w:vAlign w:val="center"/>
          </w:tcPr>
          <w:p w14:paraId="4F76616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52"/>
            </w:r>
            <w:r>
              <w:rPr>
                <w:rFonts w:hint="eastAsia" w:ascii="宋体" w:hAnsi="宋体" w:eastAsia="宋体" w:cs="宋体"/>
                <w:color w:val="000000"/>
                <w:kern w:val="0"/>
                <w:sz w:val="18"/>
                <w:szCs w:val="18"/>
              </w:rPr>
              <w:t xml:space="preserve">        良□       中 □       差□</w:t>
            </w:r>
          </w:p>
        </w:tc>
      </w:tr>
      <w:tr w14:paraId="49E8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40E1654A">
            <w:pPr>
              <w:spacing w:line="300" w:lineRule="exact"/>
              <w:ind w:left="0" w:leftChars="0" w:right="0" w:rightChars="0" w:firstLine="0" w:firstLineChars="0"/>
              <w:jc w:val="center"/>
              <w:rPr>
                <w:rFonts w:hint="eastAsia" w:ascii="宋体" w:hAnsi="宋体" w:eastAsia="宋体"/>
                <w:sz w:val="18"/>
                <w:szCs w:val="18"/>
              </w:rPr>
            </w:pPr>
          </w:p>
        </w:tc>
        <w:tc>
          <w:tcPr>
            <w:tcW w:w="7606" w:type="dxa"/>
            <w:gridSpan w:val="6"/>
            <w:noWrap w:val="0"/>
            <w:vAlign w:val="center"/>
          </w:tcPr>
          <w:p w14:paraId="291628D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bl>
    <w:p w14:paraId="53D52557">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eastAsia" w:ascii="黑体" w:hAnsi="黑体" w:eastAsia="黑体" w:cs="黑体"/>
          <w:color w:val="auto"/>
          <w:sz w:val="32"/>
          <w:szCs w:val="32"/>
        </w:rPr>
      </w:pPr>
    </w:p>
    <w:p w14:paraId="758F77F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14:paraId="4CC43A7D">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（一）项目决策情况分析</w:t>
      </w:r>
      <w:r>
        <w:rPr>
          <w:rFonts w:hint="eastAsia" w:ascii="仿宋_GB2312" w:hAnsi="仿宋_GB2312" w:eastAsia="仿宋_GB2312" w:cs="仿宋_GB2312"/>
          <w:color w:val="auto"/>
          <w:sz w:val="32"/>
          <w:szCs w:val="32"/>
          <w:lang w:eastAsia="zh-CN"/>
        </w:rPr>
        <w:t>。</w:t>
      </w:r>
    </w:p>
    <w:p w14:paraId="147FA840">
      <w:pPr>
        <w:pStyle w:val="5"/>
        <w:keepNext/>
        <w:keepLines/>
        <w:pageBreakBefore w:val="0"/>
        <w:widowControl/>
        <w:kinsoku/>
        <w:wordWrap/>
        <w:overflowPunct/>
        <w:topLinePunct w:val="0"/>
        <w:autoSpaceDE/>
        <w:autoSpaceDN/>
        <w:bidi w:val="0"/>
        <w:adjustRightInd/>
        <w:snapToGrid/>
        <w:spacing w:before="0" w:after="0" w:line="560" w:lineRule="exact"/>
        <w:ind w:firstLine="640" w:firstLineChars="200"/>
        <w:textAlignment w:val="auto"/>
        <w:rPr>
          <w:rFonts w:hint="eastAsia"/>
          <w:lang w:eastAsia="zh-CN"/>
        </w:rPr>
      </w:pPr>
      <w:r>
        <w:rPr>
          <w:rFonts w:hint="eastAsia" w:ascii="仿宋_GB2312" w:hAnsi="仿宋_GB2312" w:eastAsia="仿宋_GB2312" w:cs="仿宋_GB2312"/>
          <w:color w:val="auto"/>
          <w:kern w:val="2"/>
          <w:sz w:val="32"/>
          <w:szCs w:val="32"/>
          <w:lang w:val="en-US" w:eastAsia="zh-CN" w:bidi="ar-SA"/>
        </w:rPr>
        <w:t>购买建工安全生产、质量监督服务专项资金立项依据充分、程序规范。</w:t>
      </w:r>
    </w:p>
    <w:p w14:paraId="4FC66C95">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（二）项目过程情况分析</w:t>
      </w:r>
      <w:r>
        <w:rPr>
          <w:rFonts w:hint="eastAsia" w:ascii="仿宋_GB2312" w:hAnsi="仿宋_GB2312" w:eastAsia="仿宋_GB2312" w:cs="仿宋_GB2312"/>
          <w:color w:val="auto"/>
          <w:sz w:val="32"/>
          <w:szCs w:val="32"/>
          <w:lang w:eastAsia="zh-CN"/>
        </w:rPr>
        <w:t>。</w:t>
      </w:r>
    </w:p>
    <w:p w14:paraId="50272E4B">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财政资金紧张，未支付项目款；管理制度健全、制度执行有效。</w:t>
      </w:r>
    </w:p>
    <w:p w14:paraId="48D784E8">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（三）项目产出情况分析。</w:t>
      </w:r>
    </w:p>
    <w:p w14:paraId="3667B064">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1.日常配合质安站监督人员开展监督检查，确保按质按量完成相应的工作任务。</w:t>
      </w:r>
    </w:p>
    <w:p w14:paraId="78B55803">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2.每年的专项检查次数不低于6次。</w:t>
      </w:r>
    </w:p>
    <w:p w14:paraId="73BC1611">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3.建筑工程质量检查合格率达到100%，加强工程质量监督，确保工程质量稳定。</w:t>
      </w:r>
    </w:p>
    <w:p w14:paraId="1FE119DB">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4.发现隐患问题，要求项目部整改到位并复查。</w:t>
      </w:r>
    </w:p>
    <w:p w14:paraId="71C5F69D">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5.排查安全建筑工程隐患，促进安全生产建设。</w:t>
      </w:r>
    </w:p>
    <w:p w14:paraId="73F9199D">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6.降低安全事故发生次数。</w:t>
      </w:r>
    </w:p>
    <w:p w14:paraId="59C82AA0">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7.提高辖区社会公众综合满意度。</w:t>
      </w:r>
    </w:p>
    <w:p w14:paraId="496FBD90">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（四）项目效益情况分析。</w:t>
      </w:r>
    </w:p>
    <w:p w14:paraId="0B4A233F">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过购买服务的方式，对本区区域内的建设工程（包括房屋建筑和市政基础设施工程，在市政府划定的职能职责范围内）实行质量、安全监督，加大检查力度；督促区域内施工企业加强工程管理，正确执行国家建筑行业相关安全质量技术标准和规范，确保工程实体质量、安全达到有关要求；对我站深入开展业务工作、努力提高监督水平起到积极促进作用。</w:t>
      </w:r>
    </w:p>
    <w:p w14:paraId="7BACAD1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14:paraId="4BD181FD">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是我单位领导充分重视预算绩效管理工作，成立预算绩效管理工作领导小组，负责预算绩效管理工作的统一领导，要求各科室认真收集、整理工作台账，各负其责。领导小组统一、协调推进预算绩效管理工作，并将预算绩效管理工作作为日常性重要工作来抓。</w:t>
      </w:r>
    </w:p>
    <w:p w14:paraId="60A29E0A">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是结合我单位预算绩效管理工作的具体情况，健全完善预算绩效管理运行机制，强化全过程预算绩效管理。积极参加财政部门组织的预算绩效评价相关培训，并将会议精神传达到各科室和部门，不断提高提高职工的绩效评价意识，并及时组织我站预算绩效工作人员开展业务培训和学习。</w:t>
      </w:r>
    </w:p>
    <w:p w14:paraId="0A39B23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六、存在的问题及原因分析</w:t>
      </w:r>
    </w:p>
    <w:p w14:paraId="0671F1A1">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rPr>
      </w:pPr>
      <w:r>
        <w:rPr>
          <w:rFonts w:hint="eastAsia" w:ascii="仿宋_GB2312" w:hAnsi="仿宋_GB2312" w:eastAsia="仿宋_GB2312" w:cs="仿宋_GB2312"/>
          <w:color w:val="auto"/>
          <w:sz w:val="32"/>
          <w:szCs w:val="32"/>
          <w:lang w:val="en-US" w:eastAsia="zh-CN"/>
        </w:rPr>
        <w:t>昆明市五华区建设工程质量安全服务站绩效管理体系不够完善，预算与绩效管理一体化的程度有待提高。绩效指标填报不够全面，绩效指标没有紧紧围绕各项目标任务进行细化和量化。</w:t>
      </w:r>
    </w:p>
    <w:p w14:paraId="446D0B5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七、有关建议</w:t>
      </w:r>
    </w:p>
    <w:p w14:paraId="3C6E46A7">
      <w:pPr>
        <w:keepNext w:val="0"/>
        <w:keepLines w:val="0"/>
        <w:pageBreakBefore w:val="0"/>
        <w:widowControl/>
        <w:kinsoku/>
        <w:wordWrap/>
        <w:overflowPunct/>
        <w:topLinePunct w:val="0"/>
        <w:autoSpaceDE/>
        <w:autoSpaceDN/>
        <w:bidi w:val="0"/>
        <w:adjustRightInd/>
        <w:snapToGrid/>
        <w:spacing w:after="0" w:line="520" w:lineRule="exact"/>
        <w:ind w:left="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昆明市五华区建设工程质量安全服务站积极参加预算绩效管理培训并结合实际情况，汇总、对比以往年度项目预算，从而科学、有依据的做出下一年的项目资金预算，编制更为合理的预算，优化项目资金预算。</w:t>
      </w:r>
    </w:p>
    <w:p w14:paraId="59D75C4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14:paraId="4ABA0703">
      <w:pPr>
        <w:keepNext w:val="0"/>
        <w:keepLines w:val="0"/>
        <w:pageBreakBefore w:val="0"/>
        <w:widowControl/>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color w:val="auto"/>
          <w:sz w:val="32"/>
          <w:szCs w:val="32"/>
          <w:lang w:val="en-US" w:eastAsia="zh-CN"/>
        </w:rPr>
        <w:t>无。</w:t>
      </w:r>
    </w:p>
    <w:p w14:paraId="522B1918">
      <w:pPr>
        <w:pStyle w:val="2"/>
        <w:rPr>
          <w:rFonts w:hint="eastAsia"/>
          <w:lang w:eastAsia="zh-CN"/>
        </w:rPr>
      </w:pPr>
    </w:p>
    <w:p w14:paraId="29241EA1">
      <w:pPr>
        <w:pStyle w:val="2"/>
        <w:rPr>
          <w:rFonts w:hint="eastAsia"/>
          <w:lang w:eastAsia="zh-CN"/>
        </w:rPr>
      </w:pPr>
    </w:p>
    <w:p w14:paraId="259E74B1">
      <w:pPr>
        <w:pStyle w:val="2"/>
        <w:rPr>
          <w:rFonts w:hint="eastAsia"/>
          <w:lang w:eastAsia="zh-CN"/>
        </w:rPr>
      </w:pPr>
    </w:p>
    <w:p w14:paraId="2A4146D6">
      <w:pPr>
        <w:pStyle w:val="2"/>
        <w:rPr>
          <w:rFonts w:hint="eastAsia"/>
          <w:lang w:eastAsia="zh-CN"/>
        </w:rPr>
      </w:pPr>
    </w:p>
    <w:p w14:paraId="1817BEAD">
      <w:pPr>
        <w:pStyle w:val="2"/>
        <w:ind w:firstLine="2880" w:firstLineChars="900"/>
        <w:jc w:val="both"/>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昆明市五华区建设工程质量安全服务站</w:t>
      </w:r>
    </w:p>
    <w:p w14:paraId="206EA5E9">
      <w:pPr>
        <w:pStyle w:val="2"/>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bookmarkStart w:id="0" w:name="_GoBack"/>
      <w:bookmarkEnd w:id="0"/>
      <w:r>
        <w:rPr>
          <w:rFonts w:hint="eastAsia" w:ascii="仿宋_GB2312" w:hAnsi="仿宋_GB2312" w:eastAsia="仿宋_GB2312" w:cs="仿宋_GB2312"/>
          <w:color w:val="auto"/>
          <w:kern w:val="2"/>
          <w:sz w:val="32"/>
          <w:szCs w:val="32"/>
          <w:lang w:val="en-US" w:eastAsia="zh-CN" w:bidi="ar-SA"/>
        </w:rPr>
        <w:t>2024年5月29日</w:t>
      </w:r>
    </w:p>
    <w:p w14:paraId="39AE9A5F">
      <w:pPr>
        <w:pStyle w:val="2"/>
        <w:rPr>
          <w:rFonts w:hint="eastAsia"/>
          <w:lang w:eastAsia="zh-CN"/>
        </w:rPr>
      </w:pPr>
    </w:p>
    <w:p w14:paraId="6941FEFA">
      <w:pPr>
        <w:pStyle w:val="2"/>
        <w:rPr>
          <w:rFonts w:hint="eastAsia"/>
          <w:lang w:eastAsia="zh-CN"/>
        </w:rPr>
      </w:pPr>
    </w:p>
    <w:p w14:paraId="21B4C4AF">
      <w:pPr>
        <w:pStyle w:val="2"/>
        <w:rPr>
          <w:rFonts w:hint="eastAsia"/>
          <w:lang w:eastAsia="zh-CN"/>
        </w:rPr>
      </w:pPr>
    </w:p>
    <w:p w14:paraId="43FBFBC3">
      <w:pPr>
        <w:pStyle w:val="2"/>
        <w:rPr>
          <w:rFonts w:hint="eastAsia"/>
          <w:lang w:eastAsia="zh-CN"/>
        </w:rPr>
      </w:pPr>
    </w:p>
    <w:p w14:paraId="4167DB44">
      <w:pPr>
        <w:pStyle w:val="2"/>
        <w:rPr>
          <w:rFonts w:hint="eastAsia"/>
          <w:lang w:eastAsia="zh-CN"/>
        </w:rPr>
      </w:pPr>
    </w:p>
    <w:p w14:paraId="180D19C6">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14:paraId="141C3A8A">
      <w:pPr>
        <w:pStyle w:val="2"/>
        <w:ind w:left="0" w:leftChars="0" w:firstLine="0" w:firstLineChars="0"/>
        <w:jc w:val="both"/>
        <w:rPr>
          <w:rFonts w:hint="eastAsia"/>
          <w:lang w:val="en-US" w:eastAsia="zh-CN"/>
        </w:rPr>
      </w:pPr>
    </w:p>
    <w:sectPr>
      <w:headerReference r:id="rId3" w:type="default"/>
      <w:footerReference r:id="rId4" w:type="default"/>
      <w:footerReference r:id="rId5" w:type="even"/>
      <w:pgSz w:w="11906" w:h="16838"/>
      <w:pgMar w:top="2098" w:right="1474" w:bottom="1984" w:left="1588" w:header="851" w:footer="992" w:gutter="0"/>
      <w:pgBorders>
        <w:top w:val="none" w:sz="0" w:space="0"/>
        <w:left w:val="none" w:sz="0" w:space="0"/>
        <w:bottom w:val="none" w:sz="0" w:space="0"/>
        <w:right w:val="none" w:sz="0" w:space="0"/>
      </w:pgBorders>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8E7C2">
    <w:pPr>
      <w:pStyle w:val="11"/>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14:paraId="0A726FC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D1452">
    <w:pPr>
      <w:pStyle w:val="11"/>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4BFC0A40">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CDAB5">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4NTM4ODFhZmQ1OWJiMzE5OTRiNDBhM2IwODI3MTgifQ=="/>
  </w:docVars>
  <w:rsids>
    <w:rsidRoot w:val="0020402E"/>
    <w:rsid w:val="00017A8F"/>
    <w:rsid w:val="00047AB7"/>
    <w:rsid w:val="00090D52"/>
    <w:rsid w:val="00146EE9"/>
    <w:rsid w:val="00175F9F"/>
    <w:rsid w:val="001852BB"/>
    <w:rsid w:val="001D0E44"/>
    <w:rsid w:val="001F5CC3"/>
    <w:rsid w:val="0020402E"/>
    <w:rsid w:val="002413BA"/>
    <w:rsid w:val="00252E79"/>
    <w:rsid w:val="00285A6A"/>
    <w:rsid w:val="002B6CB3"/>
    <w:rsid w:val="00316CB8"/>
    <w:rsid w:val="00323104"/>
    <w:rsid w:val="00333AF7"/>
    <w:rsid w:val="00353839"/>
    <w:rsid w:val="003C3A4C"/>
    <w:rsid w:val="0040414B"/>
    <w:rsid w:val="004777BF"/>
    <w:rsid w:val="00491601"/>
    <w:rsid w:val="004C626E"/>
    <w:rsid w:val="004E4C2D"/>
    <w:rsid w:val="00534226"/>
    <w:rsid w:val="00540143"/>
    <w:rsid w:val="0054605A"/>
    <w:rsid w:val="0057336C"/>
    <w:rsid w:val="005747B0"/>
    <w:rsid w:val="00574ECC"/>
    <w:rsid w:val="005A165A"/>
    <w:rsid w:val="005A1E7F"/>
    <w:rsid w:val="005D02D2"/>
    <w:rsid w:val="0064178A"/>
    <w:rsid w:val="00662C20"/>
    <w:rsid w:val="0069488B"/>
    <w:rsid w:val="006A0799"/>
    <w:rsid w:val="006B1439"/>
    <w:rsid w:val="00715FE5"/>
    <w:rsid w:val="00730C4E"/>
    <w:rsid w:val="007454FA"/>
    <w:rsid w:val="007805F0"/>
    <w:rsid w:val="007843B2"/>
    <w:rsid w:val="00793220"/>
    <w:rsid w:val="00807004"/>
    <w:rsid w:val="00877B65"/>
    <w:rsid w:val="008E215B"/>
    <w:rsid w:val="008F452B"/>
    <w:rsid w:val="009144B5"/>
    <w:rsid w:val="0092160F"/>
    <w:rsid w:val="00942E41"/>
    <w:rsid w:val="009602F7"/>
    <w:rsid w:val="00983CCC"/>
    <w:rsid w:val="0099268A"/>
    <w:rsid w:val="00995445"/>
    <w:rsid w:val="009D16EF"/>
    <w:rsid w:val="009F069C"/>
    <w:rsid w:val="00A423C3"/>
    <w:rsid w:val="00A70DE2"/>
    <w:rsid w:val="00B05126"/>
    <w:rsid w:val="00B52633"/>
    <w:rsid w:val="00B66C42"/>
    <w:rsid w:val="00B7249F"/>
    <w:rsid w:val="00B81BFA"/>
    <w:rsid w:val="00B96D85"/>
    <w:rsid w:val="00C241DC"/>
    <w:rsid w:val="00C26948"/>
    <w:rsid w:val="00CB4D66"/>
    <w:rsid w:val="00CD6651"/>
    <w:rsid w:val="00CE536E"/>
    <w:rsid w:val="00D86B7C"/>
    <w:rsid w:val="00DE0350"/>
    <w:rsid w:val="00EE17E0"/>
    <w:rsid w:val="00F21861"/>
    <w:rsid w:val="00F47909"/>
    <w:rsid w:val="00F56884"/>
    <w:rsid w:val="00F80A48"/>
    <w:rsid w:val="00FC428C"/>
    <w:rsid w:val="00FD313A"/>
    <w:rsid w:val="00FE5B35"/>
    <w:rsid w:val="01DB367D"/>
    <w:rsid w:val="025F4662"/>
    <w:rsid w:val="026C0DFE"/>
    <w:rsid w:val="02F474A0"/>
    <w:rsid w:val="031F2043"/>
    <w:rsid w:val="03265180"/>
    <w:rsid w:val="03474314"/>
    <w:rsid w:val="03E0736C"/>
    <w:rsid w:val="04E909D6"/>
    <w:rsid w:val="054C5DAB"/>
    <w:rsid w:val="057564AB"/>
    <w:rsid w:val="069A4921"/>
    <w:rsid w:val="06C346F1"/>
    <w:rsid w:val="06C54798"/>
    <w:rsid w:val="07593D76"/>
    <w:rsid w:val="076A6065"/>
    <w:rsid w:val="080F73BE"/>
    <w:rsid w:val="08114650"/>
    <w:rsid w:val="084C6591"/>
    <w:rsid w:val="08514A4D"/>
    <w:rsid w:val="08AF45C5"/>
    <w:rsid w:val="08FA3336"/>
    <w:rsid w:val="0A4D6167"/>
    <w:rsid w:val="0A8E01DA"/>
    <w:rsid w:val="0B6757B7"/>
    <w:rsid w:val="0B6B4B9F"/>
    <w:rsid w:val="0D774F56"/>
    <w:rsid w:val="0E2D1318"/>
    <w:rsid w:val="0E407A3D"/>
    <w:rsid w:val="100D7DF3"/>
    <w:rsid w:val="104B0B11"/>
    <w:rsid w:val="11AB1672"/>
    <w:rsid w:val="12310D91"/>
    <w:rsid w:val="123E2F93"/>
    <w:rsid w:val="125D4824"/>
    <w:rsid w:val="128B56D9"/>
    <w:rsid w:val="13224E04"/>
    <w:rsid w:val="13AE4AD7"/>
    <w:rsid w:val="140137CB"/>
    <w:rsid w:val="143040B0"/>
    <w:rsid w:val="148166BA"/>
    <w:rsid w:val="14BE19FD"/>
    <w:rsid w:val="14C96294"/>
    <w:rsid w:val="153573E4"/>
    <w:rsid w:val="160B5685"/>
    <w:rsid w:val="16513469"/>
    <w:rsid w:val="16F40CC3"/>
    <w:rsid w:val="17427051"/>
    <w:rsid w:val="176A5B2B"/>
    <w:rsid w:val="18152409"/>
    <w:rsid w:val="18FA2EDF"/>
    <w:rsid w:val="19871FA6"/>
    <w:rsid w:val="1AA21F20"/>
    <w:rsid w:val="1AFB36D2"/>
    <w:rsid w:val="1B201DBF"/>
    <w:rsid w:val="1B2C0724"/>
    <w:rsid w:val="1B2F4438"/>
    <w:rsid w:val="1B4B493C"/>
    <w:rsid w:val="1B6E7E45"/>
    <w:rsid w:val="1B83455A"/>
    <w:rsid w:val="1BFB4FA4"/>
    <w:rsid w:val="1C492847"/>
    <w:rsid w:val="1C737230"/>
    <w:rsid w:val="1CBB2985"/>
    <w:rsid w:val="1D6F5C49"/>
    <w:rsid w:val="1D994A74"/>
    <w:rsid w:val="1E313FB3"/>
    <w:rsid w:val="1E93139D"/>
    <w:rsid w:val="1F4135B5"/>
    <w:rsid w:val="1F615A66"/>
    <w:rsid w:val="201F02E4"/>
    <w:rsid w:val="21C44F09"/>
    <w:rsid w:val="21D56297"/>
    <w:rsid w:val="21DE339D"/>
    <w:rsid w:val="227814F2"/>
    <w:rsid w:val="22A16179"/>
    <w:rsid w:val="23FE7D27"/>
    <w:rsid w:val="252722E2"/>
    <w:rsid w:val="268B7490"/>
    <w:rsid w:val="276C34ED"/>
    <w:rsid w:val="28047D00"/>
    <w:rsid w:val="29272FC4"/>
    <w:rsid w:val="29791BFE"/>
    <w:rsid w:val="2AA963F5"/>
    <w:rsid w:val="2ADC4E13"/>
    <w:rsid w:val="2AE21493"/>
    <w:rsid w:val="2B151983"/>
    <w:rsid w:val="2C534818"/>
    <w:rsid w:val="2CCF04B2"/>
    <w:rsid w:val="2DC43283"/>
    <w:rsid w:val="2DE51610"/>
    <w:rsid w:val="2FB514D0"/>
    <w:rsid w:val="30842FF2"/>
    <w:rsid w:val="308F2234"/>
    <w:rsid w:val="309E0C3C"/>
    <w:rsid w:val="30CB0B45"/>
    <w:rsid w:val="3157781E"/>
    <w:rsid w:val="32BE4F4A"/>
    <w:rsid w:val="33ED3BCC"/>
    <w:rsid w:val="33FD3B57"/>
    <w:rsid w:val="34D523DE"/>
    <w:rsid w:val="35784879"/>
    <w:rsid w:val="363D0213"/>
    <w:rsid w:val="36AA1648"/>
    <w:rsid w:val="3719610A"/>
    <w:rsid w:val="373C1987"/>
    <w:rsid w:val="376712E7"/>
    <w:rsid w:val="38B844F1"/>
    <w:rsid w:val="38E01351"/>
    <w:rsid w:val="3A5B15D7"/>
    <w:rsid w:val="3AD578E1"/>
    <w:rsid w:val="3BEF4AE0"/>
    <w:rsid w:val="3CA974C2"/>
    <w:rsid w:val="3CFF3309"/>
    <w:rsid w:val="3D5B0142"/>
    <w:rsid w:val="3DD75329"/>
    <w:rsid w:val="3DEA67CE"/>
    <w:rsid w:val="3E3839DE"/>
    <w:rsid w:val="3E844FE1"/>
    <w:rsid w:val="40297539"/>
    <w:rsid w:val="40414948"/>
    <w:rsid w:val="40C637D8"/>
    <w:rsid w:val="41203D79"/>
    <w:rsid w:val="4125649B"/>
    <w:rsid w:val="41CC4F14"/>
    <w:rsid w:val="42120659"/>
    <w:rsid w:val="426A72E7"/>
    <w:rsid w:val="438576C5"/>
    <w:rsid w:val="44812A1C"/>
    <w:rsid w:val="4568638C"/>
    <w:rsid w:val="45CE0BFE"/>
    <w:rsid w:val="46DA32A9"/>
    <w:rsid w:val="47217705"/>
    <w:rsid w:val="47505984"/>
    <w:rsid w:val="484140EE"/>
    <w:rsid w:val="489505CE"/>
    <w:rsid w:val="48A153C2"/>
    <w:rsid w:val="48E01D74"/>
    <w:rsid w:val="48E85484"/>
    <w:rsid w:val="49391826"/>
    <w:rsid w:val="49F41101"/>
    <w:rsid w:val="4AB42380"/>
    <w:rsid w:val="4BB1223F"/>
    <w:rsid w:val="4C6B2057"/>
    <w:rsid w:val="4C8056D4"/>
    <w:rsid w:val="4C8F2F6F"/>
    <w:rsid w:val="4CB4635D"/>
    <w:rsid w:val="4CCC314C"/>
    <w:rsid w:val="4CD32934"/>
    <w:rsid w:val="4CD6689C"/>
    <w:rsid w:val="4D682A48"/>
    <w:rsid w:val="4D832C78"/>
    <w:rsid w:val="4DBA322B"/>
    <w:rsid w:val="4E271D7B"/>
    <w:rsid w:val="4E7E2684"/>
    <w:rsid w:val="4E820D84"/>
    <w:rsid w:val="4F744DEB"/>
    <w:rsid w:val="50B508AC"/>
    <w:rsid w:val="51CC64BF"/>
    <w:rsid w:val="51D52940"/>
    <w:rsid w:val="521B7236"/>
    <w:rsid w:val="523E38F5"/>
    <w:rsid w:val="52923265"/>
    <w:rsid w:val="538232A1"/>
    <w:rsid w:val="53D14ABD"/>
    <w:rsid w:val="54761817"/>
    <w:rsid w:val="547D1124"/>
    <w:rsid w:val="54CF07A0"/>
    <w:rsid w:val="54F975CB"/>
    <w:rsid w:val="552D5EC0"/>
    <w:rsid w:val="55583716"/>
    <w:rsid w:val="557673CF"/>
    <w:rsid w:val="56380A98"/>
    <w:rsid w:val="56C137C7"/>
    <w:rsid w:val="57B7551B"/>
    <w:rsid w:val="58F5279F"/>
    <w:rsid w:val="590B2E55"/>
    <w:rsid w:val="599F6108"/>
    <w:rsid w:val="59B61F2F"/>
    <w:rsid w:val="59B9557B"/>
    <w:rsid w:val="59E92304"/>
    <w:rsid w:val="5AB75993"/>
    <w:rsid w:val="5AE4142E"/>
    <w:rsid w:val="5C5F065B"/>
    <w:rsid w:val="5CDD3C76"/>
    <w:rsid w:val="5D0E5BDE"/>
    <w:rsid w:val="5D28108C"/>
    <w:rsid w:val="5D5F468B"/>
    <w:rsid w:val="5DA4554F"/>
    <w:rsid w:val="5DD1318C"/>
    <w:rsid w:val="5DDB01B6"/>
    <w:rsid w:val="5EB856E4"/>
    <w:rsid w:val="5F3465FA"/>
    <w:rsid w:val="5F557A60"/>
    <w:rsid w:val="5F772160"/>
    <w:rsid w:val="5FF40209"/>
    <w:rsid w:val="60340580"/>
    <w:rsid w:val="613541EC"/>
    <w:rsid w:val="6151078F"/>
    <w:rsid w:val="62092C5F"/>
    <w:rsid w:val="63402869"/>
    <w:rsid w:val="63F57AF7"/>
    <w:rsid w:val="6419080D"/>
    <w:rsid w:val="645415E8"/>
    <w:rsid w:val="64874BF3"/>
    <w:rsid w:val="659418B0"/>
    <w:rsid w:val="65F514C0"/>
    <w:rsid w:val="672A3F5C"/>
    <w:rsid w:val="672C7221"/>
    <w:rsid w:val="678F03E3"/>
    <w:rsid w:val="685A1919"/>
    <w:rsid w:val="687234C5"/>
    <w:rsid w:val="687545A8"/>
    <w:rsid w:val="68A65864"/>
    <w:rsid w:val="69B70501"/>
    <w:rsid w:val="6A0C12EB"/>
    <w:rsid w:val="6A407B27"/>
    <w:rsid w:val="6A6C22B0"/>
    <w:rsid w:val="6B0C2013"/>
    <w:rsid w:val="6B1252E0"/>
    <w:rsid w:val="6BAD0DEB"/>
    <w:rsid w:val="6BCC4F2B"/>
    <w:rsid w:val="6C691293"/>
    <w:rsid w:val="6CFE5C6F"/>
    <w:rsid w:val="6D953B8F"/>
    <w:rsid w:val="6DD35B2B"/>
    <w:rsid w:val="6E162B44"/>
    <w:rsid w:val="6FD1766A"/>
    <w:rsid w:val="705A701D"/>
    <w:rsid w:val="70862203"/>
    <w:rsid w:val="70C8455E"/>
    <w:rsid w:val="71913A76"/>
    <w:rsid w:val="71E769F5"/>
    <w:rsid w:val="71F2795F"/>
    <w:rsid w:val="72643CC5"/>
    <w:rsid w:val="72717B4F"/>
    <w:rsid w:val="728132ED"/>
    <w:rsid w:val="72BD6DD8"/>
    <w:rsid w:val="73B57A63"/>
    <w:rsid w:val="74814AD2"/>
    <w:rsid w:val="74935FDF"/>
    <w:rsid w:val="74AE06FF"/>
    <w:rsid w:val="74BB4EE4"/>
    <w:rsid w:val="74D00AB5"/>
    <w:rsid w:val="768A0573"/>
    <w:rsid w:val="77951598"/>
    <w:rsid w:val="785A0460"/>
    <w:rsid w:val="791954AD"/>
    <w:rsid w:val="796208D7"/>
    <w:rsid w:val="7AE12ED0"/>
    <w:rsid w:val="7AE35816"/>
    <w:rsid w:val="7B947DA7"/>
    <w:rsid w:val="7C1E59E5"/>
    <w:rsid w:val="7C8917B4"/>
    <w:rsid w:val="7CEB62C4"/>
    <w:rsid w:val="7E673BD9"/>
    <w:rsid w:val="7E991353"/>
    <w:rsid w:val="7ECB797B"/>
    <w:rsid w:val="7EEA25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autoRedefine/>
    <w:qFormat/>
    <w:uiPriority w:val="0"/>
    <w:pPr>
      <w:adjustRightInd w:val="0"/>
      <w:snapToGrid w:val="0"/>
      <w:spacing w:line="570" w:lineRule="exact"/>
      <w:outlineLvl w:val="0"/>
    </w:pPr>
    <w:rPr>
      <w:rFonts w:ascii="华文中宋" w:hAnsi="华文中宋" w:eastAsia="华文中宋"/>
      <w:color w:val="000000"/>
      <w:sz w:val="44"/>
      <w:szCs w:val="44"/>
    </w:rPr>
  </w:style>
  <w:style w:type="paragraph" w:styleId="6">
    <w:name w:val="heading 2"/>
    <w:basedOn w:val="3"/>
    <w:next w:val="3"/>
    <w:qFormat/>
    <w:uiPriority w:val="0"/>
    <w:pPr>
      <w:keepNext/>
      <w:keepLines/>
      <w:spacing w:line="560" w:lineRule="exact"/>
      <w:ind w:firstLine="640"/>
      <w:outlineLvl w:val="1"/>
    </w:pPr>
    <w:rPr>
      <w:rFonts w:eastAsia="黑体"/>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0"/>
    <w:pPr>
      <w:snapToGrid/>
      <w:spacing w:line="520" w:lineRule="exact"/>
      <w:ind w:firstLine="0" w:firstLineChars="0"/>
      <w:jc w:val="center"/>
    </w:pPr>
    <w:rPr>
      <w:rFonts w:ascii="Times New Roman" w:hAnsi="Times New Roman"/>
      <w:sz w:val="24"/>
      <w:szCs w:val="20"/>
    </w:rPr>
  </w:style>
  <w:style w:type="paragraph" w:styleId="3">
    <w:name w:val="Body Text"/>
    <w:basedOn w:val="1"/>
    <w:next w:val="4"/>
    <w:autoRedefine/>
    <w:qFormat/>
    <w:uiPriority w:val="0"/>
    <w:rPr>
      <w:rFonts w:ascii="Calibri" w:hAnsi="Calibri" w:eastAsia="宋体" w:cs="Times New Roman"/>
    </w:rPr>
  </w:style>
  <w:style w:type="paragraph" w:styleId="4">
    <w:name w:val="toc 5"/>
    <w:basedOn w:val="1"/>
    <w:next w:val="1"/>
    <w:qFormat/>
    <w:uiPriority w:val="0"/>
    <w:pPr>
      <w:ind w:left="840"/>
      <w:jc w:val="left"/>
    </w:pPr>
    <w:rPr>
      <w:rFonts w:ascii="Calibri" w:hAnsi="Calibri" w:eastAsia="宋体" w:cs="Times New Roman"/>
      <w:sz w:val="18"/>
      <w:szCs w:val="18"/>
    </w:rPr>
  </w:style>
  <w:style w:type="paragraph" w:styleId="7">
    <w:name w:val="Normal Indent"/>
    <w:basedOn w:val="1"/>
    <w:next w:val="1"/>
    <w:autoRedefine/>
    <w:qFormat/>
    <w:uiPriority w:val="0"/>
    <w:pPr>
      <w:ind w:firstLine="420" w:firstLineChars="200"/>
    </w:pPr>
  </w:style>
  <w:style w:type="paragraph" w:styleId="8">
    <w:name w:val="Body Text Indent"/>
    <w:basedOn w:val="1"/>
    <w:autoRedefine/>
    <w:unhideWhenUsed/>
    <w:qFormat/>
    <w:uiPriority w:val="0"/>
    <w:pPr>
      <w:ind w:firstLine="640" w:firstLineChars="200"/>
    </w:pPr>
    <w:rPr>
      <w:rFonts w:ascii="仿宋_GB2312" w:hAnsi="Times New Roman" w:eastAsia="仿宋_GB2312"/>
      <w:sz w:val="32"/>
      <w:szCs w:val="24"/>
    </w:rPr>
  </w:style>
  <w:style w:type="paragraph" w:styleId="9">
    <w:name w:val="Plain Text"/>
    <w:basedOn w:val="1"/>
    <w:autoRedefine/>
    <w:qFormat/>
    <w:uiPriority w:val="99"/>
    <w:rPr>
      <w:rFonts w:ascii="宋体" w:hAnsi="Courier New" w:cs="宋体"/>
      <w:kern w:val="0"/>
      <w:sz w:val="20"/>
      <w:szCs w:val="21"/>
    </w:rPr>
  </w:style>
  <w:style w:type="paragraph" w:styleId="10">
    <w:name w:val="Date"/>
    <w:basedOn w:val="1"/>
    <w:next w:val="1"/>
    <w:link w:val="24"/>
    <w:autoRedefine/>
    <w:qFormat/>
    <w:uiPriority w:val="0"/>
    <w:pPr>
      <w:ind w:left="100" w:leftChars="2500"/>
    </w:pPr>
  </w:style>
  <w:style w:type="paragraph" w:styleId="11">
    <w:name w:val="footer"/>
    <w:basedOn w:val="1"/>
    <w:link w:val="25"/>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next w:val="1"/>
    <w:link w:val="23"/>
    <w:autoRedefine/>
    <w:qFormat/>
    <w:uiPriority w:val="0"/>
    <w:pPr>
      <w:adjustRightInd w:val="0"/>
      <w:spacing w:before="240" w:after="60" w:line="312" w:lineRule="atLeast"/>
      <w:jc w:val="center"/>
      <w:textAlignment w:val="baseline"/>
    </w:pPr>
    <w:rPr>
      <w:rFonts w:ascii="Arial" w:hAnsi="Arial"/>
      <w:b/>
      <w:kern w:val="28"/>
      <w:sz w:val="32"/>
      <w:szCs w:val="20"/>
    </w:rPr>
  </w:style>
  <w:style w:type="table" w:styleId="17">
    <w:name w:val="Table Grid"/>
    <w:basedOn w:val="16"/>
    <w:autoRedefine/>
    <w:qFormat/>
    <w:uiPriority w:val="39"/>
    <w:rPr>
      <w:rFonts w:asciiTheme="minorHAnsi" w:hAnsiTheme="minorHAnsi" w:eastAsiaTheme="minorEastAsia" w:cstheme="minorBidi"/>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autoRedefine/>
    <w:qFormat/>
    <w:uiPriority w:val="22"/>
    <w:rPr>
      <w:b/>
      <w:bCs/>
    </w:rPr>
  </w:style>
  <w:style w:type="character" w:styleId="20">
    <w:name w:val="page number"/>
    <w:basedOn w:val="18"/>
    <w:autoRedefine/>
    <w:qFormat/>
    <w:uiPriority w:val="0"/>
  </w:style>
  <w:style w:type="character" w:customStyle="1" w:styleId="21">
    <w:name w:val="公文文种"/>
    <w:basedOn w:val="18"/>
    <w:autoRedefine/>
    <w:qFormat/>
    <w:uiPriority w:val="0"/>
    <w:rPr>
      <w:rFonts w:eastAsia="宋体"/>
      <w:sz w:val="32"/>
    </w:rPr>
  </w:style>
  <w:style w:type="character" w:customStyle="1" w:styleId="22">
    <w:name w:val="公文文号"/>
    <w:basedOn w:val="18"/>
    <w:autoRedefine/>
    <w:qFormat/>
    <w:uiPriority w:val="0"/>
    <w:rPr>
      <w:rFonts w:eastAsia="仿宋_GB2312"/>
      <w:sz w:val="32"/>
    </w:rPr>
  </w:style>
  <w:style w:type="character" w:customStyle="1" w:styleId="23">
    <w:name w:val="标题 Char"/>
    <w:basedOn w:val="18"/>
    <w:link w:val="15"/>
    <w:autoRedefine/>
    <w:qFormat/>
    <w:uiPriority w:val="0"/>
    <w:rPr>
      <w:rFonts w:ascii="Arial" w:hAnsi="Arial"/>
      <w:b/>
      <w:kern w:val="28"/>
      <w:sz w:val="32"/>
    </w:rPr>
  </w:style>
  <w:style w:type="character" w:customStyle="1" w:styleId="24">
    <w:name w:val="日期 Char"/>
    <w:basedOn w:val="18"/>
    <w:link w:val="10"/>
    <w:autoRedefine/>
    <w:qFormat/>
    <w:uiPriority w:val="0"/>
    <w:rPr>
      <w:rFonts w:ascii="Calibri" w:hAnsi="Calibri"/>
      <w:kern w:val="2"/>
      <w:sz w:val="21"/>
      <w:szCs w:val="22"/>
    </w:rPr>
  </w:style>
  <w:style w:type="character" w:customStyle="1" w:styleId="25">
    <w:name w:val="页脚 Char"/>
    <w:basedOn w:val="18"/>
    <w:link w:val="11"/>
    <w:autoRedefine/>
    <w:qFormat/>
    <w:uiPriority w:val="99"/>
    <w:rPr>
      <w:rFonts w:ascii="Calibri" w:hAnsi="Calibri"/>
      <w:kern w:val="2"/>
      <w:sz w:val="18"/>
      <w:szCs w:val="18"/>
    </w:rPr>
  </w:style>
  <w:style w:type="paragraph" w:customStyle="1" w:styleId="26">
    <w:name w:val="p0"/>
    <w:basedOn w:val="1"/>
    <w:autoRedefine/>
    <w:qFormat/>
    <w:uiPriority w:val="0"/>
    <w:pPr>
      <w:widowControl/>
      <w:adjustRightInd w:val="0"/>
      <w:snapToGrid w:val="0"/>
      <w:spacing w:line="365" w:lineRule="atLeast"/>
      <w:ind w:left="1" w:firstLine="200" w:firstLineChars="200"/>
      <w:textAlignment w:val="bottom"/>
    </w:pPr>
    <w:rPr>
      <w:rFonts w:ascii="Times New Roman" w:hAnsi="Times New Roman"/>
      <w:kern w:val="0"/>
      <w:sz w:val="20"/>
      <w:szCs w:val="20"/>
    </w:rPr>
  </w:style>
  <w:style w:type="paragraph" w:customStyle="1" w:styleId="27">
    <w:name w:val="样式2"/>
    <w:basedOn w:val="1"/>
    <w:autoRedefine/>
    <w:qFormat/>
    <w:uiPriority w:val="0"/>
    <w:pPr>
      <w:spacing w:line="360" w:lineRule="auto"/>
      <w:ind w:left="297" w:right="297" w:rightChars="100"/>
      <w:jc w:val="left"/>
    </w:pPr>
    <w:rPr>
      <w:rFonts w:ascii="仿宋_GB2312" w:hAnsi="Times New Roman" w:eastAsia="仿宋_GB2312"/>
      <w:b/>
      <w:color w:val="000000"/>
      <w:sz w:val="32"/>
      <w:szCs w:val="32"/>
    </w:rPr>
  </w:style>
  <w:style w:type="character" w:customStyle="1" w:styleId="28">
    <w:name w:val="apple-style-span"/>
    <w:autoRedefine/>
    <w:qFormat/>
    <w:uiPriority w:val="99"/>
  </w:style>
  <w:style w:type="paragraph" w:customStyle="1" w:styleId="29">
    <w:name w:val="列出段落1"/>
    <w:basedOn w:val="1"/>
    <w:autoRedefine/>
    <w:qFormat/>
    <w:uiPriority w:val="34"/>
    <w:pPr>
      <w:ind w:firstLine="420" w:firstLineChars="200"/>
    </w:pPr>
    <w:rPr>
      <w:rFonts w:asciiTheme="minorHAnsi" w:hAnsiTheme="minorHAnsi" w:eastAsiaTheme="minorEastAsia" w:cstheme="minorBidi"/>
    </w:rPr>
  </w:style>
  <w:style w:type="character" w:customStyle="1" w:styleId="30">
    <w:name w:val="公文正文"/>
    <w:autoRedefine/>
    <w:qFormat/>
    <w:uiPriority w:val="0"/>
    <w:rPr>
      <w:rFonts w:hint="eastAsia" w:ascii="仿宋_GB2312" w:eastAsia="仿宋_GB2312"/>
      <w:sz w:val="32"/>
    </w:rPr>
  </w:style>
  <w:style w:type="paragraph" w:styleId="31">
    <w:name w:val="List Paragraph"/>
    <w:basedOn w:val="1"/>
    <w:autoRedefine/>
    <w:qFormat/>
    <w:uiPriority w:val="34"/>
    <w:pPr>
      <w:ind w:firstLine="420" w:firstLineChars="200"/>
    </w:pPr>
    <w:rPr>
      <w:rFonts w:asciiTheme="minorHAnsi" w:hAnsiTheme="minorHAnsi" w:eastAsiaTheme="minorEastAsia" w:cstheme="minorBidi"/>
    </w:rPr>
  </w:style>
  <w:style w:type="paragraph" w:customStyle="1" w:styleId="32">
    <w:name w:val="样式"/>
    <w:autoRedefine/>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33">
    <w:name w:val="无间隔1"/>
    <w:autoRedefine/>
    <w:unhideWhenUsed/>
    <w:qFormat/>
    <w:uiPriority w:val="0"/>
    <w:pPr>
      <w:widowControl w:val="0"/>
      <w:spacing w:line="240" w:lineRule="auto"/>
      <w:jc w:val="both"/>
    </w:pPr>
    <w:rPr>
      <w:rFonts w:ascii="Times New Roman" w:hAnsi="Times New Roman" w:eastAsia="宋体" w:cs="Times New Roman"/>
      <w:kern w:val="2"/>
      <w:sz w:val="21"/>
      <w:szCs w:val="22"/>
      <w:lang w:val="en-US" w:eastAsia="zh-CN" w:bidi="ar-SA"/>
    </w:rPr>
  </w:style>
  <w:style w:type="character" w:customStyle="1" w:styleId="34">
    <w:name w:val="font21"/>
    <w:basedOn w:val="18"/>
    <w:autoRedefine/>
    <w:qFormat/>
    <w:uiPriority w:val="0"/>
    <w:rPr>
      <w:rFonts w:ascii="Calibri" w:hAnsi="Calibri" w:cs="Calibri"/>
      <w:color w:val="000000"/>
      <w:sz w:val="20"/>
      <w:szCs w:val="20"/>
      <w:u w:val="none"/>
    </w:rPr>
  </w:style>
  <w:style w:type="character" w:customStyle="1" w:styleId="35">
    <w:name w:val="font11"/>
    <w:basedOn w:val="18"/>
    <w:autoRedefine/>
    <w:qFormat/>
    <w:uiPriority w:val="0"/>
    <w:rPr>
      <w:rFonts w:hint="eastAsia" w:ascii="宋体" w:hAnsi="宋体" w:eastAsia="宋体" w:cs="宋体"/>
      <w:color w:val="000000"/>
      <w:sz w:val="20"/>
      <w:szCs w:val="20"/>
      <w:u w:val="none"/>
    </w:rPr>
  </w:style>
  <w:style w:type="character" w:customStyle="1" w:styleId="36">
    <w:name w:val="font31"/>
    <w:basedOn w:val="18"/>
    <w:autoRedefine/>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6D357-B6EF-4E04-995F-5AD6D1391CBC}">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9</Pages>
  <Words>5253</Words>
  <Characters>5441</Characters>
  <Lines>1</Lines>
  <Paragraphs>1</Paragraphs>
  <TotalTime>23</TotalTime>
  <ScaleCrop>false</ScaleCrop>
  <LinksUpToDate>false</LinksUpToDate>
  <CharactersWithSpaces>5774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2019-03-22T06:27:00Z</dcterms:created>
  <dc:creator>user</dc:creator>
  <cp:lastModifiedBy>卉卉</cp:lastModifiedBy>
  <cp:lastPrinted>2024-04-08T03:39:00Z</cp:lastPrinted>
  <dcterms:modified xsi:type="dcterms:W3CDTF">2024-08-22T08:31:08Z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F09D89834D4E4A6290A9771E951D43D6_13</vt:lpwstr>
  </property>
</Properties>
</file>