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24816" w14:textId="77777777" w:rsidR="00E83F5C" w:rsidRDefault="00000000">
      <w:pPr>
        <w:spacing w:line="560" w:lineRule="exact"/>
        <w:jc w:val="center"/>
        <w:rPr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项目支出绩效评价报告</w:t>
      </w:r>
    </w:p>
    <w:p w14:paraId="62044849" w14:textId="77777777" w:rsidR="00E83F5C" w:rsidRDefault="00E83F5C">
      <w:pPr>
        <w:spacing w:line="56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14:paraId="5955FF9F" w14:textId="77777777" w:rsidR="00E83F5C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14:paraId="533C4E34" w14:textId="77777777" w:rsidR="00E83F5C" w:rsidRDefault="00000000">
      <w:pPr>
        <w:pStyle w:val="a7"/>
        <w:numPr>
          <w:ilvl w:val="0"/>
          <w:numId w:val="1"/>
        </w:numPr>
        <w:spacing w:line="560" w:lineRule="exact"/>
        <w:ind w:firstLineChars="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项目概况</w:t>
      </w:r>
    </w:p>
    <w:p w14:paraId="174F6C66" w14:textId="77777777" w:rsidR="00E83F5C" w:rsidRPr="00C467F4" w:rsidRDefault="00000000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依据《昆明市人民政府办公厅 关于印发昆明市智慧化城市管理综合运行工作模式实施方案的通知》（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昆政办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〔2016〕125号），</w:t>
      </w:r>
      <w:r w:rsidRPr="00C467F4">
        <w:rPr>
          <w:rFonts w:ascii="仿宋_GB2312" w:eastAsia="仿宋_GB2312" w:hAnsi="仿宋_GB2312" w:cs="仿宋_GB2312" w:hint="eastAsia"/>
          <w:sz w:val="32"/>
          <w:szCs w:val="32"/>
        </w:rPr>
        <w:t>昆明市网格</w:t>
      </w:r>
      <w:proofErr w:type="gramStart"/>
      <w:r w:rsidRPr="00C467F4"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 w:rsidRPr="00C467F4">
        <w:rPr>
          <w:rFonts w:ascii="仿宋_GB2312" w:eastAsia="仿宋_GB2312" w:hAnsi="仿宋_GB2312" w:cs="仿宋_GB2312" w:hint="eastAsia"/>
          <w:sz w:val="32"/>
          <w:szCs w:val="32"/>
        </w:rPr>
        <w:t>监督指挥中心五华分中心探索研究市场化运行机制，经五华区第十七届人民政府第19次常务会（2023年第1次）会议研究，原则同意项目实施。</w:t>
      </w:r>
    </w:p>
    <w:p w14:paraId="13CA4B4A" w14:textId="77777777" w:rsidR="00E83F5C" w:rsidRPr="00C467F4" w:rsidRDefault="00000000">
      <w:pPr>
        <w:pStyle w:val="a7"/>
        <w:numPr>
          <w:ilvl w:val="0"/>
          <w:numId w:val="1"/>
        </w:numPr>
        <w:spacing w:line="560" w:lineRule="exact"/>
        <w:ind w:firstLineChars="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 w:rsidRPr="00C467F4">
        <w:rPr>
          <w:rFonts w:ascii="楷体_GB2312" w:eastAsia="楷体_GB2312" w:hAnsi="楷体_GB2312" w:cs="楷体_GB2312" w:hint="eastAsia"/>
          <w:sz w:val="32"/>
          <w:szCs w:val="32"/>
        </w:rPr>
        <w:t>项目绩效目标</w:t>
      </w:r>
    </w:p>
    <w:p w14:paraId="52B7181E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 w:rsidRPr="00C467F4">
        <w:rPr>
          <w:rFonts w:ascii="仿宋_GB2312" w:eastAsia="仿宋_GB2312" w:hint="eastAsia"/>
          <w:color w:val="000000" w:themeColor="text1"/>
          <w:sz w:val="32"/>
          <w:szCs w:val="32"/>
        </w:rPr>
        <w:t>以深化改革为动力，通过实施城市网格</w:t>
      </w:r>
      <w:proofErr w:type="gramStart"/>
      <w:r w:rsidRPr="00C467F4">
        <w:rPr>
          <w:rFonts w:ascii="仿宋_GB2312" w:eastAsia="仿宋_GB2312" w:hint="eastAsia"/>
          <w:color w:val="000000" w:themeColor="text1"/>
          <w:sz w:val="32"/>
          <w:szCs w:val="32"/>
        </w:rPr>
        <w:t>化综合</w:t>
      </w:r>
      <w:proofErr w:type="gramEnd"/>
      <w:r w:rsidRPr="00C467F4">
        <w:rPr>
          <w:rFonts w:ascii="仿宋_GB2312" w:eastAsia="仿宋_GB2312" w:hint="eastAsia"/>
          <w:color w:val="000000" w:themeColor="text1"/>
          <w:sz w:val="32"/>
          <w:szCs w:val="32"/>
        </w:rPr>
        <w:t>管理运行服务外包项目工作，提高行政效率、减少财政支出、提高服务质量。使五华</w:t>
      </w:r>
      <w:proofErr w:type="gramStart"/>
      <w:r w:rsidRPr="00C467F4">
        <w:rPr>
          <w:rFonts w:ascii="仿宋_GB2312" w:eastAsia="仿宋_GB2312" w:hint="eastAsia"/>
          <w:color w:val="000000" w:themeColor="text1"/>
          <w:sz w:val="32"/>
          <w:szCs w:val="32"/>
        </w:rPr>
        <w:t>区做到</w:t>
      </w:r>
      <w:proofErr w:type="gramEnd"/>
      <w:r w:rsidRPr="00C467F4">
        <w:rPr>
          <w:rFonts w:ascii="仿宋_GB2312" w:eastAsia="仿宋_GB2312" w:hint="eastAsia"/>
          <w:color w:val="000000" w:themeColor="text1"/>
          <w:sz w:val="32"/>
          <w:szCs w:val="32"/>
        </w:rPr>
        <w:t>系统治理、依法治理、综合治理和源头治理，不断提升城市精细化管理水平，加强五华区网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格化综合治理能力建设，实现辖区城市综合治理体系规范化、制度化、精细化和常态化管理的新局面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D474E92" w14:textId="77777777" w:rsidR="00E83F5C" w:rsidRDefault="00000000">
      <w:pPr>
        <w:pStyle w:val="a7"/>
        <w:spacing w:line="560" w:lineRule="exact"/>
        <w:ind w:left="640" w:firstLineChars="0" w:firstLine="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（三）项目组织管理情况</w:t>
      </w:r>
    </w:p>
    <w:p w14:paraId="039E0259" w14:textId="77777777" w:rsidR="00E83F5C" w:rsidRDefault="00000000">
      <w:pPr>
        <w:pStyle w:val="a7"/>
        <w:spacing w:line="560" w:lineRule="exact"/>
        <w:ind w:left="640" w:firstLineChars="0" w:firstLine="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项目组织情况</w:t>
      </w:r>
    </w:p>
    <w:p w14:paraId="286E9513" w14:textId="77777777" w:rsidR="00E83F5C" w:rsidRDefault="00000000">
      <w:pPr>
        <w:spacing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昆明市网格</w:t>
      </w:r>
      <w:proofErr w:type="gramStart"/>
      <w:r>
        <w:rPr>
          <w:rFonts w:ascii="Times New Roman" w:eastAsia="仿宋_GB2312" w:hAnsi="Times New Roman"/>
          <w:sz w:val="32"/>
          <w:szCs w:val="32"/>
        </w:rPr>
        <w:t>化综合</w:t>
      </w:r>
      <w:proofErr w:type="gramEnd"/>
      <w:r>
        <w:rPr>
          <w:rFonts w:ascii="Times New Roman" w:eastAsia="仿宋_GB2312" w:hAnsi="Times New Roman"/>
          <w:sz w:val="32"/>
          <w:szCs w:val="32"/>
        </w:rPr>
        <w:t>监督指挥中心五华分中心于</w:t>
      </w:r>
      <w:r>
        <w:rPr>
          <w:rFonts w:ascii="Times New Roman" w:eastAsia="仿宋_GB2312" w:hAnsi="Times New Roman"/>
          <w:sz w:val="32"/>
          <w:szCs w:val="32"/>
        </w:rPr>
        <w:t>2017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9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/>
          <w:sz w:val="32"/>
          <w:szCs w:val="32"/>
        </w:rPr>
        <w:t>日成立，为五华区政府直属正科级财政全额拨款公益一类事业单位，由昆明市网格</w:t>
      </w:r>
      <w:proofErr w:type="gramStart"/>
      <w:r>
        <w:rPr>
          <w:rFonts w:ascii="Times New Roman" w:eastAsia="仿宋_GB2312" w:hAnsi="Times New Roman"/>
          <w:sz w:val="32"/>
          <w:szCs w:val="32"/>
        </w:rPr>
        <w:t>化综合</w:t>
      </w:r>
      <w:proofErr w:type="gramEnd"/>
      <w:r>
        <w:rPr>
          <w:rFonts w:ascii="Times New Roman" w:eastAsia="仿宋_GB2312" w:hAnsi="Times New Roman"/>
          <w:sz w:val="32"/>
          <w:szCs w:val="32"/>
        </w:rPr>
        <w:t>监督指挥中心与昆明市五华区政府双重管理，以昆明市五华区政府为主。配备事业编制</w:t>
      </w:r>
      <w:r>
        <w:rPr>
          <w:rFonts w:ascii="Times New Roman" w:eastAsia="仿宋_GB2312" w:hAnsi="Times New Roman"/>
          <w:sz w:val="32"/>
          <w:szCs w:val="32"/>
        </w:rPr>
        <w:t>17</w:t>
      </w:r>
      <w:r>
        <w:rPr>
          <w:rFonts w:ascii="Times New Roman" w:eastAsia="仿宋_GB2312" w:hAnsi="Times New Roman"/>
          <w:sz w:val="32"/>
          <w:szCs w:val="32"/>
        </w:rPr>
        <w:t>名，设主任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名，副主任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名</w:t>
      </w:r>
      <w:r>
        <w:rPr>
          <w:rFonts w:ascii="Times New Roman" w:eastAsia="仿宋_GB2312" w:hAnsi="Times New Roman" w:hint="eastAsia"/>
          <w:sz w:val="32"/>
          <w:szCs w:val="32"/>
        </w:rPr>
        <w:t>，目前在岗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人</w:t>
      </w:r>
      <w:r>
        <w:rPr>
          <w:rFonts w:ascii="Times New Roman" w:eastAsia="仿宋_GB2312" w:hAnsi="Times New Roman" w:hint="eastAsia"/>
          <w:sz w:val="32"/>
          <w:szCs w:val="32"/>
        </w:rPr>
        <w:t>（含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名副主任）</w:t>
      </w:r>
      <w:r>
        <w:rPr>
          <w:rFonts w:ascii="Times New Roman" w:eastAsia="仿宋_GB2312" w:hAnsi="Times New Roman"/>
          <w:sz w:val="32"/>
          <w:szCs w:val="32"/>
        </w:rPr>
        <w:t>。中心内设机构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个，分别为办公室（加挂审</w:t>
      </w:r>
      <w:r>
        <w:rPr>
          <w:rFonts w:ascii="Times New Roman" w:eastAsia="仿宋_GB2312" w:hAnsi="Times New Roman"/>
          <w:sz w:val="32"/>
          <w:szCs w:val="32"/>
        </w:rPr>
        <w:lastRenderedPageBreak/>
        <w:t>计科牌子）、</w:t>
      </w:r>
      <w:proofErr w:type="gramStart"/>
      <w:r>
        <w:rPr>
          <w:rFonts w:ascii="Times New Roman" w:eastAsia="仿宋_GB2312" w:hAnsi="Times New Roman"/>
          <w:sz w:val="32"/>
          <w:szCs w:val="32"/>
        </w:rPr>
        <w:t>接诉受理科</w:t>
      </w:r>
      <w:proofErr w:type="gramEnd"/>
      <w:r>
        <w:rPr>
          <w:rFonts w:ascii="Times New Roman" w:eastAsia="仿宋_GB2312" w:hAnsi="Times New Roman"/>
          <w:sz w:val="32"/>
          <w:szCs w:val="32"/>
        </w:rPr>
        <w:t>（加挂区长热线办公室牌子）、考核监督科、指挥调度科、网格监督大队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14:paraId="4AE8ABBF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2.项目管理情况</w:t>
      </w:r>
    </w:p>
    <w:p w14:paraId="5B1190A8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项目实施前：按照财务制度、预算管理办法、内控制度、“三重一大”相关制度申请、审批项目经费，每项活动开展前制定切实可行的活动计划、方案；</w:t>
      </w:r>
    </w:p>
    <w:p w14:paraId="4BE767CE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项目实施中：严格按照项目预算开展工作，避免超预算开支；</w:t>
      </w:r>
    </w:p>
    <w:p w14:paraId="07861D76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项目结束后：充分评估项目实施中的问题，为下一次项目实施积累经验。</w:t>
      </w:r>
    </w:p>
    <w:p w14:paraId="3F24E041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3.制度建设情况</w:t>
      </w:r>
    </w:p>
    <w:p w14:paraId="04BBF3C9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中心各项工作，中心不断推进制度化建设，制定了《主任办公会会议制度》、《“三重一大”决策制度实施办法》、《事业单位工作人员考核实施办法》、《财务管理制度》、《固定资产管理办法》、《编制外辅助人员管理办法》等各类管理制度，根据工作实际实时进行修订完善。目前，已形成了包含工作制度、人事制度、行为准则、财务制度、资产管理、编制外辅助人员管理制度等六大类34项制度的《制度汇编》，并在工作中严格执行。</w:t>
      </w:r>
    </w:p>
    <w:p w14:paraId="39841526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14:paraId="1B2C3650" w14:textId="77777777" w:rsidR="00E83F5C" w:rsidRDefault="00000000">
      <w:pPr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（一）绩效评价目的、对象和范围</w:t>
      </w:r>
    </w:p>
    <w:p w14:paraId="0A2C56EF" w14:textId="77777777" w:rsidR="00E83F5C" w:rsidRDefault="00000000">
      <w:pPr>
        <w:tabs>
          <w:tab w:val="left" w:pos="5128"/>
        </w:tabs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绩效评价目的：通过项目支出资金收支情况、绩效目标设置情况、资金使用情况、资金管理情况、取得成效情况进行自评，了解资金是否达到了预期目标、资金管理是否规范、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资金使用是否有效，检验资金支出效率和效果，分析存在的问题及原因，及时总结经验，改进管理措施，不断增强和落实管理责任，完善工作机制，有效提高资金管理水平和使用效益，实现政府财政资金的合理配置，规范预算分配，优化财政支出结构，降低政府运行成本。</w:t>
      </w:r>
    </w:p>
    <w:p w14:paraId="620FC752" w14:textId="77777777" w:rsidR="00E83F5C" w:rsidRDefault="00000000">
      <w:pPr>
        <w:tabs>
          <w:tab w:val="left" w:pos="5128"/>
        </w:tabs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绩效评价对象：昆明市网格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监督指挥中心五华分中心五华区城市网格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管理运行服务经费项目绩效评价。</w:t>
      </w:r>
    </w:p>
    <w:p w14:paraId="125E6CFC" w14:textId="77777777" w:rsidR="00E83F5C" w:rsidRDefault="00000000">
      <w:pPr>
        <w:tabs>
          <w:tab w:val="left" w:pos="5128"/>
        </w:tabs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绩效评价范围：对2</w:t>
      </w:r>
      <w:r>
        <w:rPr>
          <w:rFonts w:ascii="仿宋_GB2312" w:eastAsia="仿宋_GB2312" w:hAnsi="仿宋_GB2312" w:cs="仿宋_GB2312"/>
          <w:sz w:val="32"/>
          <w:szCs w:val="32"/>
        </w:rPr>
        <w:t>02</w:t>
      </w:r>
      <w:r>
        <w:rPr>
          <w:rFonts w:ascii="仿宋_GB2312" w:eastAsia="仿宋_GB2312" w:hAnsi="仿宋_GB2312" w:cs="仿宋_GB2312" w:hint="eastAsia"/>
          <w:sz w:val="32"/>
          <w:szCs w:val="32"/>
        </w:rPr>
        <w:t>3年昆明市网格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监督指挥中心五华分中心五华区城市网格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管理运行服务经费项目实施的情况，产生的效益进行评价。</w:t>
      </w:r>
    </w:p>
    <w:p w14:paraId="4B87AB01" w14:textId="77777777" w:rsidR="00E83F5C" w:rsidRDefault="00000000">
      <w:pPr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（二）绩效评价原则、依据、评价方法、评价标准</w:t>
      </w:r>
    </w:p>
    <w:p w14:paraId="2EB82CB1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评价原则：通过绩效评价，及时掌握经费项目开展情况、资金使用、组织情况、制度建设、执行情况、监督考核以及取得的成效，同时总结经验、提出改进的意见和建议，不断提高财政资金使用效益。</w:t>
      </w:r>
    </w:p>
    <w:p w14:paraId="6A974848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评价依据：根据《中华人民共和国预算法》、《五华区预算绩效管理暂行办法》（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五政办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通〔2017〕10号）、《五华区财政局关于开展2024年度区级预算支出部门绩效评价工作的通知》（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五财〔2024〕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23号）、《五华区财政局关于公开预算绩效管理信息的通知》（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五财〔2019〕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48号）、五华区财政局关于印发《五华区预算绩效自评管理暂行办法》的通知（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五财〔2019〕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51号）、《昆明市网格化综合监督指挥中心五华分中心2023年度工作总结》，申请预算时填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报的绩效目标申报表，预算批复，年度预算执行情况，年度决算报告等相关资料，对昆明市网格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监督指挥中心五华分中心2023年度五华区城市网格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管理运行服务经费项目绩效进行评价。</w:t>
      </w:r>
    </w:p>
    <w:p w14:paraId="48BCE505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评价方法：本单位按照成本效益分析法，将投入与产出、效益进行关联性的分析。</w:t>
      </w:r>
    </w:p>
    <w:p w14:paraId="11AADC1E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评价标准：按照预先定制的项目实施目标、计划、预算等作为评价标准。</w:t>
      </w:r>
    </w:p>
    <w:p w14:paraId="62CB2292" w14:textId="77777777" w:rsidR="00E83F5C" w:rsidRDefault="00000000">
      <w:pPr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（三）绩效评价工作过程</w:t>
      </w:r>
    </w:p>
    <w:p w14:paraId="25FA134E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确认当年度昆明市网格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监督指挥中心五华分中心项目支出的绩效目标→梳理昆明市网格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监督指挥中心五华分中心内部管理制度及存量资源→分析确定当年度昆明市网格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监督指挥中心五华分中心项目支出的评价重点→构建绩效评价指标体系</w:t>
      </w:r>
    </w:p>
    <w:p w14:paraId="05C37021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三、综合评价情况及评价结论（附相关评分表）</w:t>
      </w:r>
    </w:p>
    <w:p w14:paraId="35B15ED5" w14:textId="77777777" w:rsidR="00E83F5C" w:rsidRDefault="00000000">
      <w:pPr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（一）绩效评价综合结论</w:t>
      </w:r>
    </w:p>
    <w:p w14:paraId="708FD7BC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昆明市网格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监督指挥中心五华分中心项目支出绩效目标明确，符合法律法规及经济社会发展规划的要求，经对绩效目标设定、资金管理、资产管理、财务管理、各项目产出、社会效益等方面进行了绩效评价。</w:t>
      </w:r>
    </w:p>
    <w:p w14:paraId="0FEC22EE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评价综合得分为99.76分，评分等级为优，能准确反映出项目绩效支出。</w:t>
      </w:r>
    </w:p>
    <w:p w14:paraId="0EC1086C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绩效评价结果采取量化评分，量化分值为百分制，评价结果分为四个等级。评分等级优（得分≧90），良（90﹥得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分≧80），中（80﹥得分≧60），差（得分﹤60）。</w:t>
      </w:r>
    </w:p>
    <w:p w14:paraId="1E6CDEB8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（二）绩效目标实现情况</w:t>
      </w:r>
    </w:p>
    <w:p w14:paraId="194A17D8" w14:textId="77777777" w:rsidR="00E83F5C" w:rsidRDefault="00000000">
      <w:pPr>
        <w:widowControl w:val="0"/>
        <w:spacing w:line="620" w:lineRule="exact"/>
        <w:ind w:firstLineChars="200" w:firstLine="640"/>
        <w:jc w:val="both"/>
        <w:rPr>
          <w:rFonts w:ascii="仿宋_GB2312" w:eastAsia="仿宋_GB2312" w:hAnsi="仿宋_GB2312" w:cs="仿宋_GB2312" w:hint="eastAsia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为深入贯彻落实市、区对城市网格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管理工作的部署要求，结合昆明市主城其他县区当下工作经验，中心按照“节约财政支出、发挥资金效益、减少管理成本、管好事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养人”的原则，拟将五华区现行的网格监督员劳务派遣用工模式调整变更为“服务外包”模式，网格巡查监督覆盖网点1</w:t>
      </w:r>
      <w:r>
        <w:rPr>
          <w:rFonts w:ascii="仿宋_GB2312" w:eastAsia="仿宋_GB2312" w:hAnsi="仿宋_GB2312" w:cs="仿宋_GB2312"/>
          <w:sz w:val="32"/>
          <w:szCs w:val="32"/>
        </w:rPr>
        <w:t>01</w:t>
      </w:r>
      <w:r>
        <w:rPr>
          <w:rFonts w:ascii="仿宋_GB2312" w:eastAsia="仿宋_GB2312" w:hAnsi="仿宋_GB2312" w:cs="仿宋_GB2312" w:hint="eastAsia"/>
          <w:sz w:val="32"/>
          <w:szCs w:val="32"/>
        </w:rPr>
        <w:t>个；每个社区案件上报数大于3件；每天巡查里程混合距离5公里以上；市级对区级月考核“保二争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”；网格化管理宣传6次；案件处置率≥</w:t>
      </w:r>
      <w:r>
        <w:rPr>
          <w:rFonts w:ascii="仿宋_GB2312" w:eastAsia="仿宋_GB2312" w:hAnsi="仿宋_GB2312" w:cs="仿宋_GB2312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sz w:val="32"/>
          <w:szCs w:val="32"/>
        </w:rPr>
        <w:t>%；案件结案率≥</w:t>
      </w:r>
      <w:r>
        <w:rPr>
          <w:rFonts w:ascii="仿宋_GB2312" w:eastAsia="仿宋_GB2312" w:hAnsi="仿宋_GB2312" w:cs="仿宋_GB2312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sz w:val="32"/>
          <w:szCs w:val="32"/>
        </w:rPr>
        <w:t>%；接诉受理及时率≥</w:t>
      </w:r>
      <w:r>
        <w:rPr>
          <w:rFonts w:ascii="仿宋_GB2312" w:eastAsia="仿宋_GB2312" w:hAnsi="仿宋_GB2312" w:cs="仿宋_GB2312"/>
          <w:sz w:val="32"/>
          <w:szCs w:val="32"/>
        </w:rPr>
        <w:t>98</w:t>
      </w:r>
      <w:r>
        <w:rPr>
          <w:rFonts w:ascii="仿宋_GB2312" w:eastAsia="仿宋_GB2312" w:hAnsi="仿宋_GB2312" w:cs="仿宋_GB2312" w:hint="eastAsia"/>
          <w:sz w:val="32"/>
          <w:szCs w:val="32"/>
        </w:rPr>
        <w:t>%；节约财政支出，减少管理成本，显著降低；打造“五华特色”的网格管理新模式，显著上升。</w:t>
      </w:r>
    </w:p>
    <w:p w14:paraId="7945074A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14:paraId="6835A6CE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（一）项目决策情况分析</w:t>
      </w:r>
    </w:p>
    <w:p w14:paraId="6D4D0FAA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1.项目的立项依据充分:符合国家法律法规、国民经济发展规划，与部门职责范围相符，属于部门职责所需，属于公共财政支持的范围；</w:t>
      </w:r>
    </w:p>
    <w:p w14:paraId="405EDD00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2.项目的立项程序规范:按照规定的程序申请设立，审批文件、材料符合相关要求；</w:t>
      </w:r>
    </w:p>
    <w:p w14:paraId="125126BD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3.项目绩效目标合理：设定的绩效目标依据合理、充分，与实际工作内容具有相关性，预期产出的效益和效果符合正常的水平；</w:t>
      </w:r>
    </w:p>
    <w:p w14:paraId="4E47DD0D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4.项目绩效指标明确：项目设定的绩效指标明确，是清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晰、细化的；</w:t>
      </w:r>
    </w:p>
    <w:p w14:paraId="35F824FF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5.预算编制科学：预算编制有明确的标准，资金额度与年度目标相适应；</w:t>
      </w:r>
    </w:p>
    <w:p w14:paraId="0BB02C59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6.资金分配合理：项目预算资金分配有测算依据，分配合理与项目单位相适应。</w:t>
      </w:r>
    </w:p>
    <w:p w14:paraId="00A2006B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（二）项目过程情况分析</w:t>
      </w:r>
    </w:p>
    <w:p w14:paraId="61F6B12E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资金到位率：资金到位率=（实际到位资金/预算资金）*</w:t>
      </w:r>
      <w:r>
        <w:rPr>
          <w:rFonts w:ascii="仿宋_GB2312" w:eastAsia="仿宋_GB2312" w:hAnsi="仿宋_GB2312" w:cs="仿宋_GB2312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%=575.46/575.46</w:t>
      </w:r>
      <w:r>
        <w:rPr>
          <w:rFonts w:ascii="仿宋_GB2312" w:eastAsia="仿宋_GB2312" w:hAnsi="仿宋_GB2312" w:cs="仿宋_GB2312"/>
          <w:sz w:val="32"/>
          <w:szCs w:val="32"/>
        </w:rPr>
        <w:t>=100</w:t>
      </w:r>
      <w:r>
        <w:rPr>
          <w:rFonts w:ascii="仿宋_GB2312" w:eastAsia="仿宋_GB2312" w:hAnsi="仿宋_GB2312" w:cs="仿宋_GB2312" w:hint="eastAsia"/>
          <w:sz w:val="32"/>
          <w:szCs w:val="32"/>
        </w:rPr>
        <w:t>%；</w:t>
      </w:r>
    </w:p>
    <w:p w14:paraId="4FF82746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预算执行率：预算执行率=（实际支出资金/实际到位资金）*</w:t>
      </w:r>
      <w:r>
        <w:rPr>
          <w:rFonts w:ascii="仿宋_GB2312" w:eastAsia="仿宋_GB2312" w:hAnsi="仿宋_GB2312" w:cs="仿宋_GB2312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%=552.59/575.46</w:t>
      </w:r>
      <w:r>
        <w:rPr>
          <w:rFonts w:ascii="仿宋_GB2312" w:eastAsia="仿宋_GB2312" w:hAnsi="仿宋_GB2312" w:cs="仿宋_GB2312"/>
          <w:sz w:val="32"/>
          <w:szCs w:val="32"/>
        </w:rPr>
        <w:t>=</w:t>
      </w:r>
      <w:r>
        <w:rPr>
          <w:rFonts w:ascii="仿宋_GB2312" w:eastAsia="仿宋_GB2312" w:hAnsi="仿宋_GB2312" w:cs="仿宋_GB2312" w:hint="eastAsia"/>
          <w:sz w:val="32"/>
          <w:szCs w:val="32"/>
        </w:rPr>
        <w:t>96.03%；</w:t>
      </w:r>
    </w:p>
    <w:p w14:paraId="7E078D81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.资金使用合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性：资金使用合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，符合国家财经法规，按照本单位财务管理制度进行开支，支付的资金有完整的审批程序和手续，符合项目预算批复或合同规定的用途，不存在截留、挤占、挪用、虚列支出等情况；</w:t>
      </w:r>
    </w:p>
    <w:p w14:paraId="02CC8F58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管理制度健全性：管理制度健全、合法、合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、完整，能保障项目顺利实施；</w:t>
      </w:r>
    </w:p>
    <w:p w14:paraId="7CA3D1A5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制度执行有效性：遵守相关法律法规和相关管理规定，项目支出手续完整，项目支出的项目附件资料齐全并及时归档；</w:t>
      </w:r>
    </w:p>
    <w:p w14:paraId="4F3DB475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（三）项目产出情况分析</w:t>
      </w:r>
    </w:p>
    <w:p w14:paraId="0D40C705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该项目属于延续性项目，每年按工作计划开展，项目产出良好；</w:t>
      </w:r>
    </w:p>
    <w:p w14:paraId="091FCE7B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．产出数量：实际完成率=（实际产出数/计划产出数），网格巡查监督覆盖网点数=101</w:t>
      </w:r>
      <w:r>
        <w:rPr>
          <w:rFonts w:ascii="仿宋_GB2312" w:eastAsia="仿宋_GB2312" w:hAnsi="仿宋_GB2312" w:cs="仿宋_GB2312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101=10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%、网格化管理宣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传次数=6</w:t>
      </w:r>
      <w:r>
        <w:rPr>
          <w:rFonts w:ascii="仿宋_GB2312" w:eastAsia="仿宋_GB2312" w:hAnsi="仿宋_GB2312" w:cs="仿宋_GB2312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6=</w:t>
      </w:r>
      <w:r>
        <w:rPr>
          <w:rFonts w:ascii="仿宋_GB2312" w:eastAsia="仿宋_GB2312" w:hAnsi="仿宋_GB2312" w:cs="仿宋_GB2312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网格员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每天巡查里程混合距离=5/5=100%、每个社区每天案件上报数=3/3=100%；</w:t>
      </w:r>
    </w:p>
    <w:p w14:paraId="2440F8FC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2．产出质量：案件处置率达到95%、案件结案率达到95%、市级对区级月考核排名“保二争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”；</w:t>
      </w:r>
    </w:p>
    <w:p w14:paraId="6B9CAD24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3．产出时效：项目完成及时率达到95%、接诉受理及时率达到98%、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网格员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每天在网格内巡查在线时长5小时；</w:t>
      </w:r>
    </w:p>
    <w:p w14:paraId="74AB36DC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4．产出成本：</w:t>
      </w:r>
      <w:r>
        <w:rPr>
          <w:rFonts w:ascii="仿宋_GB2312" w:eastAsia="仿宋_GB2312" w:hAnsi="仿宋_GB2312" w:cs="仿宋_GB2312"/>
          <w:sz w:val="32"/>
          <w:szCs w:val="32"/>
        </w:rPr>
        <w:t>成本节约率=[（计划成本-实际成本）/ 计划成本]×100%</w:t>
      </w:r>
      <w:r>
        <w:rPr>
          <w:rFonts w:ascii="仿宋_GB2312" w:eastAsia="仿宋_GB2312" w:hAnsi="仿宋_GB2312" w:cs="仿宋_GB2312" w:hint="eastAsia"/>
          <w:sz w:val="32"/>
          <w:szCs w:val="32"/>
        </w:rPr>
        <w:t>=</w:t>
      </w:r>
      <w:r>
        <w:rPr>
          <w:rFonts w:ascii="仿宋_GB2312" w:eastAsia="仿宋_GB2312" w:hAnsi="仿宋_GB2312" w:cs="仿宋_GB2312"/>
          <w:sz w:val="32"/>
          <w:szCs w:val="32"/>
        </w:rPr>
        <w:t>[（</w:t>
      </w:r>
      <w:r>
        <w:rPr>
          <w:rFonts w:ascii="仿宋_GB2312" w:eastAsia="仿宋_GB2312" w:hAnsi="仿宋_GB2312" w:cs="仿宋_GB2312" w:hint="eastAsia"/>
          <w:sz w:val="32"/>
          <w:szCs w:val="32"/>
        </w:rPr>
        <w:t>575.46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552.59</w:t>
      </w:r>
      <w:r>
        <w:rPr>
          <w:rFonts w:ascii="仿宋_GB2312" w:eastAsia="仿宋_GB2312" w:hAnsi="仿宋_GB2312" w:cs="仿宋_GB2312"/>
          <w:sz w:val="32"/>
          <w:szCs w:val="32"/>
        </w:rPr>
        <w:t xml:space="preserve">）/ </w:t>
      </w:r>
      <w:r>
        <w:rPr>
          <w:rFonts w:ascii="仿宋_GB2312" w:eastAsia="仿宋_GB2312" w:hAnsi="仿宋_GB2312" w:cs="仿宋_GB2312" w:hint="eastAsia"/>
          <w:sz w:val="32"/>
          <w:szCs w:val="32"/>
        </w:rPr>
        <w:t>575.46</w:t>
      </w:r>
      <w:r>
        <w:rPr>
          <w:rFonts w:ascii="仿宋_GB2312" w:eastAsia="仿宋_GB2312" w:hAnsi="仿宋_GB2312" w:cs="仿宋_GB2312"/>
          <w:sz w:val="32"/>
          <w:szCs w:val="32"/>
        </w:rPr>
        <w:t>]×100%</w:t>
      </w:r>
      <w:r>
        <w:rPr>
          <w:rFonts w:ascii="仿宋_GB2312" w:eastAsia="仿宋_GB2312" w:hAnsi="仿宋_GB2312" w:cs="仿宋_GB2312" w:hint="eastAsia"/>
          <w:sz w:val="32"/>
          <w:szCs w:val="32"/>
        </w:rPr>
        <w:t>=3.97%。</w:t>
      </w:r>
    </w:p>
    <w:p w14:paraId="67648EA1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（四）项目效益情况分析</w:t>
      </w:r>
    </w:p>
    <w:p w14:paraId="7E51B856" w14:textId="77777777" w:rsidR="00E83F5C" w:rsidRDefault="00000000">
      <w:pPr>
        <w:spacing w:line="600" w:lineRule="exact"/>
        <w:ind w:firstLineChars="200" w:firstLine="640"/>
        <w:jc w:val="both"/>
        <w:outlineLvl w:val="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1、预期产出：网格巡查监督覆盖网点1</w:t>
      </w:r>
      <w:r>
        <w:rPr>
          <w:rFonts w:ascii="仿宋_GB2312" w:eastAsia="仿宋_GB2312" w:hAnsi="仿宋_GB2312" w:cs="仿宋_GB2312"/>
          <w:sz w:val="32"/>
          <w:szCs w:val="32"/>
        </w:rPr>
        <w:t>01</w:t>
      </w:r>
      <w:r>
        <w:rPr>
          <w:rFonts w:ascii="仿宋_GB2312" w:eastAsia="仿宋_GB2312" w:hAnsi="仿宋_GB2312" w:cs="仿宋_GB2312" w:hint="eastAsia"/>
          <w:sz w:val="32"/>
          <w:szCs w:val="32"/>
        </w:rPr>
        <w:t>个；每个社区案件上报数大于3件；每天巡查里程混合距离5公里以上；市级对区级月考核“保二争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”；网格化管理宣传6次；案件处置率≥</w:t>
      </w:r>
      <w:r>
        <w:rPr>
          <w:rFonts w:ascii="仿宋_GB2312" w:eastAsia="仿宋_GB2312" w:hAnsi="仿宋_GB2312" w:cs="仿宋_GB2312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sz w:val="32"/>
          <w:szCs w:val="32"/>
        </w:rPr>
        <w:t>%；案件结案率≥</w:t>
      </w:r>
      <w:r>
        <w:rPr>
          <w:rFonts w:ascii="仿宋_GB2312" w:eastAsia="仿宋_GB2312" w:hAnsi="仿宋_GB2312" w:cs="仿宋_GB2312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sz w:val="32"/>
          <w:szCs w:val="32"/>
        </w:rPr>
        <w:t>%；接诉受理及时率≥</w:t>
      </w:r>
      <w:r>
        <w:rPr>
          <w:rFonts w:ascii="仿宋_GB2312" w:eastAsia="仿宋_GB2312" w:hAnsi="仿宋_GB2312" w:cs="仿宋_GB2312"/>
          <w:sz w:val="32"/>
          <w:szCs w:val="32"/>
        </w:rPr>
        <w:t>98</w:t>
      </w:r>
      <w:r>
        <w:rPr>
          <w:rFonts w:ascii="仿宋_GB2312" w:eastAsia="仿宋_GB2312" w:hAnsi="仿宋_GB2312" w:cs="仿宋_GB2312" w:hint="eastAsia"/>
          <w:sz w:val="32"/>
          <w:szCs w:val="32"/>
        </w:rPr>
        <w:t>%。</w:t>
      </w:r>
    </w:p>
    <w:p w14:paraId="51443FD7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2、预期效果：节约财政支出，减少管理成本，显著降低；打造“五华特色”的网格管理新模式，显著上升。</w:t>
      </w:r>
    </w:p>
    <w:p w14:paraId="4251EE20" w14:textId="77777777" w:rsidR="00E83F5C" w:rsidRDefault="00000000">
      <w:pPr>
        <w:spacing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</w:t>
      </w:r>
    </w:p>
    <w:p w14:paraId="5C29255A" w14:textId="77777777" w:rsidR="00E83F5C" w:rsidRDefault="00000000">
      <w:pPr>
        <w:spacing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加强预算绩效管理工作，牢固树立“讲绩效、重绩效、用绩效”的观念，进一步完善绩效评价结果运用机制，将评价结果作为申报以后年度预算的重要依据，发挥绩效评价工作的应有作用。下一步，将继续按照上级部门及财政局相关要求，认真做好项目经费预算、管理和使用等工作，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实提高项目经费使用效率，最大限度的满足各项工作要求，为本单位工作提供更好支撑和支持。</w:t>
      </w:r>
    </w:p>
    <w:p w14:paraId="318AE4D5" w14:textId="77777777" w:rsidR="00E83F5C" w:rsidRDefault="00000000">
      <w:pPr>
        <w:numPr>
          <w:ilvl w:val="0"/>
          <w:numId w:val="2"/>
        </w:numPr>
        <w:spacing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存在的问题及原因分析</w:t>
      </w:r>
    </w:p>
    <w:p w14:paraId="387991E0" w14:textId="77777777" w:rsidR="00E83F5C" w:rsidRDefault="00000000">
      <w:pPr>
        <w:widowControl w:val="0"/>
        <w:spacing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p w14:paraId="2ADE17B1" w14:textId="77777777" w:rsidR="00E83F5C" w:rsidRDefault="00000000">
      <w:pPr>
        <w:numPr>
          <w:ilvl w:val="0"/>
          <w:numId w:val="2"/>
        </w:numPr>
        <w:spacing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有关建议</w:t>
      </w:r>
    </w:p>
    <w:p w14:paraId="253FA88F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通过对2023年财政绩效支出工作的梳理总结，针对存在的问题将做好以下改进措施：</w:t>
      </w:r>
    </w:p>
    <w:p w14:paraId="163245D3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1.进一步完善预算资金使用的制度建设，确保以制度做好监督，使财政预算绩效工作能够合法合理，科学有效开展；</w:t>
      </w:r>
    </w:p>
    <w:p w14:paraId="21AD7B42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2.加强过程监督，提高资金使用效益，完善绩效指标体系，尽可能合理的细化、量化指标体系，使各项指标能充分反映在预算管理工作中。</w:t>
      </w:r>
    </w:p>
    <w:p w14:paraId="175E5105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3.根据《预算法》及实施条例，结合自身预算执行的实际情况，努力做好收支平衡，严谨、科学的编制年度预算，制定合理的绩效目标，做好预算执行中的监督，不断完善预算管理工作。</w:t>
      </w:r>
    </w:p>
    <w:p w14:paraId="1856EF95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八、其他需要说明的问题</w:t>
      </w:r>
    </w:p>
    <w:p w14:paraId="5A31D489" w14:textId="77777777" w:rsidR="00E83F5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E83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163053"/>
    <w:multiLevelType w:val="singleLevel"/>
    <w:tmpl w:val="6A163053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C0064EC"/>
    <w:multiLevelType w:val="multilevel"/>
    <w:tmpl w:val="7C0064EC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1226796496">
    <w:abstractNumId w:val="1"/>
  </w:num>
  <w:num w:numId="2" w16cid:durableId="88240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lkZWIyMTVmNmVlOTIwOGI3MTI3NTJkMDJmZDNlNjkifQ=="/>
  </w:docVars>
  <w:rsids>
    <w:rsidRoot w:val="4A0D449E"/>
    <w:rsid w:val="000A494B"/>
    <w:rsid w:val="001363AD"/>
    <w:rsid w:val="00195C2D"/>
    <w:rsid w:val="00206EEB"/>
    <w:rsid w:val="002966FF"/>
    <w:rsid w:val="004E7166"/>
    <w:rsid w:val="00551130"/>
    <w:rsid w:val="00725EDC"/>
    <w:rsid w:val="00771AB3"/>
    <w:rsid w:val="00BD549B"/>
    <w:rsid w:val="00C467F4"/>
    <w:rsid w:val="00E75AE0"/>
    <w:rsid w:val="00E83F5C"/>
    <w:rsid w:val="03F751D8"/>
    <w:rsid w:val="04164407"/>
    <w:rsid w:val="0492207E"/>
    <w:rsid w:val="04CA631E"/>
    <w:rsid w:val="06231E4A"/>
    <w:rsid w:val="087C541A"/>
    <w:rsid w:val="15BF5628"/>
    <w:rsid w:val="1F8D7E91"/>
    <w:rsid w:val="23E85DBF"/>
    <w:rsid w:val="25E03162"/>
    <w:rsid w:val="2B153BD3"/>
    <w:rsid w:val="30EC0488"/>
    <w:rsid w:val="3474193F"/>
    <w:rsid w:val="38A5122C"/>
    <w:rsid w:val="3A400C0F"/>
    <w:rsid w:val="41B853E2"/>
    <w:rsid w:val="41F50D52"/>
    <w:rsid w:val="43CA05B0"/>
    <w:rsid w:val="46235D12"/>
    <w:rsid w:val="4A0D449E"/>
    <w:rsid w:val="4BFB3B76"/>
    <w:rsid w:val="515A3230"/>
    <w:rsid w:val="52F7450A"/>
    <w:rsid w:val="5CC977C8"/>
    <w:rsid w:val="61E46E4D"/>
    <w:rsid w:val="62572F88"/>
    <w:rsid w:val="664F1741"/>
    <w:rsid w:val="688F305E"/>
    <w:rsid w:val="6D266A91"/>
    <w:rsid w:val="705F59CE"/>
    <w:rsid w:val="72836BCA"/>
    <w:rsid w:val="79DD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C2225E-8FC6-403A-A0EB-DC4853FC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584</Words>
  <Characters>3335</Characters>
  <Application>Microsoft Office Word</Application>
  <DocSecurity>0</DocSecurity>
  <Lines>27</Lines>
  <Paragraphs>7</Paragraphs>
  <ScaleCrop>false</ScaleCrop>
  <Company>昆明市五华区党政机关单位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旁观者</dc:creator>
  <cp:lastModifiedBy>Administrator</cp:lastModifiedBy>
  <cp:revision>7</cp:revision>
  <dcterms:created xsi:type="dcterms:W3CDTF">2021-02-18T05:27:00Z</dcterms:created>
  <dcterms:modified xsi:type="dcterms:W3CDTF">2024-07-31T00:55:00Z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8B35ADF3C72B4EAB80C9DF62779B4333_12</vt:lpwstr>
  </property>
</Properties>
</file>