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9515C">
      <w:pPr>
        <w:keepNext w:val="0"/>
        <w:keepLines w:val="0"/>
        <w:pageBreakBefore w:val="0"/>
        <w:widowControl/>
        <w:kinsoku/>
        <w:wordWrap/>
        <w:overflowPunct/>
        <w:topLinePunct w:val="0"/>
        <w:autoSpaceDE/>
        <w:autoSpaceDN/>
        <w:bidi w:val="0"/>
        <w:adjustRightInd/>
        <w:snapToGrid/>
        <w:spacing w:after="0" w:line="560" w:lineRule="exact"/>
        <w:ind w:left="0" w:right="0" w:firstLine="0" w:firstLineChars="0"/>
        <w:jc w:val="center"/>
        <w:textAlignment w:val="auto"/>
        <w:rPr>
          <w:rFonts w:hint="default" w:ascii="Times New Roman" w:hAnsi="Times New Roman" w:eastAsia="方正小标宋_GBK" w:cs="Times New Roman"/>
          <w:b w:val="0"/>
          <w:bCs w:val="0"/>
          <w:color w:val="auto"/>
          <w:sz w:val="44"/>
          <w:szCs w:val="44"/>
        </w:rPr>
      </w:pPr>
      <w:r>
        <w:rPr>
          <w:rFonts w:hint="default" w:ascii="Times New Roman" w:hAnsi="Times New Roman" w:eastAsia="方正小标宋_GBK" w:cs="Times New Roman"/>
          <w:b w:val="0"/>
          <w:bCs w:val="0"/>
          <w:color w:val="auto"/>
          <w:sz w:val="44"/>
          <w:szCs w:val="44"/>
          <w:lang w:val="en-US" w:eastAsia="zh-CN"/>
        </w:rPr>
        <w:t>2023年</w:t>
      </w:r>
      <w:r>
        <w:rPr>
          <w:rFonts w:hint="default" w:ascii="Times New Roman" w:hAnsi="Times New Roman" w:eastAsia="方正小标宋_GBK" w:cs="Times New Roman"/>
          <w:b w:val="0"/>
          <w:bCs w:val="0"/>
          <w:color w:val="auto"/>
          <w:sz w:val="44"/>
          <w:szCs w:val="44"/>
          <w:lang w:eastAsia="zh-CN"/>
        </w:rPr>
        <w:t>国民经济发展综合工作</w:t>
      </w:r>
      <w:r>
        <w:rPr>
          <w:rFonts w:hint="default" w:ascii="Times New Roman" w:hAnsi="Times New Roman" w:eastAsia="方正小标宋_GBK" w:cs="Times New Roman"/>
          <w:b w:val="0"/>
          <w:bCs w:val="0"/>
          <w:color w:val="auto"/>
          <w:sz w:val="44"/>
          <w:szCs w:val="44"/>
        </w:rPr>
        <w:t>项目支出</w:t>
      </w:r>
    </w:p>
    <w:p w14:paraId="31068708">
      <w:pPr>
        <w:keepNext w:val="0"/>
        <w:keepLines w:val="0"/>
        <w:pageBreakBefore w:val="0"/>
        <w:widowControl/>
        <w:kinsoku/>
        <w:wordWrap/>
        <w:overflowPunct/>
        <w:topLinePunct w:val="0"/>
        <w:autoSpaceDE/>
        <w:autoSpaceDN/>
        <w:bidi w:val="0"/>
        <w:adjustRightInd/>
        <w:snapToGrid/>
        <w:spacing w:after="0" w:line="560" w:lineRule="exact"/>
        <w:ind w:left="0" w:right="0" w:firstLine="0" w:firstLineChars="0"/>
        <w:jc w:val="center"/>
        <w:textAlignment w:val="auto"/>
        <w:rPr>
          <w:rFonts w:hint="default" w:ascii="Times New Roman" w:hAnsi="Times New Roman" w:eastAsia="宋体" w:cs="Times New Roman"/>
          <w:b w:val="0"/>
          <w:bCs w:val="0"/>
          <w:color w:val="auto"/>
          <w:sz w:val="36"/>
          <w:szCs w:val="36"/>
        </w:rPr>
      </w:pPr>
      <w:r>
        <w:rPr>
          <w:rFonts w:hint="default" w:ascii="Times New Roman" w:hAnsi="Times New Roman" w:eastAsia="方正小标宋_GBK" w:cs="Times New Roman"/>
          <w:b w:val="0"/>
          <w:bCs w:val="0"/>
          <w:color w:val="auto"/>
          <w:sz w:val="44"/>
          <w:szCs w:val="44"/>
          <w:lang w:val="en-US" w:eastAsia="zh-Hans"/>
        </w:rPr>
        <w:t>部门</w:t>
      </w:r>
      <w:r>
        <w:rPr>
          <w:rFonts w:hint="default" w:ascii="Times New Roman" w:hAnsi="Times New Roman" w:eastAsia="方正小标宋_GBK" w:cs="Times New Roman"/>
          <w:b w:val="0"/>
          <w:bCs w:val="0"/>
          <w:color w:val="auto"/>
          <w:sz w:val="44"/>
          <w:szCs w:val="44"/>
        </w:rPr>
        <w:t>绩效评价报告</w:t>
      </w:r>
    </w:p>
    <w:p w14:paraId="5D9FA803">
      <w:pPr>
        <w:keepNext w:val="0"/>
        <w:keepLines w:val="0"/>
        <w:pageBreakBefore w:val="0"/>
        <w:widowControl/>
        <w:kinsoku/>
        <w:wordWrap/>
        <w:overflowPunct/>
        <w:topLinePunct w:val="0"/>
        <w:autoSpaceDE/>
        <w:autoSpaceDN/>
        <w:bidi w:val="0"/>
        <w:adjustRightInd/>
        <w:snapToGrid/>
        <w:spacing w:after="0" w:line="560" w:lineRule="exact"/>
        <w:ind w:right="0"/>
        <w:textAlignment w:val="auto"/>
        <w:rPr>
          <w:rFonts w:hint="default" w:ascii="Times New Roman" w:hAnsi="Times New Roman" w:eastAsia="仿宋_GB2312" w:cs="Times New Roman"/>
          <w:color w:val="auto"/>
          <w:sz w:val="32"/>
          <w:szCs w:val="32"/>
          <w:lang w:val="en-US" w:eastAsia="zh-CN"/>
        </w:rPr>
      </w:pPr>
    </w:p>
    <w:p w14:paraId="7E6702FA">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outlineLvl w:val="0"/>
        <w:rPr>
          <w:rFonts w:hint="default" w:ascii="Times New Roman" w:hAnsi="Times New Roman" w:eastAsia="仿宋_GB2312" w:cs="Times New Roman"/>
          <w:b w:val="0"/>
          <w:bCs w:val="0"/>
          <w:color w:val="auto"/>
          <w:sz w:val="32"/>
          <w:szCs w:val="32"/>
        </w:rPr>
      </w:pPr>
      <w:bookmarkStart w:id="0" w:name="_Toc1297213935"/>
      <w:r>
        <w:rPr>
          <w:rFonts w:hint="default" w:ascii="Times New Roman" w:hAnsi="Times New Roman" w:eastAsia="黑体" w:cs="Times New Roman"/>
          <w:b w:val="0"/>
          <w:bCs w:val="0"/>
          <w:color w:val="auto"/>
          <w:sz w:val="32"/>
          <w:szCs w:val="32"/>
        </w:rPr>
        <w:t>一、基本情况</w:t>
      </w:r>
      <w:bookmarkEnd w:id="0"/>
    </w:p>
    <w:p w14:paraId="00802E0A">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outlineLvl w:val="1"/>
        <w:rPr>
          <w:rFonts w:hint="default" w:ascii="Times New Roman" w:hAnsi="Times New Roman" w:eastAsia="仿宋_GB2312" w:cs="Times New Roman"/>
          <w:b w:val="0"/>
          <w:bCs w:val="0"/>
          <w:color w:val="auto"/>
          <w:sz w:val="32"/>
          <w:szCs w:val="32"/>
        </w:rPr>
      </w:pPr>
      <w:bookmarkStart w:id="1" w:name="_Toc1020621201"/>
      <w:r>
        <w:rPr>
          <w:rFonts w:hint="default" w:ascii="Times New Roman" w:hAnsi="Times New Roman" w:eastAsia="楷体_GB2312" w:cs="Times New Roman"/>
          <w:b w:val="0"/>
          <w:bCs w:val="0"/>
          <w:color w:val="auto"/>
          <w:sz w:val="32"/>
          <w:szCs w:val="32"/>
        </w:rPr>
        <w:t>（一）项目概况</w:t>
      </w:r>
      <w:bookmarkEnd w:id="1"/>
    </w:p>
    <w:p w14:paraId="277D1D48">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kern w:val="2"/>
          <w:sz w:val="32"/>
          <w:szCs w:val="32"/>
          <w:lang w:val="en-US" w:eastAsia="zh-CN" w:bidi="ar-SA"/>
        </w:rPr>
      </w:pPr>
      <w:r>
        <w:rPr>
          <w:rFonts w:hint="default" w:ascii="Times New Roman" w:hAnsi="Times New Roman" w:eastAsia="仿宋_GB2312" w:cs="Times New Roman"/>
          <w:b/>
          <w:bCs/>
          <w:kern w:val="2"/>
          <w:sz w:val="32"/>
          <w:szCs w:val="32"/>
          <w:lang w:eastAsia="zh-CN" w:bidi="ar-SA"/>
        </w:rPr>
        <w:t>1.</w:t>
      </w:r>
      <w:r>
        <w:rPr>
          <w:rFonts w:hint="default" w:ascii="Times New Roman" w:hAnsi="Times New Roman" w:eastAsia="仿宋_GB2312" w:cs="Times New Roman"/>
          <w:b/>
          <w:bCs/>
          <w:kern w:val="2"/>
          <w:sz w:val="32"/>
          <w:szCs w:val="32"/>
          <w:lang w:val="en-US" w:eastAsia="zh-CN" w:bidi="ar-SA"/>
        </w:rPr>
        <w:t>项目背景</w:t>
      </w:r>
    </w:p>
    <w:p w14:paraId="060286DB">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Hans"/>
        </w:rPr>
        <w:t>根据《昆明市五华区发展和改革局职能配置、内设机构和人员编制规定的通知》（五办通〔2019〕34号）文件规定的职能职责，负责编制全区国民经济和社会发展中长期规划及年度国民经济计划并统筹推进实施；围绕主动适应社会主要矛盾新变化，强化重大问题和重点产业发展方向的研究与政策制定，为区委、区政府决策提供依据；做好主要经济指标的跟踪、监测与分析，强化经济形势分析研判，统筹推进稳增长任务落实，重点针对经济运行出现的问题提出对策措施。指导推进和综合协调经济体制改革有关工作；组织拟订综合性经济体制改革方案；协调解决经济体制改革进程中的重大问题；研究和衔接有关部门拟订的专项经济体制改革方案；指导经济体制改革试点工作等工作。</w:t>
      </w:r>
    </w:p>
    <w:p w14:paraId="29E462B3">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val="0"/>
          <w:bCs w:val="0"/>
          <w:kern w:val="2"/>
          <w:sz w:val="32"/>
          <w:szCs w:val="32"/>
          <w:lang w:eastAsia="zh-CN" w:bidi="ar-SA"/>
        </w:rPr>
      </w:pPr>
      <w:r>
        <w:rPr>
          <w:rFonts w:hint="default" w:ascii="Times New Roman" w:hAnsi="Times New Roman" w:eastAsia="仿宋_GB2312" w:cs="Times New Roman"/>
          <w:b/>
          <w:bCs/>
          <w:kern w:val="2"/>
          <w:sz w:val="32"/>
          <w:szCs w:val="32"/>
          <w:lang w:eastAsia="zh-CN" w:bidi="ar-SA"/>
        </w:rPr>
        <w:t>2.</w:t>
      </w:r>
      <w:r>
        <w:rPr>
          <w:rFonts w:hint="default" w:ascii="Times New Roman" w:hAnsi="Times New Roman" w:eastAsia="仿宋_GB2312" w:cs="Times New Roman"/>
          <w:b/>
          <w:bCs/>
          <w:kern w:val="2"/>
          <w:sz w:val="32"/>
          <w:szCs w:val="32"/>
          <w:lang w:val="en-US" w:eastAsia="zh-Hans" w:bidi="ar-SA"/>
        </w:rPr>
        <w:t>项目</w:t>
      </w:r>
      <w:r>
        <w:rPr>
          <w:rFonts w:hint="default" w:ascii="Times New Roman" w:hAnsi="Times New Roman" w:eastAsia="仿宋_GB2312" w:cs="Times New Roman"/>
          <w:b/>
          <w:bCs/>
          <w:kern w:val="2"/>
          <w:sz w:val="32"/>
          <w:szCs w:val="32"/>
          <w:lang w:eastAsia="zh-CN" w:bidi="ar-SA"/>
        </w:rPr>
        <w:t>实施情况</w:t>
      </w:r>
    </w:p>
    <w:p w14:paraId="6764147B">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Hans"/>
        </w:rPr>
        <w:t>组织开展</w:t>
      </w:r>
      <w:r>
        <w:rPr>
          <w:rFonts w:hint="default" w:ascii="Times New Roman" w:hAnsi="Times New Roman" w:eastAsia="仿宋_GB2312" w:cs="Times New Roman"/>
          <w:b w:val="0"/>
          <w:bCs w:val="0"/>
          <w:sz w:val="32"/>
          <w:szCs w:val="32"/>
          <w:lang w:val="en-US" w:eastAsia="zh-CN"/>
        </w:rPr>
        <w:t>21</w:t>
      </w:r>
      <w:r>
        <w:rPr>
          <w:rFonts w:hint="default" w:ascii="Times New Roman" w:hAnsi="Times New Roman" w:eastAsia="仿宋_GB2312" w:cs="Times New Roman"/>
          <w:b w:val="0"/>
          <w:bCs w:val="0"/>
          <w:sz w:val="32"/>
          <w:szCs w:val="32"/>
          <w:lang w:val="en-US" w:eastAsia="zh-Hans"/>
        </w:rPr>
        <w:t>次经济运行分析及指标调度会议，并形成4份分析报告；印制</w:t>
      </w:r>
      <w:r>
        <w:rPr>
          <w:rFonts w:hint="default" w:ascii="Times New Roman" w:hAnsi="Times New Roman" w:eastAsia="仿宋_GB2312" w:cs="Times New Roman"/>
          <w:b w:val="0"/>
          <w:bCs w:val="0"/>
          <w:sz w:val="32"/>
          <w:szCs w:val="32"/>
          <w:lang w:val="en-US" w:eastAsia="zh-CN"/>
        </w:rPr>
        <w:t>2023年</w:t>
      </w:r>
      <w:r>
        <w:rPr>
          <w:rFonts w:hint="default" w:ascii="Times New Roman" w:hAnsi="Times New Roman" w:eastAsia="仿宋_GB2312" w:cs="Times New Roman"/>
          <w:b w:val="0"/>
          <w:bCs w:val="0"/>
          <w:sz w:val="32"/>
          <w:szCs w:val="32"/>
          <w:lang w:val="en-US" w:eastAsia="zh-Hans"/>
        </w:rPr>
        <w:t>稳增长政策汇编2000册；编制</w:t>
      </w:r>
      <w:r>
        <w:rPr>
          <w:rFonts w:hint="default" w:ascii="Times New Roman" w:hAnsi="Times New Roman" w:eastAsia="仿宋_GB2312" w:cs="Times New Roman"/>
          <w:b w:val="0"/>
          <w:bCs w:val="0"/>
          <w:sz w:val="32"/>
          <w:szCs w:val="32"/>
          <w:lang w:val="en-US" w:eastAsia="zh-CN"/>
        </w:rPr>
        <w:t>完成</w:t>
      </w:r>
      <w:r>
        <w:rPr>
          <w:rFonts w:hint="default" w:ascii="Times New Roman" w:hAnsi="Times New Roman" w:eastAsia="仿宋_GB2312" w:cs="Times New Roman"/>
          <w:b w:val="0"/>
          <w:bCs w:val="0"/>
          <w:sz w:val="32"/>
          <w:szCs w:val="32"/>
          <w:lang w:val="en-US" w:eastAsia="zh-Hans"/>
        </w:rPr>
        <w:t>《五华区绿美城乡建设十年规划》；引入6539户服务主体机构单位；2022年应付未付款项支付</w:t>
      </w:r>
      <w:r>
        <w:rPr>
          <w:rFonts w:hint="default" w:ascii="Times New Roman" w:hAnsi="Times New Roman" w:eastAsia="仿宋_GB2312" w:cs="Times New Roman"/>
          <w:b w:val="0"/>
          <w:bCs w:val="0"/>
          <w:sz w:val="32"/>
          <w:szCs w:val="32"/>
          <w:lang w:val="en-US" w:eastAsia="zh-CN"/>
        </w:rPr>
        <w:t>51.879万元</w:t>
      </w:r>
      <w:r>
        <w:rPr>
          <w:rFonts w:hint="default" w:ascii="Times New Roman" w:hAnsi="Times New Roman" w:eastAsia="仿宋_GB2312" w:cs="Times New Roman"/>
          <w:b w:val="0"/>
          <w:bCs w:val="0"/>
          <w:sz w:val="32"/>
          <w:szCs w:val="32"/>
          <w:lang w:val="en-US" w:eastAsia="zh-Hans"/>
        </w:rPr>
        <w:t>。</w:t>
      </w:r>
    </w:p>
    <w:p w14:paraId="3542E79E">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val="0"/>
          <w:bCs w:val="0"/>
          <w:kern w:val="2"/>
          <w:sz w:val="32"/>
          <w:szCs w:val="32"/>
          <w:lang w:eastAsia="zh-CN" w:bidi="ar-SA"/>
        </w:rPr>
      </w:pPr>
      <w:r>
        <w:rPr>
          <w:rFonts w:hint="default" w:ascii="Times New Roman" w:hAnsi="Times New Roman" w:eastAsia="仿宋_GB2312" w:cs="Times New Roman"/>
          <w:b/>
          <w:bCs/>
          <w:kern w:val="2"/>
          <w:sz w:val="32"/>
          <w:szCs w:val="32"/>
          <w:lang w:eastAsia="zh-CN" w:bidi="ar-SA"/>
        </w:rPr>
        <w:t>3.</w:t>
      </w:r>
      <w:r>
        <w:rPr>
          <w:rFonts w:hint="default" w:ascii="Times New Roman" w:hAnsi="Times New Roman" w:eastAsia="仿宋_GB2312" w:cs="Times New Roman"/>
          <w:b/>
          <w:bCs/>
          <w:kern w:val="2"/>
          <w:sz w:val="32"/>
          <w:szCs w:val="32"/>
          <w:lang w:val="en-US" w:eastAsia="zh-Hans" w:bidi="ar-SA"/>
        </w:rPr>
        <w:t>项目</w:t>
      </w:r>
      <w:r>
        <w:rPr>
          <w:rFonts w:hint="default" w:ascii="Times New Roman" w:hAnsi="Times New Roman" w:eastAsia="仿宋_GB2312" w:cs="Times New Roman"/>
          <w:b/>
          <w:bCs/>
          <w:kern w:val="2"/>
          <w:sz w:val="32"/>
          <w:szCs w:val="32"/>
          <w:lang w:eastAsia="zh-CN" w:bidi="ar-SA"/>
        </w:rPr>
        <w:t>资金投入</w:t>
      </w:r>
      <w:r>
        <w:rPr>
          <w:rFonts w:hint="default" w:ascii="Times New Roman" w:hAnsi="Times New Roman" w:eastAsia="仿宋_GB2312" w:cs="Times New Roman"/>
          <w:b/>
          <w:bCs/>
          <w:kern w:val="2"/>
          <w:sz w:val="32"/>
          <w:szCs w:val="32"/>
          <w:lang w:val="en-US" w:eastAsia="zh-Hans" w:bidi="ar-SA"/>
        </w:rPr>
        <w:t>情况</w:t>
      </w:r>
    </w:p>
    <w:p w14:paraId="64630021">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依据《关于批复2023年部门预算的通知》（五财预总〔2023〕2号）文件，项目年初预算批复资金共计149.90万元。截至2023年12月31日，共计收到五华区财政局下达经费53.879万元。资金到位率为35.94%。</w:t>
      </w:r>
    </w:p>
    <w:p w14:paraId="16166E3F">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kern w:val="2"/>
          <w:sz w:val="32"/>
          <w:szCs w:val="32"/>
          <w:lang w:val="en-US" w:eastAsia="zh-CN" w:bidi="ar-SA"/>
        </w:rPr>
      </w:pPr>
      <w:r>
        <w:rPr>
          <w:rFonts w:hint="default" w:ascii="Times New Roman" w:hAnsi="Times New Roman" w:eastAsia="仿宋_GB2312" w:cs="Times New Roman"/>
          <w:b/>
          <w:bCs/>
          <w:kern w:val="2"/>
          <w:sz w:val="32"/>
          <w:szCs w:val="32"/>
          <w:lang w:eastAsia="zh-CN" w:bidi="ar-SA"/>
        </w:rPr>
        <w:t>4.</w:t>
      </w:r>
      <w:r>
        <w:rPr>
          <w:rFonts w:hint="default" w:ascii="Times New Roman" w:hAnsi="Times New Roman" w:eastAsia="仿宋_GB2312" w:cs="Times New Roman"/>
          <w:b/>
          <w:bCs/>
          <w:kern w:val="2"/>
          <w:sz w:val="32"/>
          <w:szCs w:val="32"/>
          <w:lang w:val="en-US" w:eastAsia="zh-Hans" w:bidi="ar-SA"/>
        </w:rPr>
        <w:t>项目资金</w:t>
      </w:r>
      <w:r>
        <w:rPr>
          <w:rFonts w:hint="default" w:ascii="Times New Roman" w:hAnsi="Times New Roman" w:eastAsia="仿宋_GB2312" w:cs="Times New Roman"/>
          <w:b/>
          <w:bCs/>
          <w:kern w:val="2"/>
          <w:sz w:val="32"/>
          <w:szCs w:val="32"/>
          <w:lang w:eastAsia="zh-CN" w:bidi="ar-SA"/>
        </w:rPr>
        <w:t>使用情况</w:t>
      </w:r>
    </w:p>
    <w:p w14:paraId="3FA72B67">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截至</w:t>
      </w:r>
      <w:r>
        <w:rPr>
          <w:rFonts w:hint="default" w:ascii="Times New Roman" w:hAnsi="Times New Roman" w:eastAsia="仿宋_GB2312" w:cs="Times New Roman"/>
          <w:b w:val="0"/>
          <w:bCs w:val="0"/>
          <w:sz w:val="32"/>
          <w:szCs w:val="32"/>
          <w:lang w:val="en-US" w:eastAsia="zh-Hans"/>
        </w:rPr>
        <w:t>202</w:t>
      </w: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lang w:val="en-US" w:eastAsia="zh-Hans"/>
        </w:rPr>
        <w:t>年</w:t>
      </w:r>
      <w:r>
        <w:rPr>
          <w:rFonts w:hint="default" w:ascii="Times New Roman" w:hAnsi="Times New Roman" w:eastAsia="仿宋_GB2312" w:cs="Times New Roman"/>
          <w:b w:val="0"/>
          <w:bCs w:val="0"/>
          <w:sz w:val="32"/>
          <w:szCs w:val="32"/>
          <w:lang w:val="en-US" w:eastAsia="zh-CN"/>
        </w:rPr>
        <w:t>12</w:t>
      </w:r>
      <w:r>
        <w:rPr>
          <w:rFonts w:hint="default" w:ascii="Times New Roman" w:hAnsi="Times New Roman" w:eastAsia="仿宋_GB2312" w:cs="Times New Roman"/>
          <w:b w:val="0"/>
          <w:bCs w:val="0"/>
          <w:sz w:val="32"/>
          <w:szCs w:val="32"/>
          <w:lang w:val="en-US" w:eastAsia="zh-Hans"/>
        </w:rPr>
        <w:t>月</w:t>
      </w:r>
      <w:r>
        <w:rPr>
          <w:rFonts w:hint="default" w:ascii="Times New Roman" w:hAnsi="Times New Roman" w:eastAsia="仿宋_GB2312" w:cs="Times New Roman"/>
          <w:b w:val="0"/>
          <w:bCs w:val="0"/>
          <w:sz w:val="32"/>
          <w:szCs w:val="32"/>
          <w:lang w:val="en-US" w:eastAsia="zh-CN"/>
        </w:rPr>
        <w:t>31</w:t>
      </w:r>
      <w:r>
        <w:rPr>
          <w:rFonts w:hint="default" w:ascii="Times New Roman" w:hAnsi="Times New Roman" w:eastAsia="仿宋_GB2312" w:cs="Times New Roman"/>
          <w:b w:val="0"/>
          <w:bCs w:val="0"/>
          <w:sz w:val="32"/>
          <w:szCs w:val="32"/>
          <w:lang w:val="en-US" w:eastAsia="zh-Hans"/>
        </w:rPr>
        <w:t>日</w:t>
      </w:r>
      <w:r>
        <w:rPr>
          <w:rFonts w:hint="default" w:ascii="Times New Roman" w:hAnsi="Times New Roman" w:eastAsia="仿宋_GB2312" w:cs="Times New Roman"/>
          <w:b w:val="0"/>
          <w:bCs w:val="0"/>
          <w:sz w:val="32"/>
          <w:szCs w:val="32"/>
          <w:lang w:val="en-US" w:eastAsia="zh-CN"/>
        </w:rPr>
        <w:t>，共计收到区财政局下达经费53.879万元，实际支出项目经费53.879万元，项目预算执行率为100%。</w:t>
      </w:r>
    </w:p>
    <w:p w14:paraId="6BEE9B9A">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outlineLvl w:val="1"/>
        <w:rPr>
          <w:rFonts w:hint="default" w:ascii="Times New Roman" w:hAnsi="Times New Roman" w:eastAsia="楷体_GB2312" w:cs="Times New Roman"/>
          <w:b w:val="0"/>
          <w:bCs w:val="0"/>
          <w:color w:val="auto"/>
          <w:sz w:val="32"/>
          <w:szCs w:val="32"/>
        </w:rPr>
      </w:pPr>
      <w:bookmarkStart w:id="2" w:name="_Toc1628636618"/>
      <w:r>
        <w:rPr>
          <w:rFonts w:hint="default" w:ascii="Times New Roman" w:hAnsi="Times New Roman" w:eastAsia="楷体_GB2312" w:cs="Times New Roman"/>
          <w:b w:val="0"/>
          <w:bCs w:val="0"/>
          <w:color w:val="auto"/>
          <w:sz w:val="32"/>
          <w:szCs w:val="32"/>
        </w:rPr>
        <w:t>（二）项目绩效目标</w:t>
      </w:r>
      <w:bookmarkEnd w:id="2"/>
    </w:p>
    <w:p w14:paraId="2EF0DAE6">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b w:val="0"/>
          <w:bCs w:val="0"/>
          <w:sz w:val="32"/>
          <w:szCs w:val="32"/>
          <w:lang w:val="en-US" w:eastAsia="zh-Hans"/>
        </w:rPr>
      </w:pPr>
      <w:bookmarkStart w:id="3" w:name="_Toc669074064"/>
      <w:r>
        <w:rPr>
          <w:rFonts w:hint="default" w:ascii="Times New Roman" w:hAnsi="Times New Roman" w:eastAsia="仿宋_GB2312" w:cs="Times New Roman"/>
          <w:b w:val="0"/>
          <w:bCs w:val="0"/>
          <w:sz w:val="32"/>
          <w:szCs w:val="32"/>
          <w:lang w:val="en-US" w:eastAsia="zh-Hans"/>
        </w:rPr>
        <w:t>1.根据《昆明市五华区发展和改革局职能配置、内设机构和人员编制规定的通知》（五办通〔2019〕34号）文件规定的主要职能职责组织开展经济运行分析及指标调度会议，全年组织不少于10次经济运行分析及指标调度会议，并形成4份分析报告。</w:t>
      </w:r>
    </w:p>
    <w:p w14:paraId="4814B220">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b w:val="0"/>
          <w:bCs w:val="0"/>
          <w:sz w:val="32"/>
          <w:szCs w:val="32"/>
          <w:lang w:val="en-US" w:eastAsia="zh-Hans"/>
        </w:rPr>
      </w:pPr>
      <w:r>
        <w:rPr>
          <w:rFonts w:hint="default" w:ascii="Times New Roman" w:hAnsi="Times New Roman" w:eastAsia="仿宋_GB2312" w:cs="Times New Roman"/>
          <w:b w:val="0"/>
          <w:bCs w:val="0"/>
          <w:sz w:val="32"/>
          <w:szCs w:val="32"/>
          <w:lang w:val="en-US" w:eastAsia="zh-Hans"/>
        </w:rPr>
        <w:t>2.根据《昆明市五华区发展和改革局职能配置、内设机构和人员编制规定的通知》（五办通〔2019〕34号）文件规定的主要职能职责开展稳增长政策汇编印制工作。以购买服务的方式委托第三方机构印制稳增长政策汇编书册，预计印制2000册。</w:t>
      </w:r>
    </w:p>
    <w:p w14:paraId="5D86E372">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b w:val="0"/>
          <w:bCs w:val="0"/>
          <w:sz w:val="32"/>
          <w:szCs w:val="32"/>
          <w:lang w:val="en-US" w:eastAsia="zh-Hans"/>
        </w:rPr>
      </w:pPr>
      <w:r>
        <w:rPr>
          <w:rFonts w:hint="default" w:ascii="Times New Roman" w:hAnsi="Times New Roman" w:eastAsia="仿宋_GB2312" w:cs="Times New Roman"/>
          <w:b w:val="0"/>
          <w:bCs w:val="0"/>
          <w:sz w:val="32"/>
          <w:szCs w:val="32"/>
          <w:lang w:val="en-US" w:eastAsia="zh-Hans"/>
        </w:rPr>
        <w:t>3.按照省、市开展绿美城乡建设的相关要求，委托专业机构编制《五华区绿美城乡建设十年规划》，从绿美城市、绿美乡村、绿美园区、绿美景区、绿美校园等方面提出具体的建设内容和实施项目，为城市绿化美化提供有力支撑。</w:t>
      </w:r>
    </w:p>
    <w:p w14:paraId="0521E29B">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b w:val="0"/>
          <w:bCs w:val="0"/>
          <w:sz w:val="32"/>
          <w:szCs w:val="32"/>
          <w:lang w:val="en-US" w:eastAsia="zh-Hans"/>
        </w:rPr>
      </w:pPr>
      <w:r>
        <w:rPr>
          <w:rFonts w:hint="default" w:ascii="Times New Roman" w:hAnsi="Times New Roman" w:eastAsia="仿宋_GB2312" w:cs="Times New Roman"/>
          <w:b w:val="0"/>
          <w:bCs w:val="0"/>
          <w:sz w:val="32"/>
          <w:szCs w:val="32"/>
          <w:lang w:val="en-US" w:eastAsia="zh-Hans"/>
        </w:rPr>
        <w:t>4.根据省、市市场主体倍增工作计划安排，积极推进服务业市场主体规模扩大、质量提升，做好服务业市场主体的发掘和培育工作，通过集群托管、代办市场主体统一信用代码等方式，引入不少于1000家服务主体机构单位，并对企业予以政务代办支持服务。</w:t>
      </w:r>
    </w:p>
    <w:p w14:paraId="7DAFEF89">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b w:val="0"/>
          <w:bCs w:val="0"/>
          <w:sz w:val="32"/>
          <w:szCs w:val="32"/>
          <w:lang w:val="en-US" w:eastAsia="zh-Hans"/>
        </w:rPr>
      </w:pPr>
      <w:r>
        <w:rPr>
          <w:rFonts w:hint="default" w:ascii="Times New Roman" w:hAnsi="Times New Roman" w:eastAsia="仿宋_GB2312" w:cs="Times New Roman"/>
          <w:b w:val="0"/>
          <w:bCs w:val="0"/>
          <w:sz w:val="32"/>
          <w:szCs w:val="32"/>
          <w:lang w:val="en-US" w:eastAsia="zh-Hans"/>
        </w:rPr>
        <w:t>5.按照区政府</w:t>
      </w:r>
      <w:r>
        <w:rPr>
          <w:rFonts w:hint="default" w:ascii="Times New Roman" w:hAnsi="Times New Roman" w:eastAsia="仿宋_GB2312" w:cs="Times New Roman"/>
          <w:b w:val="0"/>
          <w:bCs w:val="0"/>
          <w:sz w:val="32"/>
          <w:szCs w:val="32"/>
          <w:lang w:val="en-US" w:eastAsia="zh-CN"/>
        </w:rPr>
        <w:t>工作</w:t>
      </w:r>
      <w:r>
        <w:rPr>
          <w:rFonts w:hint="default" w:ascii="Times New Roman" w:hAnsi="Times New Roman" w:eastAsia="仿宋_GB2312" w:cs="Times New Roman"/>
          <w:b w:val="0"/>
          <w:bCs w:val="0"/>
          <w:sz w:val="32"/>
          <w:szCs w:val="32"/>
          <w:lang w:val="en-US" w:eastAsia="zh-Hans"/>
        </w:rPr>
        <w:t>安排，开展《新发展格局下五华区高质量发展路径研究》课题，重点分析一带一路倡议实施以及RCEP签订对五华区未来经济发展带来的影响和五华区在对外贸易方面存在的不足，并提出应对新的投资贸易规则的思路和具体举措。</w:t>
      </w:r>
    </w:p>
    <w:p w14:paraId="01B24200">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b w:val="0"/>
          <w:bCs w:val="0"/>
          <w:sz w:val="32"/>
          <w:szCs w:val="32"/>
          <w:lang w:val="en-US" w:eastAsia="zh-Hans"/>
        </w:rPr>
      </w:pPr>
      <w:r>
        <w:rPr>
          <w:rFonts w:hint="default" w:ascii="Times New Roman" w:hAnsi="Times New Roman" w:eastAsia="仿宋_GB2312" w:cs="Times New Roman"/>
          <w:b w:val="0"/>
          <w:bCs w:val="0"/>
          <w:sz w:val="32"/>
          <w:szCs w:val="32"/>
          <w:lang w:val="en-US" w:eastAsia="zh-Hans"/>
        </w:rPr>
        <w:t>6.支付2022年信用建设、宣传、修复服务经费</w:t>
      </w:r>
      <w:r>
        <w:rPr>
          <w:rFonts w:hint="default" w:ascii="Times New Roman" w:hAnsi="Times New Roman" w:eastAsia="仿宋_GB2312" w:cs="Times New Roman"/>
          <w:b w:val="0"/>
          <w:bCs w:val="0"/>
          <w:sz w:val="32"/>
          <w:szCs w:val="32"/>
          <w:lang w:val="en-US" w:eastAsia="zh-CN"/>
        </w:rPr>
        <w:t>13.979</w:t>
      </w:r>
      <w:r>
        <w:rPr>
          <w:rFonts w:hint="default" w:ascii="Times New Roman" w:hAnsi="Times New Roman" w:eastAsia="仿宋_GB2312" w:cs="Times New Roman"/>
          <w:b w:val="0"/>
          <w:bCs w:val="0"/>
          <w:sz w:val="32"/>
          <w:szCs w:val="32"/>
          <w:lang w:val="en-US" w:eastAsia="zh-Hans"/>
        </w:rPr>
        <w:t>万元</w:t>
      </w:r>
      <w:r>
        <w:rPr>
          <w:rFonts w:hint="default" w:ascii="Times New Roman" w:hAnsi="Times New Roman" w:eastAsia="仿宋_GB2312" w:cs="Times New Roman"/>
          <w:b w:val="0"/>
          <w:bCs w:val="0"/>
          <w:sz w:val="32"/>
          <w:szCs w:val="32"/>
          <w:lang w:val="en-US" w:eastAsia="zh-CN"/>
        </w:rPr>
        <w:t>（合同剩余款项5.981万元年内通过一般债支付）</w:t>
      </w:r>
      <w:r>
        <w:rPr>
          <w:rFonts w:hint="default" w:ascii="Times New Roman" w:hAnsi="Times New Roman" w:eastAsia="仿宋_GB2312" w:cs="Times New Roman"/>
          <w:b w:val="0"/>
          <w:bCs w:val="0"/>
          <w:sz w:val="32"/>
          <w:szCs w:val="32"/>
          <w:lang w:val="en-US" w:eastAsia="zh-Hans"/>
        </w:rPr>
        <w:t>；支付《五华区分片区产业发展方向研究》经费尾款21.9</w:t>
      </w:r>
      <w:r>
        <w:rPr>
          <w:rFonts w:hint="default" w:ascii="Times New Roman" w:hAnsi="Times New Roman" w:eastAsia="仿宋_GB2312" w:cs="Times New Roman"/>
          <w:b w:val="0"/>
          <w:bCs w:val="0"/>
          <w:sz w:val="32"/>
          <w:szCs w:val="32"/>
          <w:lang w:val="en-US" w:eastAsia="zh-CN"/>
        </w:rPr>
        <w:t>0</w:t>
      </w:r>
      <w:r>
        <w:rPr>
          <w:rFonts w:hint="default" w:ascii="Times New Roman" w:hAnsi="Times New Roman" w:eastAsia="仿宋_GB2312" w:cs="Times New Roman"/>
          <w:b w:val="0"/>
          <w:bCs w:val="0"/>
          <w:sz w:val="32"/>
          <w:szCs w:val="32"/>
          <w:lang w:val="en-US" w:eastAsia="zh-Hans"/>
        </w:rPr>
        <w:t>万元；支付《五华区大健康产业发展规划》编制经费</w:t>
      </w:r>
      <w:r>
        <w:rPr>
          <w:rFonts w:hint="default" w:ascii="Times New Roman" w:hAnsi="Times New Roman" w:eastAsia="仿宋_GB2312" w:cs="Times New Roman"/>
          <w:b w:val="0"/>
          <w:bCs w:val="0"/>
          <w:sz w:val="32"/>
          <w:szCs w:val="32"/>
          <w:lang w:val="en-US" w:eastAsia="zh-CN"/>
        </w:rPr>
        <w:t>14.00</w:t>
      </w:r>
      <w:r>
        <w:rPr>
          <w:rFonts w:hint="default" w:ascii="Times New Roman" w:hAnsi="Times New Roman" w:eastAsia="仿宋_GB2312" w:cs="Times New Roman"/>
          <w:b w:val="0"/>
          <w:bCs w:val="0"/>
          <w:sz w:val="32"/>
          <w:szCs w:val="32"/>
          <w:lang w:val="en-US" w:eastAsia="zh-Hans"/>
        </w:rPr>
        <w:t>万元；2022年“稳增长”政策汇编印制经费2.00万元，合计：</w:t>
      </w:r>
      <w:r>
        <w:rPr>
          <w:rFonts w:hint="default" w:ascii="Times New Roman" w:hAnsi="Times New Roman" w:eastAsia="仿宋_GB2312" w:cs="Times New Roman"/>
          <w:b w:val="0"/>
          <w:bCs w:val="0"/>
          <w:sz w:val="32"/>
          <w:szCs w:val="32"/>
          <w:lang w:val="en-US" w:eastAsia="zh-CN"/>
        </w:rPr>
        <w:t>51.879</w:t>
      </w:r>
      <w:r>
        <w:rPr>
          <w:rFonts w:hint="default" w:ascii="Times New Roman" w:hAnsi="Times New Roman" w:eastAsia="仿宋_GB2312" w:cs="Times New Roman"/>
          <w:b w:val="0"/>
          <w:bCs w:val="0"/>
          <w:sz w:val="32"/>
          <w:szCs w:val="32"/>
          <w:lang w:val="en-US" w:eastAsia="zh-Hans"/>
        </w:rPr>
        <w:t>万元。</w:t>
      </w:r>
    </w:p>
    <w:p w14:paraId="41638884">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outlineLvl w:val="1"/>
        <w:rPr>
          <w:rFonts w:hint="default" w:ascii="Times New Roman" w:hAnsi="Times New Roman" w:eastAsia="楷体_GB2312" w:cs="Times New Roman"/>
          <w:b w:val="0"/>
          <w:bCs w:val="0"/>
          <w:color w:val="auto"/>
          <w:sz w:val="32"/>
          <w:szCs w:val="32"/>
        </w:rPr>
      </w:pPr>
      <w:r>
        <w:rPr>
          <w:rFonts w:hint="default" w:ascii="Times New Roman" w:hAnsi="Times New Roman" w:eastAsia="楷体_GB2312" w:cs="Times New Roman"/>
          <w:b w:val="0"/>
          <w:bCs w:val="0"/>
          <w:color w:val="auto"/>
          <w:sz w:val="32"/>
          <w:szCs w:val="32"/>
        </w:rPr>
        <w:t>（三）项目组织管理情况</w:t>
      </w:r>
      <w:bookmarkEnd w:id="3"/>
    </w:p>
    <w:p w14:paraId="5867B73A">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kern w:val="2"/>
          <w:sz w:val="32"/>
          <w:szCs w:val="32"/>
          <w:lang w:eastAsia="zh-CN" w:bidi="ar-SA"/>
        </w:rPr>
      </w:pPr>
      <w:r>
        <w:rPr>
          <w:rFonts w:hint="default" w:ascii="Times New Roman" w:hAnsi="Times New Roman" w:eastAsia="仿宋_GB2312" w:cs="Times New Roman"/>
          <w:b/>
          <w:bCs/>
          <w:kern w:val="2"/>
          <w:sz w:val="32"/>
          <w:szCs w:val="32"/>
          <w:lang w:eastAsia="zh-Hans" w:bidi="ar-SA"/>
        </w:rPr>
        <w:t>1.</w:t>
      </w:r>
      <w:r>
        <w:rPr>
          <w:rFonts w:hint="default" w:ascii="Times New Roman" w:hAnsi="Times New Roman" w:eastAsia="仿宋_GB2312" w:cs="Times New Roman"/>
          <w:b/>
          <w:bCs/>
          <w:kern w:val="2"/>
          <w:sz w:val="32"/>
          <w:szCs w:val="32"/>
          <w:lang w:eastAsia="zh-CN" w:bidi="ar-SA"/>
        </w:rPr>
        <w:t>项目组织情况</w:t>
      </w:r>
    </w:p>
    <w:p w14:paraId="12883856">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b w:val="0"/>
          <w:bCs w:val="0"/>
          <w:sz w:val="32"/>
          <w:szCs w:val="32"/>
          <w:lang w:val="en-US" w:eastAsia="zh-Hans"/>
        </w:rPr>
      </w:pPr>
      <w:r>
        <w:rPr>
          <w:rFonts w:hint="default" w:ascii="Times New Roman" w:hAnsi="Times New Roman" w:eastAsia="仿宋_GB2312" w:cs="Times New Roman"/>
          <w:b w:val="0"/>
          <w:bCs w:val="0"/>
          <w:sz w:val="32"/>
          <w:szCs w:val="32"/>
          <w:lang w:val="en-US" w:eastAsia="zh-Hans"/>
        </w:rPr>
        <w:t>本项目具体实施由国民经济综合科开展，并聘请第三方机构协助</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Hans"/>
        </w:rPr>
        <w:t>有过硬的技术</w:t>
      </w:r>
      <w:r>
        <w:rPr>
          <w:rFonts w:hint="default" w:ascii="Times New Roman" w:hAnsi="Times New Roman" w:eastAsia="仿宋_GB2312" w:cs="Times New Roman"/>
          <w:b w:val="0"/>
          <w:bCs w:val="0"/>
          <w:sz w:val="32"/>
          <w:szCs w:val="32"/>
          <w:lang w:val="en-US" w:eastAsia="zh-CN"/>
        </w:rPr>
        <w:t>和</w:t>
      </w:r>
      <w:r>
        <w:rPr>
          <w:rFonts w:hint="default" w:ascii="Times New Roman" w:hAnsi="Times New Roman" w:eastAsia="仿宋_GB2312" w:cs="Times New Roman"/>
          <w:b w:val="0"/>
          <w:bCs w:val="0"/>
          <w:sz w:val="32"/>
          <w:szCs w:val="32"/>
          <w:lang w:val="en-US" w:eastAsia="zh-Hans"/>
        </w:rPr>
        <w:t>专业</w:t>
      </w:r>
      <w:r>
        <w:rPr>
          <w:rFonts w:hint="default" w:ascii="Times New Roman" w:hAnsi="Times New Roman" w:eastAsia="仿宋_GB2312" w:cs="Times New Roman"/>
          <w:b w:val="0"/>
          <w:bCs w:val="0"/>
          <w:sz w:val="32"/>
          <w:szCs w:val="32"/>
          <w:lang w:val="en-US" w:eastAsia="zh-CN"/>
        </w:rPr>
        <w:t>业务</w:t>
      </w:r>
      <w:r>
        <w:rPr>
          <w:rFonts w:hint="default" w:ascii="Times New Roman" w:hAnsi="Times New Roman" w:eastAsia="仿宋_GB2312" w:cs="Times New Roman"/>
          <w:b w:val="0"/>
          <w:bCs w:val="0"/>
          <w:sz w:val="32"/>
          <w:szCs w:val="32"/>
          <w:lang w:val="en-US" w:eastAsia="zh-Hans"/>
        </w:rPr>
        <w:t>人员，具备实施本项目所需的设备设施基础条件。</w:t>
      </w:r>
    </w:p>
    <w:p w14:paraId="35C891E7">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kern w:val="2"/>
          <w:sz w:val="32"/>
          <w:szCs w:val="32"/>
          <w:lang w:eastAsia="zh-Hans" w:bidi="ar-SA"/>
        </w:rPr>
      </w:pPr>
      <w:r>
        <w:rPr>
          <w:rFonts w:hint="default" w:ascii="Times New Roman" w:hAnsi="Times New Roman" w:eastAsia="仿宋_GB2312" w:cs="Times New Roman"/>
          <w:b/>
          <w:bCs/>
          <w:kern w:val="2"/>
          <w:sz w:val="32"/>
          <w:szCs w:val="32"/>
          <w:lang w:eastAsia="zh-Hans" w:bidi="ar-SA"/>
        </w:rPr>
        <w:t>2.制度建设情况</w:t>
      </w:r>
    </w:p>
    <w:p w14:paraId="1C65C0D1">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b w:val="0"/>
          <w:bCs w:val="0"/>
          <w:sz w:val="32"/>
          <w:szCs w:val="32"/>
          <w:lang w:val="en-US" w:eastAsia="zh-Hans"/>
        </w:rPr>
      </w:pPr>
      <w:r>
        <w:rPr>
          <w:rFonts w:hint="default" w:ascii="Times New Roman" w:hAnsi="Times New Roman" w:eastAsia="仿宋_GB2312" w:cs="Times New Roman"/>
          <w:b w:val="0"/>
          <w:bCs w:val="0"/>
          <w:sz w:val="32"/>
          <w:szCs w:val="32"/>
          <w:lang w:val="en-US" w:eastAsia="zh-Hans"/>
        </w:rPr>
        <w:t>项目依据《中共昆明市五华区发展和改革局党组贯彻落实“三重一大”事项集体决策制度的实施细则》《昆明市五华区发展和改革局财务管理制度》《昆明市五华区发展和改革局预算管理制度》《昆明市五华区发展和改革局专项资金管理制度》《昆明市五华区发展和改革局项目绩效管理制度》《五华区发展和改革局关于政府购买服务项目的内部管理规定》等相关管理制度执行。</w:t>
      </w:r>
    </w:p>
    <w:p w14:paraId="2FA0ED05">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outlineLvl w:val="0"/>
        <w:rPr>
          <w:rFonts w:hint="default" w:ascii="Times New Roman" w:hAnsi="Times New Roman" w:eastAsia="黑体" w:cs="Times New Roman"/>
          <w:b w:val="0"/>
          <w:bCs w:val="0"/>
          <w:color w:val="auto"/>
          <w:sz w:val="32"/>
          <w:szCs w:val="32"/>
        </w:rPr>
      </w:pPr>
      <w:bookmarkStart w:id="4" w:name="_Toc903417956"/>
      <w:r>
        <w:rPr>
          <w:rFonts w:hint="default" w:ascii="Times New Roman" w:hAnsi="Times New Roman" w:eastAsia="黑体" w:cs="Times New Roman"/>
          <w:b w:val="0"/>
          <w:bCs w:val="0"/>
          <w:color w:val="auto"/>
          <w:sz w:val="32"/>
          <w:szCs w:val="32"/>
        </w:rPr>
        <w:t>二、绩效评价工作开展情况</w:t>
      </w:r>
      <w:bookmarkEnd w:id="4"/>
    </w:p>
    <w:p w14:paraId="3D21FBB3">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outlineLvl w:val="1"/>
        <w:rPr>
          <w:rFonts w:hint="default" w:ascii="Times New Roman" w:hAnsi="Times New Roman" w:eastAsia="楷体_GB2312" w:cs="Times New Roman"/>
          <w:b w:val="0"/>
          <w:bCs w:val="0"/>
          <w:color w:val="auto"/>
          <w:sz w:val="32"/>
          <w:szCs w:val="32"/>
        </w:rPr>
      </w:pPr>
      <w:bookmarkStart w:id="5" w:name="_Toc1036202202"/>
      <w:r>
        <w:rPr>
          <w:rFonts w:hint="default" w:ascii="Times New Roman" w:hAnsi="Times New Roman" w:eastAsia="楷体_GB2312" w:cs="Times New Roman"/>
          <w:b w:val="0"/>
          <w:bCs w:val="0"/>
          <w:color w:val="auto"/>
          <w:sz w:val="32"/>
          <w:szCs w:val="32"/>
        </w:rPr>
        <w:t>（一）绩效评价目的、对象和范围</w:t>
      </w:r>
      <w:bookmarkEnd w:id="5"/>
    </w:p>
    <w:p w14:paraId="6CBA0E90">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kern w:val="2"/>
          <w:sz w:val="32"/>
          <w:szCs w:val="32"/>
          <w:lang w:eastAsia="zh-Hans" w:bidi="ar-SA"/>
        </w:rPr>
      </w:pPr>
      <w:r>
        <w:rPr>
          <w:rFonts w:hint="default" w:ascii="Times New Roman" w:hAnsi="Times New Roman" w:eastAsia="仿宋_GB2312" w:cs="Times New Roman"/>
          <w:b/>
          <w:bCs/>
          <w:kern w:val="2"/>
          <w:sz w:val="32"/>
          <w:szCs w:val="32"/>
          <w:lang w:eastAsia="zh-Hans" w:bidi="ar-SA"/>
        </w:rPr>
        <w:t>1.绩效评价目的</w:t>
      </w:r>
    </w:p>
    <w:p w14:paraId="3C0DE211">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b w:val="0"/>
          <w:bCs w:val="0"/>
          <w:sz w:val="32"/>
          <w:szCs w:val="32"/>
          <w:lang w:val="en-US" w:eastAsia="zh-Hans"/>
        </w:rPr>
      </w:pPr>
      <w:r>
        <w:rPr>
          <w:rFonts w:hint="default" w:ascii="Times New Roman" w:hAnsi="Times New Roman" w:eastAsia="仿宋_GB2312" w:cs="Times New Roman"/>
          <w:b w:val="0"/>
          <w:bCs w:val="0"/>
          <w:sz w:val="32"/>
          <w:szCs w:val="32"/>
          <w:lang w:val="en-US" w:eastAsia="zh-Hans"/>
        </w:rPr>
        <w:t>通过评价，全面了解项目管理过程是否规范、产出目标是否完成、效果目标是否实现，总结经验，查找不足，发现项目管理过程中的缺陷和薄弱环节，分析存在的问题和原因，为改进或完善项目实施及资金管理，提高资金使用效率，提出可行性参考意见和建议。在此基础上，重点分析项目预算编制的合理性和成本支出的真实性，评价财政资金的使用效率和效果，为以后年度编制项目预算提供参考依据。</w:t>
      </w:r>
    </w:p>
    <w:p w14:paraId="436FFE08">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kern w:val="2"/>
          <w:sz w:val="32"/>
          <w:szCs w:val="32"/>
          <w:lang w:eastAsia="zh-CN" w:bidi="ar-SA"/>
        </w:rPr>
      </w:pPr>
      <w:r>
        <w:rPr>
          <w:rFonts w:hint="default" w:ascii="Times New Roman" w:hAnsi="Times New Roman" w:eastAsia="仿宋_GB2312" w:cs="Times New Roman"/>
          <w:b/>
          <w:bCs/>
          <w:kern w:val="2"/>
          <w:sz w:val="32"/>
          <w:szCs w:val="32"/>
          <w:lang w:eastAsia="zh-Hans" w:bidi="ar-SA"/>
        </w:rPr>
        <w:t>2.</w:t>
      </w:r>
      <w:r>
        <w:rPr>
          <w:rFonts w:hint="default" w:ascii="Times New Roman" w:hAnsi="Times New Roman" w:eastAsia="仿宋_GB2312" w:cs="Times New Roman"/>
          <w:b/>
          <w:bCs/>
          <w:kern w:val="2"/>
          <w:sz w:val="32"/>
          <w:szCs w:val="32"/>
          <w:lang w:val="en-US" w:eastAsia="zh-Hans" w:bidi="ar-SA"/>
        </w:rPr>
        <w:t>绩效评价的</w:t>
      </w:r>
      <w:r>
        <w:rPr>
          <w:rFonts w:hint="default" w:ascii="Times New Roman" w:hAnsi="Times New Roman" w:eastAsia="仿宋_GB2312" w:cs="Times New Roman"/>
          <w:b/>
          <w:bCs/>
          <w:kern w:val="2"/>
          <w:sz w:val="32"/>
          <w:szCs w:val="32"/>
          <w:lang w:eastAsia="zh-CN" w:bidi="ar-SA"/>
        </w:rPr>
        <w:t>对象和范围</w:t>
      </w:r>
    </w:p>
    <w:p w14:paraId="036AEEE5">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Hans"/>
        </w:rPr>
        <w:t>评价对象：</w:t>
      </w:r>
      <w:r>
        <w:rPr>
          <w:rFonts w:hint="default" w:ascii="Times New Roman" w:hAnsi="Times New Roman" w:eastAsia="仿宋_GB2312" w:cs="Times New Roman"/>
          <w:b w:val="0"/>
          <w:bCs w:val="0"/>
          <w:sz w:val="32"/>
          <w:szCs w:val="32"/>
          <w:lang w:val="en-US" w:eastAsia="zh-CN"/>
        </w:rPr>
        <w:t>五华区发展和改革局</w:t>
      </w:r>
    </w:p>
    <w:p w14:paraId="5114F8AF">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b w:val="0"/>
          <w:bCs w:val="0"/>
          <w:sz w:val="32"/>
          <w:szCs w:val="32"/>
          <w:lang w:val="en-US" w:eastAsia="zh-Hans"/>
        </w:rPr>
      </w:pPr>
      <w:r>
        <w:rPr>
          <w:rFonts w:hint="default" w:ascii="Times New Roman" w:hAnsi="Times New Roman" w:eastAsia="仿宋_GB2312" w:cs="Times New Roman"/>
          <w:b w:val="0"/>
          <w:bCs w:val="0"/>
          <w:sz w:val="32"/>
          <w:szCs w:val="32"/>
          <w:lang w:val="en-US" w:eastAsia="zh-Hans"/>
        </w:rPr>
        <w:t>评价范围：</w:t>
      </w:r>
      <w:r>
        <w:rPr>
          <w:rFonts w:hint="default" w:ascii="Times New Roman" w:hAnsi="Times New Roman" w:eastAsia="仿宋_GB2312" w:cs="Times New Roman"/>
          <w:b w:val="0"/>
          <w:bCs w:val="0"/>
          <w:sz w:val="32"/>
          <w:szCs w:val="32"/>
          <w:lang w:val="en-US" w:eastAsia="zh-CN"/>
        </w:rPr>
        <w:t>国民经济发展综合工作专项资金</w:t>
      </w:r>
    </w:p>
    <w:p w14:paraId="092070F6">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b w:val="0"/>
          <w:bCs w:val="0"/>
          <w:sz w:val="32"/>
          <w:szCs w:val="32"/>
          <w:lang w:val="en-US" w:eastAsia="zh-Hans"/>
        </w:rPr>
      </w:pPr>
      <w:r>
        <w:rPr>
          <w:rFonts w:hint="default" w:ascii="Times New Roman" w:hAnsi="Times New Roman" w:eastAsia="仿宋_GB2312" w:cs="Times New Roman"/>
          <w:b w:val="0"/>
          <w:bCs w:val="0"/>
          <w:sz w:val="32"/>
          <w:szCs w:val="32"/>
          <w:lang w:val="en-US" w:eastAsia="zh-Hans"/>
        </w:rPr>
        <w:t>项目周期：202</w:t>
      </w: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lang w:val="en-US" w:eastAsia="zh-Hans"/>
        </w:rPr>
        <w:t>年1月</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lang w:val="en-US" w:eastAsia="zh-Hans"/>
        </w:rPr>
        <w:t>日至202</w:t>
      </w: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lang w:val="en-US" w:eastAsia="zh-Hans"/>
        </w:rPr>
        <w:t>年12月31日</w:t>
      </w:r>
    </w:p>
    <w:p w14:paraId="659EA8BF">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outlineLvl w:val="1"/>
        <w:rPr>
          <w:rFonts w:hint="default" w:ascii="Times New Roman" w:hAnsi="Times New Roman" w:eastAsia="楷体_GB2312" w:cs="Times New Roman"/>
          <w:b w:val="0"/>
          <w:bCs w:val="0"/>
          <w:color w:val="auto"/>
          <w:sz w:val="32"/>
          <w:szCs w:val="32"/>
          <w:lang w:val="en-US" w:eastAsia="zh-Hans"/>
        </w:rPr>
      </w:pPr>
      <w:bookmarkStart w:id="6" w:name="_Toc1505515491"/>
      <w:r>
        <w:rPr>
          <w:rFonts w:hint="default" w:ascii="Times New Roman" w:hAnsi="Times New Roman" w:eastAsia="楷体_GB2312" w:cs="Times New Roman"/>
          <w:b w:val="0"/>
          <w:bCs w:val="0"/>
          <w:color w:val="auto"/>
          <w:sz w:val="32"/>
          <w:szCs w:val="32"/>
        </w:rPr>
        <w:t>（</w:t>
      </w:r>
      <w:r>
        <w:rPr>
          <w:rFonts w:hint="default" w:ascii="Times New Roman" w:hAnsi="Times New Roman" w:eastAsia="楷体_GB2312" w:cs="Times New Roman"/>
          <w:b w:val="0"/>
          <w:bCs w:val="0"/>
          <w:color w:val="auto"/>
          <w:sz w:val="32"/>
          <w:szCs w:val="32"/>
          <w:lang w:val="en-US" w:eastAsia="zh-Hans"/>
        </w:rPr>
        <w:t>二</w:t>
      </w:r>
      <w:r>
        <w:rPr>
          <w:rFonts w:hint="default" w:ascii="Times New Roman" w:hAnsi="Times New Roman" w:eastAsia="楷体_GB2312" w:cs="Times New Roman"/>
          <w:b w:val="0"/>
          <w:bCs w:val="0"/>
          <w:color w:val="auto"/>
          <w:sz w:val="32"/>
          <w:szCs w:val="32"/>
        </w:rPr>
        <w:t>）绩效评价原则</w:t>
      </w:r>
      <w:r>
        <w:rPr>
          <w:rFonts w:hint="default" w:ascii="Times New Roman" w:hAnsi="Times New Roman" w:eastAsia="楷体_GB2312" w:cs="Times New Roman"/>
          <w:b w:val="0"/>
          <w:bCs w:val="0"/>
          <w:color w:val="auto"/>
          <w:sz w:val="32"/>
          <w:szCs w:val="32"/>
          <w:lang w:eastAsia="zh-Hans"/>
        </w:rPr>
        <w:t>、</w:t>
      </w:r>
      <w:r>
        <w:rPr>
          <w:rFonts w:hint="default" w:ascii="Times New Roman" w:hAnsi="Times New Roman" w:eastAsia="楷体_GB2312" w:cs="Times New Roman"/>
          <w:b w:val="0"/>
          <w:bCs w:val="0"/>
          <w:color w:val="auto"/>
          <w:sz w:val="32"/>
          <w:szCs w:val="32"/>
          <w:lang w:val="en-US" w:eastAsia="zh-Hans"/>
        </w:rPr>
        <w:t>评价方法</w:t>
      </w:r>
      <w:bookmarkEnd w:id="6"/>
    </w:p>
    <w:p w14:paraId="0585972B">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kern w:val="2"/>
          <w:sz w:val="32"/>
          <w:szCs w:val="32"/>
          <w:lang w:eastAsia="zh-CN" w:bidi="ar-SA"/>
        </w:rPr>
      </w:pPr>
      <w:r>
        <w:rPr>
          <w:rFonts w:hint="default" w:ascii="Times New Roman" w:hAnsi="Times New Roman" w:eastAsia="仿宋_GB2312" w:cs="Times New Roman"/>
          <w:b/>
          <w:bCs/>
          <w:kern w:val="2"/>
          <w:sz w:val="32"/>
          <w:szCs w:val="32"/>
          <w:lang w:eastAsia="zh-CN" w:bidi="ar-SA"/>
        </w:rPr>
        <w:t>1.评价原则</w:t>
      </w:r>
    </w:p>
    <w:p w14:paraId="091E498A">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b w:val="0"/>
          <w:bCs w:val="0"/>
          <w:sz w:val="32"/>
          <w:szCs w:val="32"/>
          <w:lang w:val="en-US" w:eastAsia="zh-Hans"/>
        </w:rPr>
      </w:pPr>
      <w:r>
        <w:rPr>
          <w:rFonts w:hint="default" w:ascii="Times New Roman" w:hAnsi="Times New Roman" w:eastAsia="仿宋_GB2312" w:cs="Times New Roman"/>
          <w:b w:val="0"/>
          <w:bCs w:val="0"/>
          <w:sz w:val="32"/>
          <w:szCs w:val="32"/>
          <w:lang w:val="en-US" w:eastAsia="zh-CN"/>
        </w:rPr>
        <w:t>一是</w:t>
      </w:r>
      <w:r>
        <w:rPr>
          <w:rFonts w:hint="default" w:ascii="Times New Roman" w:hAnsi="Times New Roman" w:eastAsia="仿宋_GB2312" w:cs="Times New Roman"/>
          <w:b w:val="0"/>
          <w:bCs w:val="0"/>
          <w:sz w:val="32"/>
          <w:szCs w:val="32"/>
          <w:lang w:val="en-US" w:eastAsia="zh-Hans"/>
        </w:rPr>
        <w:t>科学公正</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Hans"/>
        </w:rPr>
        <w:t>运用科学合理的方法，按照规范的程序，对项目绩效进行客观、公正的反映。</w:t>
      </w:r>
    </w:p>
    <w:p w14:paraId="0C066780">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b w:val="0"/>
          <w:bCs w:val="0"/>
          <w:sz w:val="32"/>
          <w:szCs w:val="32"/>
          <w:lang w:val="en-US" w:eastAsia="zh-Hans"/>
        </w:rPr>
      </w:pPr>
      <w:r>
        <w:rPr>
          <w:rFonts w:hint="default" w:ascii="Times New Roman" w:hAnsi="Times New Roman" w:eastAsia="仿宋_GB2312" w:cs="Times New Roman"/>
          <w:b w:val="0"/>
          <w:bCs w:val="0"/>
          <w:sz w:val="32"/>
          <w:szCs w:val="32"/>
          <w:lang w:val="en-US" w:eastAsia="zh-CN"/>
        </w:rPr>
        <w:t>二是</w:t>
      </w:r>
      <w:r>
        <w:rPr>
          <w:rFonts w:hint="default" w:ascii="Times New Roman" w:hAnsi="Times New Roman" w:eastAsia="仿宋_GB2312" w:cs="Times New Roman"/>
          <w:b w:val="0"/>
          <w:bCs w:val="0"/>
          <w:sz w:val="32"/>
          <w:szCs w:val="32"/>
          <w:lang w:val="en-US" w:eastAsia="zh-Hans"/>
        </w:rPr>
        <w:t>公开透明</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Hans"/>
        </w:rPr>
        <w:t>绩效评价结果依法依规公开，并自觉接受社会监督。</w:t>
      </w:r>
    </w:p>
    <w:p w14:paraId="566B0D45">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kern w:val="2"/>
          <w:sz w:val="32"/>
          <w:szCs w:val="32"/>
          <w:lang w:eastAsia="zh-CN" w:bidi="ar-SA"/>
        </w:rPr>
      </w:pPr>
      <w:r>
        <w:rPr>
          <w:rFonts w:hint="default" w:ascii="Times New Roman" w:hAnsi="Times New Roman" w:eastAsia="仿宋_GB2312" w:cs="Times New Roman"/>
          <w:b/>
          <w:bCs/>
          <w:kern w:val="2"/>
          <w:sz w:val="32"/>
          <w:szCs w:val="32"/>
          <w:lang w:eastAsia="zh-CN" w:bidi="ar-SA"/>
        </w:rPr>
        <w:t>2.评价方法</w:t>
      </w:r>
    </w:p>
    <w:p w14:paraId="1120CDE8">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b w:val="0"/>
          <w:bCs w:val="0"/>
          <w:color w:val="auto"/>
          <w:sz w:val="32"/>
          <w:szCs w:val="32"/>
          <w:lang w:val="en-US" w:eastAsia="zh-Hans"/>
        </w:rPr>
      </w:pPr>
      <w:r>
        <w:rPr>
          <w:rFonts w:hint="default" w:ascii="Times New Roman" w:hAnsi="Times New Roman" w:eastAsia="仿宋_GB2312" w:cs="Times New Roman"/>
          <w:b w:val="0"/>
          <w:bCs w:val="0"/>
          <w:sz w:val="32"/>
          <w:szCs w:val="32"/>
          <w:lang w:val="en-US" w:eastAsia="zh-Hans"/>
        </w:rPr>
        <w:t>主要使用比较法、因素分析法。采用定量与定性结合，运用资料审阅、实地查勘、分析比较等方式，系统、科</w:t>
      </w:r>
      <w:r>
        <w:rPr>
          <w:rFonts w:hint="default" w:ascii="Times New Roman" w:hAnsi="Times New Roman" w:eastAsia="仿宋_GB2312" w:cs="Times New Roman"/>
          <w:b w:val="0"/>
          <w:bCs w:val="0"/>
          <w:color w:val="auto"/>
          <w:sz w:val="32"/>
          <w:szCs w:val="32"/>
          <w:lang w:val="en-US" w:eastAsia="zh-Hans"/>
        </w:rPr>
        <w:t>学</w:t>
      </w:r>
      <w:r>
        <w:rPr>
          <w:rFonts w:hint="default" w:ascii="Times New Roman" w:hAnsi="Times New Roman" w:eastAsia="仿宋_GB2312" w:cs="Times New Roman"/>
          <w:b w:val="0"/>
          <w:bCs w:val="0"/>
          <w:color w:val="auto"/>
          <w:sz w:val="32"/>
          <w:szCs w:val="32"/>
          <w:lang w:val="en-US" w:eastAsia="zh-CN"/>
        </w:rPr>
        <w:t>地</w:t>
      </w:r>
      <w:r>
        <w:rPr>
          <w:rFonts w:hint="default" w:ascii="Times New Roman" w:hAnsi="Times New Roman" w:eastAsia="仿宋_GB2312" w:cs="Times New Roman"/>
          <w:b w:val="0"/>
          <w:bCs w:val="0"/>
          <w:color w:val="auto"/>
          <w:sz w:val="32"/>
          <w:szCs w:val="32"/>
          <w:lang w:val="en-US" w:eastAsia="zh-Hans"/>
        </w:rPr>
        <w:t>反映</w:t>
      </w:r>
      <w:r>
        <w:rPr>
          <w:rFonts w:hint="default" w:ascii="Times New Roman" w:hAnsi="Times New Roman" w:eastAsia="仿宋_GB2312" w:cs="Times New Roman"/>
          <w:b w:val="0"/>
          <w:bCs w:val="0"/>
          <w:sz w:val="32"/>
          <w:szCs w:val="32"/>
          <w:lang w:val="en-US" w:eastAsia="zh-Hans"/>
        </w:rPr>
        <w:t>项目综合情况。</w:t>
      </w:r>
      <w:r>
        <w:rPr>
          <w:rFonts w:hint="default" w:ascii="Times New Roman" w:hAnsi="Times New Roman" w:eastAsia="仿宋_GB2312" w:cs="Times New Roman"/>
          <w:b w:val="0"/>
          <w:bCs w:val="0"/>
          <w:sz w:val="32"/>
          <w:szCs w:val="32"/>
          <w:lang w:val="en-US" w:eastAsia="zh-CN"/>
        </w:rPr>
        <w:t>其中：</w:t>
      </w:r>
      <w:r>
        <w:rPr>
          <w:rFonts w:hint="default" w:ascii="Times New Roman" w:hAnsi="Times New Roman" w:eastAsia="仿宋_GB2312" w:cs="Times New Roman"/>
          <w:b w:val="0"/>
          <w:bCs w:val="0"/>
          <w:sz w:val="32"/>
          <w:szCs w:val="32"/>
          <w:lang w:val="en-US" w:eastAsia="zh-Hans"/>
        </w:rPr>
        <w:t>比较法是指将实施情况与绩效目标、历史情况、不同部门和地区同类支出情况进行比较的方法</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Hans"/>
        </w:rPr>
        <w:t>因素分析法是指综合分析影响绩效目标实现、实施效果的内外部因素的方法。</w:t>
      </w:r>
    </w:p>
    <w:p w14:paraId="3787E27E">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kern w:val="2"/>
          <w:sz w:val="32"/>
          <w:szCs w:val="32"/>
          <w:lang w:eastAsia="zh-CN" w:bidi="ar-SA"/>
        </w:rPr>
      </w:pPr>
      <w:r>
        <w:rPr>
          <w:rFonts w:hint="default" w:ascii="Times New Roman" w:hAnsi="Times New Roman" w:eastAsia="仿宋_GB2312" w:cs="Times New Roman"/>
          <w:b/>
          <w:bCs/>
          <w:kern w:val="2"/>
          <w:sz w:val="32"/>
          <w:szCs w:val="32"/>
          <w:lang w:eastAsia="zh-Hans" w:bidi="ar-SA"/>
        </w:rPr>
        <w:t>3.</w:t>
      </w:r>
      <w:r>
        <w:rPr>
          <w:rFonts w:hint="default" w:ascii="Times New Roman" w:hAnsi="Times New Roman" w:eastAsia="仿宋_GB2312" w:cs="Times New Roman"/>
          <w:b/>
          <w:bCs/>
          <w:kern w:val="2"/>
          <w:sz w:val="32"/>
          <w:szCs w:val="32"/>
          <w:lang w:val="en-US" w:eastAsia="zh-Hans" w:bidi="ar-SA"/>
        </w:rPr>
        <w:t>评价</w:t>
      </w:r>
      <w:r>
        <w:rPr>
          <w:rFonts w:hint="default" w:ascii="Times New Roman" w:hAnsi="Times New Roman" w:eastAsia="仿宋_GB2312" w:cs="Times New Roman"/>
          <w:b/>
          <w:bCs/>
          <w:kern w:val="2"/>
          <w:sz w:val="32"/>
          <w:szCs w:val="32"/>
          <w:lang w:eastAsia="zh-CN" w:bidi="ar-SA"/>
        </w:rPr>
        <w:t>依据</w:t>
      </w:r>
    </w:p>
    <w:p w14:paraId="1D4BE866">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Hans"/>
        </w:rPr>
        <w:t>主要依据</w:t>
      </w:r>
      <w:r>
        <w:rPr>
          <w:rFonts w:hint="default" w:ascii="Times New Roman" w:hAnsi="Times New Roman" w:eastAsia="仿宋_GB2312" w:cs="Times New Roman"/>
          <w:b w:val="0"/>
          <w:bCs w:val="0"/>
          <w:sz w:val="32"/>
          <w:szCs w:val="32"/>
          <w:lang w:val="en-US" w:eastAsia="zh-CN"/>
        </w:rPr>
        <w:t>《云南省财政厅关于印发&lt;云南省项目支出绩效评价管理办法&gt;的通知》（云财绩（2020）11号）</w:t>
      </w:r>
      <w:r>
        <w:rPr>
          <w:rFonts w:hint="default" w:ascii="Times New Roman" w:hAnsi="Times New Roman" w:eastAsia="仿宋_GB2312" w:cs="Times New Roman"/>
          <w:b w:val="0"/>
          <w:bCs w:val="0"/>
          <w:sz w:val="32"/>
          <w:szCs w:val="32"/>
          <w:lang w:val="en-US" w:eastAsia="zh-Hans"/>
        </w:rPr>
        <w:t>、《五华区财政局关于开展2023年度区级预算支出部门绩效评价工作的通知》（</w:t>
      </w:r>
      <w:r>
        <w:rPr>
          <w:rFonts w:hint="default" w:ascii="Times New Roman" w:hAnsi="Times New Roman" w:eastAsia="仿宋_GB2312" w:cs="Times New Roman"/>
          <w:b w:val="0"/>
          <w:bCs w:val="0"/>
          <w:sz w:val="32"/>
          <w:szCs w:val="32"/>
          <w:lang w:val="en-US" w:eastAsia="zh-CN"/>
        </w:rPr>
        <w:t>五财〔2024〕23号</w:t>
      </w:r>
      <w:r>
        <w:rPr>
          <w:rFonts w:hint="default" w:ascii="Times New Roman" w:hAnsi="Times New Roman" w:eastAsia="仿宋_GB2312" w:cs="Times New Roman"/>
          <w:b w:val="0"/>
          <w:bCs w:val="0"/>
          <w:sz w:val="32"/>
          <w:szCs w:val="32"/>
          <w:lang w:val="en-US" w:eastAsia="zh-Hans"/>
        </w:rPr>
        <w:t>）、《昆明市五华区发展和改革局职能配置、内设机构和人员编制规定的通知》（五办通〔2019〕34号）、《昆明市五华区人民政府关于印发昆明市五华区国民经济和社会发展第十四个五年规划和二〇三五年远景目标纲要的通知》（五政发〔2021〕2号）、</w:t>
      </w:r>
      <w:r>
        <w:rPr>
          <w:rFonts w:hint="default" w:ascii="Times New Roman" w:hAnsi="Times New Roman" w:eastAsia="仿宋_GB2312" w:cs="Times New Roman"/>
          <w:b w:val="0"/>
          <w:bCs w:val="0"/>
          <w:sz w:val="32"/>
          <w:szCs w:val="32"/>
          <w:lang w:val="en-US" w:eastAsia="zh-CN"/>
        </w:rPr>
        <w:t>《关于批复2023年部门预算的通知》（五财预总〔2023〕2号）、《国民经济发展综合工作专项资金项目实施方案》等</w:t>
      </w:r>
      <w:r>
        <w:rPr>
          <w:rFonts w:hint="default" w:ascii="Times New Roman" w:hAnsi="Times New Roman" w:eastAsia="仿宋_GB2312" w:cs="Times New Roman"/>
          <w:b w:val="0"/>
          <w:bCs w:val="0"/>
          <w:sz w:val="32"/>
          <w:szCs w:val="32"/>
          <w:lang w:val="en-US" w:eastAsia="zh-Hans"/>
        </w:rPr>
        <w:t>文件，以及</w:t>
      </w:r>
      <w:r>
        <w:rPr>
          <w:rFonts w:hint="default" w:ascii="Times New Roman" w:hAnsi="Times New Roman" w:eastAsia="仿宋_GB2312" w:cs="Times New Roman"/>
          <w:b w:val="0"/>
          <w:bCs w:val="0"/>
          <w:sz w:val="32"/>
          <w:szCs w:val="32"/>
          <w:lang w:val="en-US" w:eastAsia="zh-CN"/>
        </w:rPr>
        <w:t>项目管理、资金管理、财务管理政策制度文件、批复文件、资金下达文件、验收等其他资料</w:t>
      </w:r>
      <w:r>
        <w:rPr>
          <w:rFonts w:hint="default" w:ascii="Times New Roman" w:hAnsi="Times New Roman" w:eastAsia="仿宋_GB2312" w:cs="Times New Roman"/>
          <w:b w:val="0"/>
          <w:bCs w:val="0"/>
          <w:sz w:val="32"/>
          <w:szCs w:val="32"/>
          <w:lang w:val="en-US" w:eastAsia="zh-Hans"/>
        </w:rPr>
        <w:t>评价</w:t>
      </w:r>
      <w:r>
        <w:rPr>
          <w:rFonts w:hint="default" w:ascii="Times New Roman" w:hAnsi="Times New Roman" w:eastAsia="仿宋_GB2312" w:cs="Times New Roman"/>
          <w:b w:val="0"/>
          <w:bCs w:val="0"/>
          <w:sz w:val="32"/>
          <w:szCs w:val="32"/>
          <w:lang w:val="en-US" w:eastAsia="zh-CN"/>
        </w:rPr>
        <w:t>。</w:t>
      </w:r>
    </w:p>
    <w:p w14:paraId="0C462F62">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kern w:val="2"/>
          <w:sz w:val="32"/>
          <w:szCs w:val="32"/>
          <w:lang w:eastAsia="zh-Hans" w:bidi="ar-SA"/>
        </w:rPr>
      </w:pPr>
      <w:r>
        <w:rPr>
          <w:rFonts w:hint="default" w:ascii="Times New Roman" w:hAnsi="Times New Roman" w:eastAsia="仿宋_GB2312" w:cs="Times New Roman"/>
          <w:b/>
          <w:bCs/>
          <w:kern w:val="2"/>
          <w:sz w:val="32"/>
          <w:szCs w:val="32"/>
          <w:lang w:eastAsia="zh-CN" w:bidi="ar-SA"/>
        </w:rPr>
        <w:t>4.评价指标体系</w:t>
      </w:r>
    </w:p>
    <w:p w14:paraId="43065693">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Hans"/>
        </w:rPr>
        <w:t>项目绩效评价指标体系设计主要是按照《云南省财政厅关于印发&lt;云南省项目支出绩效评价管理办法&gt;的通知》（云财绩（2020）11号）和《五华区财政局关于开展2023年度区级预算支出部门绩效评价工作的通知》（</w:t>
      </w:r>
      <w:r>
        <w:rPr>
          <w:rFonts w:hint="default" w:ascii="Times New Roman" w:hAnsi="Times New Roman" w:eastAsia="仿宋_GB2312" w:cs="Times New Roman"/>
          <w:b w:val="0"/>
          <w:bCs w:val="0"/>
          <w:sz w:val="32"/>
          <w:szCs w:val="32"/>
          <w:lang w:val="en-US" w:eastAsia="zh-CN"/>
        </w:rPr>
        <w:t>五财〔2024〕23号</w:t>
      </w:r>
      <w:r>
        <w:rPr>
          <w:rFonts w:hint="default" w:ascii="Times New Roman" w:hAnsi="Times New Roman" w:eastAsia="仿宋_GB2312" w:cs="Times New Roman"/>
          <w:b w:val="0"/>
          <w:bCs w:val="0"/>
          <w:sz w:val="32"/>
          <w:szCs w:val="32"/>
          <w:lang w:val="en-US" w:eastAsia="zh-Hans"/>
        </w:rPr>
        <w:t>）文件的要求及规定</w:t>
      </w:r>
      <w:r>
        <w:rPr>
          <w:rFonts w:hint="default" w:ascii="Times New Roman" w:hAnsi="Times New Roman" w:eastAsia="仿宋_GB2312" w:cs="Times New Roman"/>
          <w:b w:val="0"/>
          <w:bCs w:val="0"/>
          <w:sz w:val="32"/>
          <w:szCs w:val="32"/>
          <w:lang w:val="en-US" w:eastAsia="zh-CN"/>
        </w:rPr>
        <w:t>设置</w:t>
      </w:r>
      <w:r>
        <w:rPr>
          <w:rFonts w:hint="default" w:ascii="Times New Roman" w:hAnsi="Times New Roman" w:eastAsia="仿宋_GB2312" w:cs="Times New Roman"/>
          <w:b w:val="0"/>
          <w:bCs w:val="0"/>
          <w:sz w:val="32"/>
          <w:szCs w:val="32"/>
          <w:lang w:val="en-US" w:eastAsia="zh-Hans"/>
        </w:rPr>
        <w:t>，项目绩效评价分值采用百分制。4个一级指标，即决策、过程、产出、效果，所占权重分别为20%、20%、30%、30%；11个二级指标，即项目立项、绩效目标、资金投入、资金管理、组织实施、产出数量、产出质量、产出时效、产出成本、社会效益、满意度，二级指标在一级指标权重的基础上细分了权重；</w:t>
      </w:r>
      <w:r>
        <w:rPr>
          <w:rFonts w:hint="default" w:ascii="Times New Roman" w:hAnsi="Times New Roman" w:eastAsia="仿宋_GB2312" w:cs="Times New Roman"/>
          <w:b w:val="0"/>
          <w:bCs w:val="0"/>
          <w:sz w:val="32"/>
          <w:szCs w:val="32"/>
          <w:lang w:val="en-US" w:eastAsia="zh-CN"/>
        </w:rPr>
        <w:t>25</w:t>
      </w:r>
      <w:r>
        <w:rPr>
          <w:rFonts w:hint="default" w:ascii="Times New Roman" w:hAnsi="Times New Roman" w:eastAsia="仿宋_GB2312" w:cs="Times New Roman"/>
          <w:b w:val="0"/>
          <w:bCs w:val="0"/>
          <w:sz w:val="32"/>
          <w:szCs w:val="32"/>
          <w:lang w:val="en-US" w:eastAsia="zh-Hans"/>
        </w:rPr>
        <w:t>个三级指标：立项依据充分性、立项程序规范性、绩效目标合理性、绩效指标明确性、预算编制科学性、资金分配合理性、资金到位率、预算执行率、资金使用合规性、管理制度健全性、制度执行有效性、组织开展经济运行分析及指标调度会议工作完成情况</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Hans"/>
        </w:rPr>
        <w:t>购买稳增长政策汇编书册服务工作完成情况</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Hans"/>
        </w:rPr>
        <w:t>编制《五华区绿美城乡建设十年规划》工作完成情况</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Hans"/>
        </w:rPr>
        <w:t>引入服务业市场主体工作完成情况</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Hans"/>
        </w:rPr>
        <w:t>编制《新发展格局下五华区高质量发展路径研究》工作完成情况</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Hans"/>
        </w:rPr>
        <w:t>2022年应付未付款拨付完成率情况</w:t>
      </w:r>
      <w:r>
        <w:rPr>
          <w:rFonts w:hint="default" w:ascii="Times New Roman" w:hAnsi="Times New Roman" w:eastAsia="仿宋_GB2312" w:cs="Times New Roman"/>
          <w:b w:val="0"/>
          <w:bCs w:val="0"/>
          <w:sz w:val="32"/>
          <w:szCs w:val="32"/>
          <w:lang w:val="en-US" w:eastAsia="zh-CN"/>
        </w:rPr>
        <w:t>、项目</w:t>
      </w:r>
      <w:r>
        <w:rPr>
          <w:rFonts w:hint="default" w:ascii="Times New Roman" w:hAnsi="Times New Roman" w:eastAsia="仿宋_GB2312" w:cs="Times New Roman"/>
          <w:b w:val="0"/>
          <w:bCs w:val="0"/>
          <w:sz w:val="32"/>
          <w:szCs w:val="32"/>
          <w:lang w:val="en-US" w:eastAsia="zh-Hans"/>
        </w:rPr>
        <w:t>验收合格率</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Hans"/>
        </w:rPr>
        <w:t>项目完成及时率</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Hans"/>
        </w:rPr>
        <w:t>成本节约率</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Hans"/>
        </w:rPr>
        <w:t>成果及报告的可持续影响作用</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Hans"/>
        </w:rPr>
        <w:t>优化经济结构作用效果</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Hans"/>
        </w:rPr>
        <w:t>促进产业转型升级作用效果</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Hans"/>
        </w:rPr>
        <w:t>五华区产业高质量发展促进作用效果、使用人员满意度。三级指标分别在二级指标权重的基础上细分了权重</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sz w:val="32"/>
          <w:szCs w:val="32"/>
          <w:lang w:val="en-US" w:eastAsia="zh-Hans"/>
        </w:rPr>
        <w:t>并对每个指标均细化了评分点，详见附件1。</w:t>
      </w:r>
    </w:p>
    <w:p w14:paraId="2366BE03">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kern w:val="2"/>
          <w:sz w:val="32"/>
          <w:szCs w:val="32"/>
          <w:lang w:eastAsia="zh-Hans" w:bidi="ar-SA"/>
        </w:rPr>
      </w:pPr>
      <w:r>
        <w:rPr>
          <w:rFonts w:hint="default" w:ascii="Times New Roman" w:hAnsi="Times New Roman" w:eastAsia="仿宋_GB2312" w:cs="Times New Roman"/>
          <w:b/>
          <w:bCs/>
          <w:kern w:val="2"/>
          <w:sz w:val="32"/>
          <w:szCs w:val="32"/>
          <w:lang w:eastAsia="zh-Hans" w:bidi="ar-SA"/>
        </w:rPr>
        <w:t>5.评价标准</w:t>
      </w:r>
    </w:p>
    <w:p w14:paraId="25C4EB30">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本次评价采用百分制，各级指标依据其指标权重确定分值，最终得分由各级评价指标得分加总形成。根据最终得分将评价标准分为四个等级：优（得分≥90分）；良（80分≤得分＜90分）；中（60≤得分＜80分）；差（得分＜60分）。</w:t>
      </w:r>
    </w:p>
    <w:p w14:paraId="0197D246">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outlineLvl w:val="1"/>
        <w:rPr>
          <w:rFonts w:hint="default" w:ascii="Times New Roman" w:hAnsi="Times New Roman" w:eastAsia="楷体_GB2312" w:cs="Times New Roman"/>
          <w:b w:val="0"/>
          <w:bCs w:val="0"/>
          <w:color w:val="auto"/>
          <w:sz w:val="32"/>
          <w:szCs w:val="32"/>
        </w:rPr>
      </w:pPr>
      <w:bookmarkStart w:id="7" w:name="_Toc1546528283"/>
      <w:r>
        <w:rPr>
          <w:rFonts w:hint="default" w:ascii="Times New Roman" w:hAnsi="Times New Roman" w:eastAsia="楷体_GB2312" w:cs="Times New Roman"/>
          <w:b w:val="0"/>
          <w:bCs w:val="0"/>
          <w:color w:val="auto"/>
          <w:sz w:val="32"/>
          <w:szCs w:val="32"/>
        </w:rPr>
        <w:t>（三）绩效评价工作过程</w:t>
      </w:r>
      <w:bookmarkEnd w:id="7"/>
    </w:p>
    <w:p w14:paraId="525AAB37">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kern w:val="2"/>
          <w:sz w:val="32"/>
          <w:szCs w:val="32"/>
          <w:lang w:eastAsia="zh-CN" w:bidi="ar-SA"/>
        </w:rPr>
      </w:pPr>
      <w:r>
        <w:rPr>
          <w:rFonts w:hint="default" w:ascii="Times New Roman" w:hAnsi="Times New Roman" w:eastAsia="仿宋_GB2312" w:cs="Times New Roman"/>
          <w:b/>
          <w:bCs/>
          <w:kern w:val="2"/>
          <w:sz w:val="32"/>
          <w:szCs w:val="32"/>
          <w:lang w:eastAsia="zh-CN" w:bidi="ar-SA"/>
        </w:rPr>
        <w:t>1.社会调查</w:t>
      </w:r>
    </w:p>
    <w:p w14:paraId="11E3B4E1">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Hans"/>
        </w:rPr>
        <w:t>主要以</w:t>
      </w:r>
      <w:r>
        <w:rPr>
          <w:rFonts w:hint="default" w:ascii="Times New Roman" w:hAnsi="Times New Roman" w:eastAsia="仿宋_GB2312" w:cs="Times New Roman"/>
          <w:b w:val="0"/>
          <w:bCs w:val="0"/>
          <w:sz w:val="32"/>
          <w:szCs w:val="32"/>
          <w:lang w:val="en-US" w:eastAsia="zh-CN"/>
        </w:rPr>
        <w:t>项目</w:t>
      </w:r>
      <w:r>
        <w:rPr>
          <w:rFonts w:hint="default" w:ascii="Times New Roman" w:hAnsi="Times New Roman" w:eastAsia="仿宋_GB2312" w:cs="Times New Roman"/>
          <w:b w:val="0"/>
          <w:bCs w:val="0"/>
          <w:sz w:val="32"/>
          <w:szCs w:val="32"/>
          <w:lang w:val="en-US" w:eastAsia="zh-Hans"/>
        </w:rPr>
        <w:t>工作开展中的复议、投诉、不满等问题事件为调查目标。</w:t>
      </w:r>
      <w:r>
        <w:rPr>
          <w:rFonts w:hint="default" w:ascii="Times New Roman" w:hAnsi="Times New Roman" w:eastAsia="仿宋_GB2312" w:cs="Times New Roman"/>
          <w:b w:val="0"/>
          <w:bCs w:val="0"/>
          <w:sz w:val="32"/>
          <w:szCs w:val="32"/>
          <w:lang w:eastAsia="zh-Hans"/>
        </w:rPr>
        <w:t>截至202</w:t>
      </w: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lang w:val="en-US" w:eastAsia="zh-Hans"/>
        </w:rPr>
        <w:t>年</w:t>
      </w:r>
      <w:r>
        <w:rPr>
          <w:rFonts w:hint="default" w:ascii="Times New Roman" w:hAnsi="Times New Roman" w:eastAsia="仿宋_GB2312" w:cs="Times New Roman"/>
          <w:b w:val="0"/>
          <w:bCs w:val="0"/>
          <w:sz w:val="32"/>
          <w:szCs w:val="32"/>
          <w:lang w:eastAsia="zh-Hans"/>
        </w:rPr>
        <w:t>12</w:t>
      </w:r>
      <w:r>
        <w:rPr>
          <w:rFonts w:hint="default" w:ascii="Times New Roman" w:hAnsi="Times New Roman" w:eastAsia="仿宋_GB2312" w:cs="Times New Roman"/>
          <w:b w:val="0"/>
          <w:bCs w:val="0"/>
          <w:sz w:val="32"/>
          <w:szCs w:val="32"/>
          <w:lang w:val="en-US" w:eastAsia="zh-Hans"/>
        </w:rPr>
        <w:t>月</w:t>
      </w:r>
      <w:r>
        <w:rPr>
          <w:rFonts w:hint="default" w:ascii="Times New Roman" w:hAnsi="Times New Roman" w:eastAsia="仿宋_GB2312" w:cs="Times New Roman"/>
          <w:b w:val="0"/>
          <w:bCs w:val="0"/>
          <w:sz w:val="32"/>
          <w:szCs w:val="32"/>
          <w:lang w:eastAsia="zh-Hans"/>
        </w:rPr>
        <w:t>31</w:t>
      </w:r>
      <w:r>
        <w:rPr>
          <w:rFonts w:hint="default" w:ascii="Times New Roman" w:hAnsi="Times New Roman" w:eastAsia="仿宋_GB2312" w:cs="Times New Roman"/>
          <w:b w:val="0"/>
          <w:bCs w:val="0"/>
          <w:sz w:val="32"/>
          <w:szCs w:val="32"/>
          <w:lang w:val="en-US" w:eastAsia="zh-Hans"/>
        </w:rPr>
        <w:t>日，在</w:t>
      </w:r>
      <w:r>
        <w:rPr>
          <w:rFonts w:hint="default" w:ascii="Times New Roman" w:hAnsi="Times New Roman" w:eastAsia="仿宋_GB2312" w:cs="Times New Roman"/>
          <w:b w:val="0"/>
          <w:bCs w:val="0"/>
          <w:sz w:val="32"/>
          <w:szCs w:val="32"/>
          <w:lang w:eastAsia="zh-CN"/>
        </w:rPr>
        <w:t>国民经济发展综合工作专项</w:t>
      </w:r>
      <w:r>
        <w:rPr>
          <w:rFonts w:hint="default" w:ascii="Times New Roman" w:hAnsi="Times New Roman" w:eastAsia="仿宋_GB2312" w:cs="Times New Roman"/>
          <w:b w:val="0"/>
          <w:bCs w:val="0"/>
          <w:sz w:val="32"/>
          <w:szCs w:val="32"/>
          <w:lang w:val="en-US" w:eastAsia="zh-Hans"/>
        </w:rPr>
        <w:t>项目开展过程中，未接到过复议、投诉、不满等问题事件</w:t>
      </w:r>
      <w:r>
        <w:rPr>
          <w:rFonts w:hint="default" w:ascii="Times New Roman" w:hAnsi="Times New Roman" w:eastAsia="仿宋_GB2312" w:cs="Times New Roman"/>
          <w:b w:val="0"/>
          <w:bCs w:val="0"/>
          <w:color w:val="auto"/>
          <w:sz w:val="32"/>
          <w:szCs w:val="32"/>
          <w:lang w:val="en-US" w:eastAsia="zh-Hans"/>
        </w:rPr>
        <w:t>。</w:t>
      </w:r>
    </w:p>
    <w:p w14:paraId="667DD447">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bCs/>
          <w:kern w:val="2"/>
          <w:sz w:val="32"/>
          <w:szCs w:val="32"/>
          <w:lang w:eastAsia="zh-CN" w:bidi="ar-SA"/>
        </w:rPr>
      </w:pPr>
      <w:r>
        <w:rPr>
          <w:rFonts w:hint="default" w:ascii="Times New Roman" w:hAnsi="Times New Roman" w:eastAsia="仿宋_GB2312" w:cs="Times New Roman"/>
          <w:b/>
          <w:bCs/>
          <w:kern w:val="2"/>
          <w:sz w:val="32"/>
          <w:szCs w:val="32"/>
          <w:lang w:eastAsia="zh-CN" w:bidi="ar-SA"/>
        </w:rPr>
        <w:t>2.数据分析和撰写报告</w:t>
      </w:r>
    </w:p>
    <w:p w14:paraId="4F94E8EE">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b w:val="0"/>
          <w:bCs w:val="0"/>
          <w:sz w:val="32"/>
          <w:szCs w:val="32"/>
          <w:lang w:val="en-US" w:eastAsia="zh-Hans"/>
        </w:rPr>
      </w:pPr>
      <w:r>
        <w:rPr>
          <w:rFonts w:hint="default" w:ascii="Times New Roman" w:hAnsi="Times New Roman" w:eastAsia="仿宋_GB2312" w:cs="Times New Roman"/>
          <w:b w:val="0"/>
          <w:bCs w:val="0"/>
          <w:sz w:val="32"/>
          <w:szCs w:val="32"/>
          <w:lang w:eastAsia="zh-CN"/>
        </w:rPr>
        <w:t>国民经济发展综合工作专项</w:t>
      </w:r>
      <w:r>
        <w:rPr>
          <w:rFonts w:hint="default" w:ascii="Times New Roman" w:hAnsi="Times New Roman" w:eastAsia="仿宋_GB2312" w:cs="Times New Roman"/>
          <w:b w:val="0"/>
          <w:bCs w:val="0"/>
          <w:sz w:val="32"/>
          <w:szCs w:val="32"/>
          <w:lang w:val="en-US" w:eastAsia="zh-Hans"/>
        </w:rPr>
        <w:t>项目的绩效目标值、预算资金申请数额、预算资金</w:t>
      </w:r>
      <w:r>
        <w:rPr>
          <w:rFonts w:hint="default" w:ascii="Times New Roman" w:hAnsi="Times New Roman" w:eastAsia="仿宋_GB2312" w:cs="Times New Roman"/>
          <w:b w:val="0"/>
          <w:bCs w:val="0"/>
          <w:sz w:val="32"/>
          <w:szCs w:val="32"/>
          <w:lang w:val="en-US" w:eastAsia="zh-CN"/>
        </w:rPr>
        <w:t>到位</w:t>
      </w:r>
      <w:r>
        <w:rPr>
          <w:rFonts w:hint="default" w:ascii="Times New Roman" w:hAnsi="Times New Roman" w:eastAsia="仿宋_GB2312" w:cs="Times New Roman"/>
          <w:b w:val="0"/>
          <w:bCs w:val="0"/>
          <w:sz w:val="32"/>
          <w:szCs w:val="32"/>
          <w:lang w:val="en-US" w:eastAsia="zh-Hans"/>
        </w:rPr>
        <w:t>数额、年度实际支出数额、绩效目标实际完成值</w:t>
      </w:r>
      <w:r>
        <w:rPr>
          <w:rFonts w:hint="default" w:ascii="Times New Roman" w:hAnsi="Times New Roman" w:eastAsia="仿宋_GB2312" w:cs="Times New Roman"/>
          <w:b w:val="0"/>
          <w:bCs w:val="0"/>
          <w:sz w:val="32"/>
          <w:szCs w:val="32"/>
          <w:lang w:val="en-US" w:eastAsia="zh-CN"/>
        </w:rPr>
        <w:t>、验收合格率</w:t>
      </w:r>
      <w:r>
        <w:rPr>
          <w:rFonts w:hint="default" w:ascii="Times New Roman" w:hAnsi="Times New Roman" w:eastAsia="仿宋_GB2312" w:cs="Times New Roman"/>
          <w:b w:val="0"/>
          <w:bCs w:val="0"/>
          <w:sz w:val="32"/>
          <w:szCs w:val="32"/>
          <w:lang w:val="en-US" w:eastAsia="zh-Hans"/>
        </w:rPr>
        <w:t>的数据分析主要采用比较法开展，将实施</w:t>
      </w:r>
      <w:r>
        <w:rPr>
          <w:rFonts w:hint="default" w:ascii="Times New Roman" w:hAnsi="Times New Roman" w:eastAsia="仿宋_GB2312" w:cs="Times New Roman"/>
          <w:b w:val="0"/>
          <w:bCs w:val="0"/>
          <w:sz w:val="32"/>
          <w:szCs w:val="32"/>
          <w:lang w:val="en-US" w:eastAsia="zh-CN"/>
        </w:rPr>
        <w:t>完成</w:t>
      </w:r>
      <w:r>
        <w:rPr>
          <w:rFonts w:hint="default" w:ascii="Times New Roman" w:hAnsi="Times New Roman" w:eastAsia="仿宋_GB2312" w:cs="Times New Roman"/>
          <w:b w:val="0"/>
          <w:bCs w:val="0"/>
          <w:sz w:val="32"/>
          <w:szCs w:val="32"/>
          <w:lang w:val="en-US" w:eastAsia="zh-Hans"/>
        </w:rPr>
        <w:t>情况与计划情况相比较，分析实际完成值和计划值的差异情况，再结合项目的决策、过程、产出、效果等综合情况撰写项目绩效评价报告。</w:t>
      </w:r>
    </w:p>
    <w:p w14:paraId="0DF1D2CB">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outlineLvl w:val="0"/>
        <w:rPr>
          <w:rFonts w:hint="default" w:ascii="Times New Roman" w:hAnsi="Times New Roman" w:eastAsia="黑体" w:cs="Times New Roman"/>
          <w:b w:val="0"/>
          <w:bCs w:val="0"/>
          <w:color w:val="auto"/>
          <w:sz w:val="32"/>
          <w:szCs w:val="32"/>
        </w:rPr>
      </w:pPr>
      <w:bookmarkStart w:id="8" w:name="_Toc1506272740"/>
      <w:r>
        <w:rPr>
          <w:rFonts w:hint="default" w:ascii="Times New Roman" w:hAnsi="Times New Roman" w:eastAsia="黑体" w:cs="Times New Roman"/>
          <w:b w:val="0"/>
          <w:bCs w:val="0"/>
          <w:color w:val="auto"/>
          <w:sz w:val="32"/>
          <w:szCs w:val="32"/>
        </w:rPr>
        <w:t>三、综合评价情况及评价结论</w:t>
      </w:r>
      <w:bookmarkEnd w:id="8"/>
    </w:p>
    <w:p w14:paraId="78ED0575">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outlineLvl w:val="1"/>
        <w:rPr>
          <w:rFonts w:hint="default" w:ascii="Times New Roman" w:hAnsi="Times New Roman" w:eastAsia="楷体_GB2312" w:cs="Times New Roman"/>
          <w:b w:val="0"/>
          <w:bCs w:val="0"/>
          <w:color w:val="auto"/>
          <w:sz w:val="32"/>
          <w:szCs w:val="32"/>
        </w:rPr>
      </w:pPr>
      <w:bookmarkStart w:id="9" w:name="_Toc1388710344"/>
      <w:r>
        <w:rPr>
          <w:rFonts w:hint="default" w:ascii="Times New Roman" w:hAnsi="Times New Roman" w:eastAsia="楷体_GB2312" w:cs="Times New Roman"/>
          <w:b w:val="0"/>
          <w:bCs w:val="0"/>
          <w:color w:val="auto"/>
          <w:sz w:val="32"/>
          <w:szCs w:val="32"/>
        </w:rPr>
        <w:t>（一）绩效评价综合结论</w:t>
      </w:r>
      <w:bookmarkEnd w:id="9"/>
    </w:p>
    <w:p w14:paraId="75AB9DAC">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b w:val="0"/>
          <w:bCs w:val="0"/>
          <w:sz w:val="32"/>
          <w:szCs w:val="32"/>
          <w:lang w:val="en-US" w:eastAsia="zh-Hans"/>
        </w:rPr>
      </w:pPr>
      <w:r>
        <w:rPr>
          <w:rFonts w:hint="default" w:ascii="Times New Roman" w:hAnsi="Times New Roman" w:eastAsia="仿宋_GB2312" w:cs="Times New Roman"/>
          <w:b w:val="0"/>
          <w:bCs w:val="0"/>
          <w:sz w:val="32"/>
          <w:szCs w:val="32"/>
          <w:lang w:val="en-US" w:eastAsia="zh-Hans"/>
        </w:rPr>
        <w:t>本次部门绩效</w:t>
      </w:r>
      <w:r>
        <w:rPr>
          <w:rFonts w:hint="default" w:ascii="Times New Roman" w:hAnsi="Times New Roman" w:eastAsia="仿宋_GB2312" w:cs="Times New Roman"/>
          <w:b w:val="0"/>
          <w:bCs w:val="0"/>
          <w:sz w:val="32"/>
          <w:szCs w:val="32"/>
          <w:lang w:eastAsia="zh-Hans"/>
        </w:rPr>
        <w:t>评价得分</w:t>
      </w:r>
      <w:r>
        <w:rPr>
          <w:rFonts w:hint="default" w:ascii="Times New Roman" w:hAnsi="Times New Roman" w:eastAsia="仿宋_GB2312" w:cs="Times New Roman"/>
          <w:b w:val="0"/>
          <w:bCs w:val="0"/>
          <w:sz w:val="32"/>
          <w:szCs w:val="32"/>
          <w:lang w:val="en-US" w:eastAsia="zh-CN"/>
        </w:rPr>
        <w:t>95.06</w:t>
      </w:r>
      <w:r>
        <w:rPr>
          <w:rFonts w:hint="default" w:ascii="Times New Roman" w:hAnsi="Times New Roman" w:eastAsia="仿宋_GB2312" w:cs="Times New Roman"/>
          <w:b w:val="0"/>
          <w:bCs w:val="0"/>
          <w:sz w:val="32"/>
          <w:szCs w:val="32"/>
          <w:lang w:eastAsia="zh-Hans"/>
        </w:rPr>
        <w:t>分，评价等级为“</w:t>
      </w:r>
      <w:r>
        <w:rPr>
          <w:rFonts w:hint="default" w:ascii="Times New Roman" w:hAnsi="Times New Roman" w:eastAsia="仿宋_GB2312" w:cs="Times New Roman"/>
          <w:b w:val="0"/>
          <w:bCs w:val="0"/>
          <w:sz w:val="32"/>
          <w:szCs w:val="32"/>
          <w:lang w:val="en-US" w:eastAsia="zh-Hans"/>
        </w:rPr>
        <w:t>优</w:t>
      </w:r>
      <w:r>
        <w:rPr>
          <w:rFonts w:hint="default" w:ascii="Times New Roman" w:hAnsi="Times New Roman" w:eastAsia="仿宋_GB2312" w:cs="Times New Roman"/>
          <w:b w:val="0"/>
          <w:bCs w:val="0"/>
          <w:sz w:val="32"/>
          <w:szCs w:val="32"/>
          <w:lang w:eastAsia="zh-Hans"/>
        </w:rPr>
        <w:t>”。</w:t>
      </w:r>
      <w:r>
        <w:rPr>
          <w:rFonts w:hint="default" w:ascii="Times New Roman" w:hAnsi="Times New Roman" w:eastAsia="仿宋_GB2312" w:cs="Times New Roman"/>
          <w:b w:val="0"/>
          <w:bCs w:val="0"/>
          <w:sz w:val="32"/>
          <w:szCs w:val="32"/>
          <w:lang w:val="en-US" w:eastAsia="zh-Hans"/>
        </w:rPr>
        <w:t>一级指标得分情况如下表</w:t>
      </w:r>
      <w:r>
        <w:rPr>
          <w:rFonts w:hint="default" w:ascii="Times New Roman" w:hAnsi="Times New Roman" w:eastAsia="仿宋_GB2312" w:cs="Times New Roman"/>
          <w:b w:val="0"/>
          <w:bCs w:val="0"/>
          <w:sz w:val="32"/>
          <w:szCs w:val="32"/>
          <w:lang w:eastAsia="zh-CN"/>
        </w:rPr>
        <w:t>1</w:t>
      </w:r>
      <w:r>
        <w:rPr>
          <w:rFonts w:hint="default" w:ascii="Times New Roman" w:hAnsi="Times New Roman" w:eastAsia="仿宋_GB2312" w:cs="Times New Roman"/>
          <w:b w:val="0"/>
          <w:bCs w:val="0"/>
          <w:sz w:val="32"/>
          <w:szCs w:val="32"/>
          <w:lang w:val="en-US" w:eastAsia="zh-Hans"/>
        </w:rPr>
        <w:t>。</w:t>
      </w:r>
    </w:p>
    <w:p w14:paraId="0CE97CFE">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jc w:val="center"/>
        <w:textAlignment w:val="auto"/>
        <w:outlineLvl w:val="9"/>
        <w:rPr>
          <w:rFonts w:hint="default" w:ascii="Times New Roman" w:hAnsi="Times New Roman" w:eastAsia="仿宋_GB2312" w:cs="Times New Roman"/>
          <w:b w:val="0"/>
          <w:bCs w:val="0"/>
          <w:sz w:val="32"/>
          <w:szCs w:val="32"/>
          <w:lang w:val="en-US" w:eastAsia="zh-Hans"/>
        </w:rPr>
      </w:pPr>
      <w:r>
        <w:rPr>
          <w:rFonts w:hint="default" w:ascii="Times New Roman" w:hAnsi="Times New Roman" w:eastAsia="仿宋_GB2312" w:cs="Times New Roman"/>
          <w:b w:val="0"/>
          <w:bCs w:val="0"/>
          <w:sz w:val="32"/>
          <w:szCs w:val="32"/>
          <w:lang w:val="en-US" w:eastAsia="zh-Hans"/>
        </w:rPr>
        <w:t>表</w:t>
      </w:r>
      <w:r>
        <w:rPr>
          <w:rFonts w:hint="default" w:ascii="Times New Roman" w:hAnsi="Times New Roman" w:eastAsia="仿宋_GB2312" w:cs="Times New Roman"/>
          <w:b w:val="0"/>
          <w:bCs w:val="0"/>
          <w:sz w:val="32"/>
          <w:szCs w:val="32"/>
          <w:lang w:eastAsia="zh-Hans"/>
        </w:rPr>
        <w:t>1</w:t>
      </w:r>
      <w:r>
        <w:rPr>
          <w:rFonts w:hint="default"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lang w:val="en-US" w:eastAsia="zh-Hans"/>
        </w:rPr>
        <w:t>绩效评价得分情况表</w:t>
      </w:r>
    </w:p>
    <w:tbl>
      <w:tblPr>
        <w:tblStyle w:val="11"/>
        <w:tblW w:w="8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1708"/>
        <w:gridCol w:w="2243"/>
        <w:gridCol w:w="2244"/>
        <w:gridCol w:w="2245"/>
      </w:tblGrid>
      <w:tr w14:paraId="26DD4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1134" w:hRule="exact"/>
          <w:tblHeader/>
          <w:jc w:val="center"/>
        </w:trPr>
        <w:tc>
          <w:tcPr>
            <w:tcW w:w="1708" w:type="dxa"/>
            <w:tcBorders>
              <w:top w:val="single" w:color="auto" w:sz="4" w:space="0"/>
            </w:tcBorders>
            <w:vAlign w:val="center"/>
          </w:tcPr>
          <w:p w14:paraId="6E9C30FE">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spacing w:val="6"/>
                <w:sz w:val="32"/>
                <w:szCs w:val="32"/>
              </w:rPr>
            </w:pPr>
            <w:r>
              <w:rPr>
                <w:rFonts w:hint="default" w:ascii="Times New Roman" w:hAnsi="Times New Roman" w:eastAsia="仿宋_GB2312" w:cs="Times New Roman"/>
                <w:b/>
                <w:bCs/>
                <w:color w:val="auto"/>
                <w:spacing w:val="6"/>
                <w:sz w:val="32"/>
                <w:szCs w:val="32"/>
              </w:rPr>
              <w:t>一级指标</w:t>
            </w:r>
          </w:p>
        </w:tc>
        <w:tc>
          <w:tcPr>
            <w:tcW w:w="2243" w:type="dxa"/>
            <w:tcBorders>
              <w:top w:val="single" w:color="auto" w:sz="4" w:space="0"/>
            </w:tcBorders>
            <w:vAlign w:val="center"/>
          </w:tcPr>
          <w:p w14:paraId="3EEE0B57">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spacing w:val="6"/>
                <w:sz w:val="32"/>
                <w:szCs w:val="32"/>
              </w:rPr>
            </w:pPr>
            <w:r>
              <w:rPr>
                <w:rFonts w:hint="default" w:ascii="Times New Roman" w:hAnsi="Times New Roman" w:eastAsia="仿宋_GB2312" w:cs="Times New Roman"/>
                <w:b/>
                <w:bCs/>
                <w:color w:val="auto"/>
                <w:spacing w:val="6"/>
                <w:sz w:val="32"/>
                <w:szCs w:val="32"/>
              </w:rPr>
              <w:t>指标分值（分）</w:t>
            </w:r>
          </w:p>
        </w:tc>
        <w:tc>
          <w:tcPr>
            <w:tcW w:w="2244" w:type="dxa"/>
            <w:tcBorders>
              <w:top w:val="single" w:color="auto" w:sz="4" w:space="0"/>
            </w:tcBorders>
            <w:vAlign w:val="center"/>
          </w:tcPr>
          <w:p w14:paraId="5C647FAF">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spacing w:val="6"/>
                <w:sz w:val="32"/>
                <w:szCs w:val="32"/>
              </w:rPr>
            </w:pPr>
            <w:r>
              <w:rPr>
                <w:rFonts w:hint="default" w:ascii="Times New Roman" w:hAnsi="Times New Roman" w:eastAsia="仿宋_GB2312" w:cs="Times New Roman"/>
                <w:b/>
                <w:bCs/>
                <w:color w:val="auto"/>
                <w:spacing w:val="6"/>
                <w:sz w:val="32"/>
                <w:szCs w:val="32"/>
              </w:rPr>
              <w:t>评价得分（分）</w:t>
            </w:r>
          </w:p>
        </w:tc>
        <w:tc>
          <w:tcPr>
            <w:tcW w:w="2245" w:type="dxa"/>
            <w:tcBorders>
              <w:top w:val="single" w:color="auto" w:sz="4" w:space="0"/>
            </w:tcBorders>
            <w:vAlign w:val="center"/>
          </w:tcPr>
          <w:p w14:paraId="7426A643">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color w:val="auto"/>
                <w:spacing w:val="6"/>
                <w:sz w:val="32"/>
                <w:szCs w:val="32"/>
                <w:lang w:eastAsia="zh-Hans"/>
              </w:rPr>
            </w:pPr>
            <w:r>
              <w:rPr>
                <w:rFonts w:hint="default" w:ascii="Times New Roman" w:hAnsi="Times New Roman" w:eastAsia="仿宋_GB2312" w:cs="Times New Roman"/>
                <w:b/>
                <w:bCs/>
                <w:color w:val="auto"/>
                <w:spacing w:val="6"/>
                <w:sz w:val="32"/>
                <w:szCs w:val="32"/>
              </w:rPr>
              <w:t>得分率</w:t>
            </w:r>
            <w:r>
              <w:rPr>
                <w:rFonts w:hint="default" w:ascii="Times New Roman" w:hAnsi="Times New Roman" w:eastAsia="仿宋_GB2312" w:cs="Times New Roman"/>
                <w:b/>
                <w:bCs/>
                <w:color w:val="auto"/>
                <w:spacing w:val="6"/>
                <w:sz w:val="32"/>
                <w:szCs w:val="32"/>
                <w:lang w:eastAsia="zh-Hans"/>
              </w:rPr>
              <w:t>（</w:t>
            </w:r>
            <w:r>
              <w:rPr>
                <w:rFonts w:hint="default" w:ascii="Times New Roman" w:hAnsi="Times New Roman" w:eastAsia="仿宋_GB2312" w:cs="Times New Roman"/>
                <w:b/>
                <w:bCs/>
                <w:color w:val="auto"/>
                <w:spacing w:val="6"/>
                <w:sz w:val="32"/>
                <w:szCs w:val="32"/>
              </w:rPr>
              <w:t>%</w:t>
            </w:r>
            <w:r>
              <w:rPr>
                <w:rFonts w:hint="default" w:ascii="Times New Roman" w:hAnsi="Times New Roman" w:eastAsia="仿宋_GB2312" w:cs="Times New Roman"/>
                <w:b/>
                <w:bCs/>
                <w:color w:val="auto"/>
                <w:spacing w:val="6"/>
                <w:sz w:val="32"/>
                <w:szCs w:val="32"/>
                <w:lang w:eastAsia="zh-Hans"/>
              </w:rPr>
              <w:t>）</w:t>
            </w:r>
          </w:p>
        </w:tc>
      </w:tr>
      <w:tr w14:paraId="68D1A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850" w:hRule="exact"/>
          <w:jc w:val="center"/>
        </w:trPr>
        <w:tc>
          <w:tcPr>
            <w:tcW w:w="1708" w:type="dxa"/>
            <w:vAlign w:val="center"/>
          </w:tcPr>
          <w:p w14:paraId="2BE4F9D8">
            <w:pPr>
              <w:keepNext w:val="0"/>
              <w:keepLines w:val="0"/>
              <w:pageBreakBefore w:val="0"/>
              <w:widowControl/>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仿宋_GB2312" w:cs="Times New Roman"/>
                <w:b w:val="0"/>
                <w:bCs w:val="0"/>
                <w:color w:val="auto"/>
                <w:spacing w:val="6"/>
                <w:sz w:val="32"/>
                <w:szCs w:val="32"/>
                <w:highlight w:val="none"/>
              </w:rPr>
            </w:pPr>
            <w:r>
              <w:rPr>
                <w:rFonts w:hint="default" w:ascii="Times New Roman" w:hAnsi="Times New Roman" w:eastAsia="仿宋_GB2312" w:cs="Times New Roman"/>
                <w:b w:val="0"/>
                <w:bCs w:val="0"/>
                <w:color w:val="auto"/>
                <w:spacing w:val="6"/>
                <w:sz w:val="32"/>
                <w:szCs w:val="32"/>
                <w:highlight w:val="none"/>
              </w:rPr>
              <w:t>决策</w:t>
            </w:r>
          </w:p>
        </w:tc>
        <w:tc>
          <w:tcPr>
            <w:tcW w:w="2243" w:type="dxa"/>
            <w:vAlign w:val="center"/>
          </w:tcPr>
          <w:p w14:paraId="01DE08AF">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default" w:ascii="Times New Roman" w:hAnsi="Times New Roman" w:eastAsia="仿宋_GB2312" w:cs="Times New Roman"/>
                <w:b w:val="0"/>
                <w:bCs w:val="0"/>
                <w:color w:val="auto"/>
                <w:spacing w:val="6"/>
                <w:sz w:val="32"/>
                <w:szCs w:val="32"/>
                <w:highlight w:val="none"/>
              </w:rPr>
            </w:pPr>
            <w:r>
              <w:rPr>
                <w:rFonts w:hint="default" w:ascii="Times New Roman" w:hAnsi="Times New Roman" w:eastAsia="仿宋_GB2312" w:cs="Times New Roman"/>
                <w:b w:val="0"/>
                <w:bCs w:val="0"/>
                <w:i w:val="0"/>
                <w:iCs w:val="0"/>
                <w:color w:val="auto"/>
                <w:kern w:val="0"/>
                <w:sz w:val="32"/>
                <w:szCs w:val="32"/>
                <w:highlight w:val="none"/>
                <w:u w:val="none"/>
                <w:lang w:eastAsia="zh-CN" w:bidi="ar"/>
              </w:rPr>
              <w:t>20</w:t>
            </w:r>
            <w:r>
              <w:rPr>
                <w:rFonts w:hint="default" w:ascii="Times New Roman" w:hAnsi="Times New Roman" w:eastAsia="仿宋_GB2312" w:cs="Times New Roman"/>
                <w:b w:val="0"/>
                <w:bCs w:val="0"/>
                <w:spacing w:val="6"/>
                <w:kern w:val="0"/>
                <w:sz w:val="32"/>
                <w:szCs w:val="32"/>
                <w:highlight w:val="none"/>
                <w:lang w:val="en-US" w:eastAsia="zh-CN"/>
              </w:rPr>
              <w:t>.00</w:t>
            </w:r>
          </w:p>
        </w:tc>
        <w:tc>
          <w:tcPr>
            <w:tcW w:w="2244" w:type="dxa"/>
            <w:vAlign w:val="center"/>
          </w:tcPr>
          <w:p w14:paraId="35C96BF4">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default" w:ascii="Times New Roman" w:hAnsi="Times New Roman" w:eastAsia="仿宋_GB2312" w:cs="Times New Roman"/>
                <w:b w:val="0"/>
                <w:bCs w:val="0"/>
                <w:color w:val="auto"/>
                <w:spacing w:val="6"/>
                <w:sz w:val="32"/>
                <w:szCs w:val="32"/>
                <w:highlight w:val="none"/>
              </w:rPr>
            </w:pPr>
            <w:r>
              <w:rPr>
                <w:rFonts w:hint="default" w:ascii="Times New Roman" w:hAnsi="Times New Roman" w:eastAsia="仿宋_GB2312" w:cs="Times New Roman"/>
                <w:b w:val="0"/>
                <w:bCs w:val="0"/>
                <w:color w:val="auto"/>
                <w:spacing w:val="6"/>
                <w:sz w:val="32"/>
                <w:szCs w:val="32"/>
                <w:highlight w:val="none"/>
                <w:lang w:val="en-US" w:eastAsia="zh-CN"/>
              </w:rPr>
              <w:t>20</w:t>
            </w:r>
            <w:r>
              <w:rPr>
                <w:rFonts w:hint="default" w:ascii="Times New Roman" w:hAnsi="Times New Roman" w:eastAsia="仿宋_GB2312" w:cs="Times New Roman"/>
                <w:b w:val="0"/>
                <w:bCs w:val="0"/>
                <w:color w:val="auto"/>
                <w:spacing w:val="6"/>
                <w:sz w:val="32"/>
                <w:szCs w:val="32"/>
                <w:highlight w:val="none"/>
              </w:rPr>
              <w:t>.00</w:t>
            </w:r>
          </w:p>
        </w:tc>
        <w:tc>
          <w:tcPr>
            <w:tcW w:w="2245" w:type="dxa"/>
            <w:vAlign w:val="center"/>
          </w:tcPr>
          <w:p w14:paraId="449E6BB8">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default" w:ascii="Times New Roman" w:hAnsi="Times New Roman" w:eastAsia="仿宋_GB2312" w:cs="Times New Roman"/>
                <w:b w:val="0"/>
                <w:bCs w:val="0"/>
                <w:color w:val="auto"/>
                <w:spacing w:val="6"/>
                <w:sz w:val="32"/>
                <w:szCs w:val="32"/>
                <w:highlight w:val="none"/>
              </w:rPr>
            </w:pPr>
            <w:r>
              <w:rPr>
                <w:rFonts w:hint="default" w:ascii="Times New Roman" w:hAnsi="Times New Roman" w:eastAsia="仿宋_GB2312" w:cs="Times New Roman"/>
                <w:b w:val="0"/>
                <w:bCs w:val="0"/>
                <w:color w:val="auto"/>
                <w:spacing w:val="6"/>
                <w:sz w:val="32"/>
                <w:szCs w:val="32"/>
                <w:highlight w:val="none"/>
                <w:lang w:val="en-US" w:eastAsia="zh-CN"/>
              </w:rPr>
              <w:t>10</w:t>
            </w:r>
            <w:r>
              <w:rPr>
                <w:rFonts w:hint="default" w:ascii="Times New Roman" w:hAnsi="Times New Roman" w:eastAsia="仿宋_GB2312" w:cs="Times New Roman"/>
                <w:b w:val="0"/>
                <w:bCs w:val="0"/>
                <w:color w:val="auto"/>
                <w:spacing w:val="6"/>
                <w:sz w:val="32"/>
                <w:szCs w:val="32"/>
                <w:highlight w:val="none"/>
              </w:rPr>
              <w:t>0.00%</w:t>
            </w:r>
          </w:p>
        </w:tc>
      </w:tr>
      <w:tr w14:paraId="475D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850" w:hRule="exact"/>
          <w:jc w:val="center"/>
        </w:trPr>
        <w:tc>
          <w:tcPr>
            <w:tcW w:w="1708" w:type="dxa"/>
            <w:vAlign w:val="center"/>
          </w:tcPr>
          <w:p w14:paraId="778093DF">
            <w:pPr>
              <w:keepNext w:val="0"/>
              <w:keepLines w:val="0"/>
              <w:pageBreakBefore w:val="0"/>
              <w:widowControl/>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仿宋_GB2312" w:cs="Times New Roman"/>
                <w:b w:val="0"/>
                <w:bCs w:val="0"/>
                <w:color w:val="auto"/>
                <w:spacing w:val="6"/>
                <w:sz w:val="32"/>
                <w:szCs w:val="32"/>
              </w:rPr>
            </w:pPr>
            <w:r>
              <w:rPr>
                <w:rFonts w:hint="default" w:ascii="Times New Roman" w:hAnsi="Times New Roman" w:eastAsia="仿宋_GB2312" w:cs="Times New Roman"/>
                <w:b w:val="0"/>
                <w:bCs w:val="0"/>
                <w:color w:val="auto"/>
                <w:spacing w:val="6"/>
                <w:sz w:val="32"/>
                <w:szCs w:val="32"/>
              </w:rPr>
              <w:t>过程</w:t>
            </w:r>
          </w:p>
        </w:tc>
        <w:tc>
          <w:tcPr>
            <w:tcW w:w="2243" w:type="dxa"/>
            <w:vAlign w:val="center"/>
          </w:tcPr>
          <w:p w14:paraId="6FA55F45">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default" w:ascii="Times New Roman" w:hAnsi="Times New Roman" w:eastAsia="仿宋_GB2312" w:cs="Times New Roman"/>
                <w:b w:val="0"/>
                <w:bCs w:val="0"/>
                <w:color w:val="auto"/>
                <w:spacing w:val="6"/>
                <w:sz w:val="32"/>
                <w:szCs w:val="32"/>
              </w:rPr>
            </w:pPr>
            <w:r>
              <w:rPr>
                <w:rFonts w:hint="default" w:ascii="Times New Roman" w:hAnsi="Times New Roman" w:eastAsia="仿宋_GB2312" w:cs="Times New Roman"/>
                <w:b w:val="0"/>
                <w:bCs w:val="0"/>
                <w:i w:val="0"/>
                <w:iCs w:val="0"/>
                <w:color w:val="auto"/>
                <w:kern w:val="0"/>
                <w:sz w:val="32"/>
                <w:szCs w:val="32"/>
                <w:u w:val="none"/>
                <w:lang w:eastAsia="zh-CN" w:bidi="ar"/>
              </w:rPr>
              <w:t>20</w:t>
            </w:r>
            <w:r>
              <w:rPr>
                <w:rFonts w:hint="default" w:ascii="Times New Roman" w:hAnsi="Times New Roman" w:eastAsia="仿宋_GB2312" w:cs="Times New Roman"/>
                <w:b w:val="0"/>
                <w:bCs w:val="0"/>
                <w:spacing w:val="6"/>
                <w:kern w:val="0"/>
                <w:sz w:val="32"/>
                <w:szCs w:val="32"/>
                <w:lang w:val="en-US" w:eastAsia="zh-CN"/>
              </w:rPr>
              <w:t>.00</w:t>
            </w:r>
          </w:p>
        </w:tc>
        <w:tc>
          <w:tcPr>
            <w:tcW w:w="2244" w:type="dxa"/>
            <w:vAlign w:val="center"/>
          </w:tcPr>
          <w:p w14:paraId="60EB1317">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default" w:ascii="Times New Roman" w:hAnsi="Times New Roman" w:eastAsia="仿宋_GB2312" w:cs="Times New Roman"/>
                <w:b w:val="0"/>
                <w:bCs w:val="0"/>
                <w:color w:val="auto"/>
                <w:spacing w:val="6"/>
                <w:sz w:val="32"/>
                <w:szCs w:val="32"/>
              </w:rPr>
            </w:pPr>
            <w:r>
              <w:rPr>
                <w:rFonts w:hint="default" w:ascii="Times New Roman" w:hAnsi="Times New Roman" w:eastAsia="仿宋_GB2312" w:cs="Times New Roman"/>
                <w:b w:val="0"/>
                <w:bCs w:val="0"/>
                <w:color w:val="auto"/>
                <w:spacing w:val="6"/>
                <w:sz w:val="32"/>
                <w:szCs w:val="32"/>
                <w:lang w:val="en-US" w:eastAsia="zh-CN"/>
              </w:rPr>
              <w:t>17.44</w:t>
            </w:r>
          </w:p>
        </w:tc>
        <w:tc>
          <w:tcPr>
            <w:tcW w:w="2245" w:type="dxa"/>
            <w:vAlign w:val="center"/>
          </w:tcPr>
          <w:p w14:paraId="3FEBF478">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default" w:ascii="Times New Roman" w:hAnsi="Times New Roman" w:eastAsia="仿宋_GB2312" w:cs="Times New Roman"/>
                <w:b w:val="0"/>
                <w:bCs w:val="0"/>
                <w:color w:val="auto"/>
                <w:spacing w:val="6"/>
                <w:sz w:val="32"/>
                <w:szCs w:val="32"/>
                <w:lang w:val="en-US" w:eastAsia="zh-CN"/>
              </w:rPr>
            </w:pPr>
            <w:r>
              <w:rPr>
                <w:rFonts w:hint="default" w:ascii="Times New Roman" w:hAnsi="Times New Roman" w:eastAsia="仿宋_GB2312" w:cs="Times New Roman"/>
                <w:b w:val="0"/>
                <w:bCs w:val="0"/>
                <w:color w:val="auto"/>
                <w:spacing w:val="6"/>
                <w:sz w:val="32"/>
                <w:szCs w:val="32"/>
                <w:lang w:val="en-US" w:eastAsia="zh-CN"/>
              </w:rPr>
              <w:t>87.20%</w:t>
            </w:r>
          </w:p>
        </w:tc>
      </w:tr>
      <w:tr w14:paraId="1CCA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850" w:hRule="exact"/>
          <w:jc w:val="center"/>
        </w:trPr>
        <w:tc>
          <w:tcPr>
            <w:tcW w:w="1708" w:type="dxa"/>
            <w:vAlign w:val="center"/>
          </w:tcPr>
          <w:p w14:paraId="4ED537AD">
            <w:pPr>
              <w:keepNext w:val="0"/>
              <w:keepLines w:val="0"/>
              <w:pageBreakBefore w:val="0"/>
              <w:widowControl/>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仿宋_GB2312" w:cs="Times New Roman"/>
                <w:b w:val="0"/>
                <w:bCs w:val="0"/>
                <w:color w:val="auto"/>
                <w:spacing w:val="6"/>
                <w:sz w:val="32"/>
                <w:szCs w:val="32"/>
              </w:rPr>
            </w:pPr>
            <w:r>
              <w:rPr>
                <w:rFonts w:hint="default" w:ascii="Times New Roman" w:hAnsi="Times New Roman" w:eastAsia="仿宋_GB2312" w:cs="Times New Roman"/>
                <w:b w:val="0"/>
                <w:bCs w:val="0"/>
                <w:color w:val="auto"/>
                <w:spacing w:val="6"/>
                <w:sz w:val="32"/>
                <w:szCs w:val="32"/>
              </w:rPr>
              <w:t>产出</w:t>
            </w:r>
          </w:p>
        </w:tc>
        <w:tc>
          <w:tcPr>
            <w:tcW w:w="2243" w:type="dxa"/>
            <w:vAlign w:val="center"/>
          </w:tcPr>
          <w:p w14:paraId="5324EDD8">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default" w:ascii="Times New Roman" w:hAnsi="Times New Roman" w:eastAsia="仿宋_GB2312" w:cs="Times New Roman"/>
                <w:b w:val="0"/>
                <w:bCs w:val="0"/>
                <w:color w:val="auto"/>
                <w:spacing w:val="6"/>
                <w:sz w:val="32"/>
                <w:szCs w:val="32"/>
              </w:rPr>
            </w:pPr>
            <w:r>
              <w:rPr>
                <w:rFonts w:hint="default" w:ascii="Times New Roman" w:hAnsi="Times New Roman" w:eastAsia="仿宋_GB2312" w:cs="Times New Roman"/>
                <w:b w:val="0"/>
                <w:bCs w:val="0"/>
                <w:i w:val="0"/>
                <w:iCs w:val="0"/>
                <w:color w:val="auto"/>
                <w:kern w:val="0"/>
                <w:sz w:val="32"/>
                <w:szCs w:val="32"/>
                <w:u w:val="none"/>
                <w:lang w:eastAsia="zh-CN" w:bidi="ar"/>
              </w:rPr>
              <w:t>30</w:t>
            </w:r>
            <w:r>
              <w:rPr>
                <w:rFonts w:hint="default" w:ascii="Times New Roman" w:hAnsi="Times New Roman" w:eastAsia="仿宋_GB2312" w:cs="Times New Roman"/>
                <w:b w:val="0"/>
                <w:bCs w:val="0"/>
                <w:spacing w:val="6"/>
                <w:kern w:val="0"/>
                <w:sz w:val="32"/>
                <w:szCs w:val="32"/>
                <w:lang w:val="en-US" w:eastAsia="zh-CN"/>
              </w:rPr>
              <w:t>.00</w:t>
            </w:r>
          </w:p>
        </w:tc>
        <w:tc>
          <w:tcPr>
            <w:tcW w:w="2244" w:type="dxa"/>
            <w:vAlign w:val="center"/>
          </w:tcPr>
          <w:p w14:paraId="2CCA0D81">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default" w:ascii="Times New Roman" w:hAnsi="Times New Roman" w:eastAsia="仿宋_GB2312" w:cs="Times New Roman"/>
                <w:b w:val="0"/>
                <w:bCs w:val="0"/>
                <w:color w:val="auto"/>
                <w:spacing w:val="6"/>
                <w:sz w:val="32"/>
                <w:szCs w:val="32"/>
                <w:lang w:val="en-US"/>
              </w:rPr>
            </w:pPr>
            <w:r>
              <w:rPr>
                <w:rFonts w:hint="default" w:ascii="Times New Roman" w:hAnsi="Times New Roman" w:eastAsia="仿宋_GB2312" w:cs="Times New Roman"/>
                <w:b w:val="0"/>
                <w:bCs w:val="0"/>
                <w:color w:val="auto"/>
                <w:spacing w:val="6"/>
                <w:sz w:val="32"/>
                <w:szCs w:val="32"/>
                <w:lang w:val="en-US" w:eastAsia="zh-CN"/>
              </w:rPr>
              <w:t>27.62</w:t>
            </w:r>
          </w:p>
        </w:tc>
        <w:tc>
          <w:tcPr>
            <w:tcW w:w="2245" w:type="dxa"/>
            <w:vAlign w:val="center"/>
          </w:tcPr>
          <w:p w14:paraId="3ACC56B0">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default" w:ascii="Times New Roman" w:hAnsi="Times New Roman" w:eastAsia="仿宋_GB2312" w:cs="Times New Roman"/>
                <w:b w:val="0"/>
                <w:bCs w:val="0"/>
                <w:color w:val="auto"/>
                <w:spacing w:val="6"/>
                <w:sz w:val="32"/>
                <w:szCs w:val="32"/>
              </w:rPr>
            </w:pPr>
            <w:r>
              <w:rPr>
                <w:rFonts w:hint="default" w:ascii="Times New Roman" w:hAnsi="Times New Roman" w:eastAsia="仿宋_GB2312" w:cs="Times New Roman"/>
                <w:b w:val="0"/>
                <w:bCs w:val="0"/>
                <w:color w:val="auto"/>
                <w:spacing w:val="6"/>
                <w:sz w:val="32"/>
                <w:szCs w:val="32"/>
                <w:lang w:val="en-US" w:eastAsia="zh-CN"/>
              </w:rPr>
              <w:t>92.07</w:t>
            </w:r>
            <w:r>
              <w:rPr>
                <w:rFonts w:hint="default" w:ascii="Times New Roman" w:hAnsi="Times New Roman" w:eastAsia="仿宋_GB2312" w:cs="Times New Roman"/>
                <w:b w:val="0"/>
                <w:bCs w:val="0"/>
                <w:color w:val="auto"/>
                <w:spacing w:val="6"/>
                <w:sz w:val="32"/>
                <w:szCs w:val="32"/>
              </w:rPr>
              <w:t>%</w:t>
            </w:r>
          </w:p>
        </w:tc>
      </w:tr>
      <w:tr w14:paraId="095BF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850" w:hRule="exact"/>
          <w:jc w:val="center"/>
        </w:trPr>
        <w:tc>
          <w:tcPr>
            <w:tcW w:w="1708" w:type="dxa"/>
            <w:vAlign w:val="center"/>
          </w:tcPr>
          <w:p w14:paraId="5E90A205">
            <w:pPr>
              <w:keepNext w:val="0"/>
              <w:keepLines w:val="0"/>
              <w:pageBreakBefore w:val="0"/>
              <w:widowControl/>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仿宋_GB2312" w:cs="Times New Roman"/>
                <w:b w:val="0"/>
                <w:bCs w:val="0"/>
                <w:color w:val="auto"/>
                <w:spacing w:val="6"/>
                <w:sz w:val="32"/>
                <w:szCs w:val="32"/>
              </w:rPr>
            </w:pPr>
            <w:r>
              <w:rPr>
                <w:rFonts w:hint="default" w:ascii="Times New Roman" w:hAnsi="Times New Roman" w:eastAsia="仿宋_GB2312" w:cs="Times New Roman"/>
                <w:b w:val="0"/>
                <w:bCs w:val="0"/>
                <w:color w:val="auto"/>
                <w:spacing w:val="6"/>
                <w:sz w:val="32"/>
                <w:szCs w:val="32"/>
              </w:rPr>
              <w:t>效果</w:t>
            </w:r>
          </w:p>
        </w:tc>
        <w:tc>
          <w:tcPr>
            <w:tcW w:w="2243" w:type="dxa"/>
            <w:vAlign w:val="center"/>
          </w:tcPr>
          <w:p w14:paraId="0B16083A">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default" w:ascii="Times New Roman" w:hAnsi="Times New Roman" w:eastAsia="仿宋_GB2312" w:cs="Times New Roman"/>
                <w:b w:val="0"/>
                <w:bCs w:val="0"/>
                <w:color w:val="auto"/>
                <w:spacing w:val="6"/>
                <w:sz w:val="32"/>
                <w:szCs w:val="32"/>
              </w:rPr>
            </w:pPr>
            <w:r>
              <w:rPr>
                <w:rFonts w:hint="default" w:ascii="Times New Roman" w:hAnsi="Times New Roman" w:eastAsia="仿宋_GB2312" w:cs="Times New Roman"/>
                <w:b w:val="0"/>
                <w:bCs w:val="0"/>
                <w:i w:val="0"/>
                <w:iCs w:val="0"/>
                <w:color w:val="auto"/>
                <w:kern w:val="0"/>
                <w:sz w:val="32"/>
                <w:szCs w:val="32"/>
                <w:u w:val="none"/>
                <w:lang w:eastAsia="zh-CN" w:bidi="ar"/>
              </w:rPr>
              <w:t>30</w:t>
            </w:r>
            <w:r>
              <w:rPr>
                <w:rFonts w:hint="default" w:ascii="Times New Roman" w:hAnsi="Times New Roman" w:eastAsia="仿宋_GB2312" w:cs="Times New Roman"/>
                <w:b w:val="0"/>
                <w:bCs w:val="0"/>
                <w:spacing w:val="6"/>
                <w:kern w:val="0"/>
                <w:sz w:val="32"/>
                <w:szCs w:val="32"/>
                <w:lang w:val="en-US" w:eastAsia="zh-CN"/>
              </w:rPr>
              <w:t>.</w:t>
            </w:r>
            <w:r>
              <w:rPr>
                <w:rFonts w:hint="default" w:ascii="Times New Roman" w:hAnsi="Times New Roman" w:eastAsia="仿宋_GB2312" w:cs="Times New Roman"/>
                <w:b w:val="0"/>
                <w:bCs w:val="0"/>
                <w:spacing w:val="6"/>
                <w:kern w:val="0"/>
                <w:sz w:val="32"/>
                <w:szCs w:val="32"/>
                <w:lang w:eastAsia="zh-CN"/>
              </w:rPr>
              <w:t>00</w:t>
            </w:r>
          </w:p>
        </w:tc>
        <w:tc>
          <w:tcPr>
            <w:tcW w:w="2244" w:type="dxa"/>
            <w:vAlign w:val="center"/>
          </w:tcPr>
          <w:p w14:paraId="5A1C0E46">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default" w:ascii="Times New Roman" w:hAnsi="Times New Roman" w:eastAsia="仿宋_GB2312" w:cs="Times New Roman"/>
                <w:b w:val="0"/>
                <w:bCs w:val="0"/>
                <w:color w:val="auto"/>
                <w:spacing w:val="6"/>
                <w:sz w:val="32"/>
                <w:szCs w:val="32"/>
              </w:rPr>
            </w:pPr>
            <w:r>
              <w:rPr>
                <w:rFonts w:hint="default" w:ascii="Times New Roman" w:hAnsi="Times New Roman" w:eastAsia="仿宋_GB2312" w:cs="Times New Roman"/>
                <w:b w:val="0"/>
                <w:bCs w:val="0"/>
                <w:color w:val="auto"/>
                <w:spacing w:val="6"/>
                <w:sz w:val="32"/>
                <w:szCs w:val="32"/>
              </w:rPr>
              <w:t>30.00</w:t>
            </w:r>
          </w:p>
        </w:tc>
        <w:tc>
          <w:tcPr>
            <w:tcW w:w="2245" w:type="dxa"/>
            <w:vAlign w:val="center"/>
          </w:tcPr>
          <w:p w14:paraId="25D453F8">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center"/>
              <w:rPr>
                <w:rFonts w:hint="default" w:ascii="Times New Roman" w:hAnsi="Times New Roman" w:eastAsia="仿宋_GB2312" w:cs="Times New Roman"/>
                <w:b w:val="0"/>
                <w:bCs w:val="0"/>
                <w:color w:val="auto"/>
                <w:spacing w:val="6"/>
                <w:sz w:val="32"/>
                <w:szCs w:val="32"/>
              </w:rPr>
            </w:pPr>
            <w:r>
              <w:rPr>
                <w:rFonts w:hint="default" w:ascii="Times New Roman" w:hAnsi="Times New Roman" w:eastAsia="仿宋_GB2312" w:cs="Times New Roman"/>
                <w:b w:val="0"/>
                <w:bCs w:val="0"/>
                <w:color w:val="auto"/>
                <w:spacing w:val="6"/>
                <w:sz w:val="32"/>
                <w:szCs w:val="32"/>
              </w:rPr>
              <w:t>100.00%</w:t>
            </w:r>
          </w:p>
        </w:tc>
      </w:tr>
      <w:tr w14:paraId="3803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850" w:hRule="exact"/>
          <w:jc w:val="center"/>
        </w:trPr>
        <w:tc>
          <w:tcPr>
            <w:tcW w:w="1708" w:type="dxa"/>
            <w:vAlign w:val="center"/>
          </w:tcPr>
          <w:p w14:paraId="47C6BEF2">
            <w:pPr>
              <w:keepNext w:val="0"/>
              <w:keepLines w:val="0"/>
              <w:pageBreakBefore w:val="0"/>
              <w:widowControl/>
              <w:kinsoku/>
              <w:wordWrap/>
              <w:overflowPunct/>
              <w:topLinePunct w:val="0"/>
              <w:autoSpaceDE/>
              <w:autoSpaceDN/>
              <w:bidi w:val="0"/>
              <w:adjustRightInd/>
              <w:snapToGrid/>
              <w:spacing w:line="560" w:lineRule="exact"/>
              <w:ind w:firstLine="0" w:firstLineChars="0"/>
              <w:jc w:val="center"/>
              <w:rPr>
                <w:rFonts w:hint="default" w:ascii="Times New Roman" w:hAnsi="Times New Roman" w:eastAsia="仿宋_GB2312" w:cs="Times New Roman"/>
                <w:b w:val="0"/>
                <w:bCs w:val="0"/>
                <w:color w:val="auto"/>
                <w:spacing w:val="6"/>
                <w:sz w:val="32"/>
                <w:szCs w:val="32"/>
              </w:rPr>
            </w:pPr>
            <w:r>
              <w:rPr>
                <w:rFonts w:hint="default" w:ascii="Times New Roman" w:hAnsi="Times New Roman" w:eastAsia="仿宋_GB2312" w:cs="Times New Roman"/>
                <w:b w:val="0"/>
                <w:bCs w:val="0"/>
                <w:color w:val="auto"/>
                <w:spacing w:val="6"/>
                <w:sz w:val="32"/>
                <w:szCs w:val="32"/>
              </w:rPr>
              <w:t>合计</w:t>
            </w:r>
          </w:p>
        </w:tc>
        <w:tc>
          <w:tcPr>
            <w:tcW w:w="2243" w:type="dxa"/>
            <w:vAlign w:val="center"/>
          </w:tcPr>
          <w:p w14:paraId="31E71D40">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top"/>
              <w:rPr>
                <w:rFonts w:hint="default" w:ascii="Times New Roman" w:hAnsi="Times New Roman" w:eastAsia="仿宋_GB2312" w:cs="Times New Roman"/>
                <w:b w:val="0"/>
                <w:bCs w:val="0"/>
                <w:color w:val="auto"/>
                <w:spacing w:val="6"/>
                <w:sz w:val="32"/>
                <w:szCs w:val="32"/>
                <w:highlight w:val="yellow"/>
              </w:rPr>
            </w:pPr>
            <w:r>
              <w:rPr>
                <w:rFonts w:hint="default" w:ascii="Times New Roman" w:hAnsi="Times New Roman" w:eastAsia="仿宋_GB2312" w:cs="Times New Roman"/>
                <w:b w:val="0"/>
                <w:bCs w:val="0"/>
                <w:i w:val="0"/>
                <w:iCs w:val="0"/>
                <w:color w:val="auto"/>
                <w:kern w:val="0"/>
                <w:sz w:val="32"/>
                <w:szCs w:val="32"/>
                <w:highlight w:val="none"/>
                <w:u w:val="none"/>
                <w:lang w:val="en-US" w:eastAsia="zh-CN" w:bidi="ar"/>
              </w:rPr>
              <w:t>100</w:t>
            </w:r>
            <w:r>
              <w:rPr>
                <w:rFonts w:hint="default" w:ascii="Times New Roman" w:hAnsi="Times New Roman" w:eastAsia="仿宋_GB2312" w:cs="Times New Roman"/>
                <w:b w:val="0"/>
                <w:bCs w:val="0"/>
                <w:spacing w:val="6"/>
                <w:kern w:val="0"/>
                <w:sz w:val="32"/>
                <w:szCs w:val="32"/>
                <w:highlight w:val="none"/>
                <w:lang w:val="en-US" w:eastAsia="zh-CN"/>
              </w:rPr>
              <w:t>.00</w:t>
            </w:r>
          </w:p>
        </w:tc>
        <w:tc>
          <w:tcPr>
            <w:tcW w:w="2244" w:type="dxa"/>
            <w:vAlign w:val="center"/>
          </w:tcPr>
          <w:p w14:paraId="58850700">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top"/>
              <w:rPr>
                <w:rFonts w:hint="default" w:ascii="Times New Roman" w:hAnsi="Times New Roman" w:eastAsia="仿宋_GB2312" w:cs="Times New Roman"/>
                <w:b w:val="0"/>
                <w:bCs w:val="0"/>
                <w:color w:val="auto"/>
                <w:spacing w:val="6"/>
                <w:sz w:val="32"/>
                <w:szCs w:val="32"/>
                <w:highlight w:val="none"/>
                <w:lang w:val="en-US" w:eastAsia="zh-CN"/>
              </w:rPr>
            </w:pPr>
            <w:r>
              <w:rPr>
                <w:rFonts w:hint="default" w:ascii="Times New Roman" w:hAnsi="Times New Roman" w:eastAsia="仿宋_GB2312" w:cs="Times New Roman"/>
                <w:b w:val="0"/>
                <w:bCs w:val="0"/>
                <w:color w:val="auto"/>
                <w:spacing w:val="6"/>
                <w:sz w:val="32"/>
                <w:szCs w:val="32"/>
                <w:highlight w:val="none"/>
                <w:lang w:val="en-US" w:eastAsia="zh-CN"/>
              </w:rPr>
              <w:t>95.06</w:t>
            </w:r>
          </w:p>
        </w:tc>
        <w:tc>
          <w:tcPr>
            <w:tcW w:w="2245" w:type="dxa"/>
            <w:vAlign w:val="center"/>
          </w:tcPr>
          <w:p w14:paraId="5A1DA519">
            <w:pPr>
              <w:keepNext w:val="0"/>
              <w:keepLines w:val="0"/>
              <w:pageBreakBefore w:val="0"/>
              <w:widowControl/>
              <w:suppressLineNumbers w:val="0"/>
              <w:kinsoku/>
              <w:wordWrap/>
              <w:overflowPunct/>
              <w:topLinePunct w:val="0"/>
              <w:autoSpaceDE/>
              <w:autoSpaceDN/>
              <w:bidi w:val="0"/>
              <w:adjustRightInd/>
              <w:snapToGrid/>
              <w:spacing w:line="560" w:lineRule="exact"/>
              <w:ind w:firstLine="0" w:firstLineChars="0"/>
              <w:jc w:val="center"/>
              <w:textAlignment w:val="top"/>
              <w:rPr>
                <w:rFonts w:hint="default" w:ascii="Times New Roman" w:hAnsi="Times New Roman" w:eastAsia="仿宋_GB2312" w:cs="Times New Roman"/>
                <w:b w:val="0"/>
                <w:bCs w:val="0"/>
                <w:color w:val="auto"/>
                <w:spacing w:val="6"/>
                <w:sz w:val="32"/>
                <w:szCs w:val="32"/>
                <w:highlight w:val="none"/>
                <w:lang w:val="en-US" w:eastAsia="zh-CN"/>
              </w:rPr>
            </w:pPr>
            <w:r>
              <w:rPr>
                <w:rFonts w:hint="default" w:ascii="Times New Roman" w:hAnsi="Times New Roman" w:eastAsia="仿宋_GB2312" w:cs="Times New Roman"/>
                <w:b w:val="0"/>
                <w:bCs w:val="0"/>
                <w:color w:val="auto"/>
                <w:spacing w:val="6"/>
                <w:sz w:val="32"/>
                <w:szCs w:val="32"/>
                <w:highlight w:val="none"/>
                <w:lang w:val="en-US" w:eastAsia="zh-CN"/>
              </w:rPr>
              <w:t>95.06%</w:t>
            </w:r>
          </w:p>
        </w:tc>
      </w:tr>
    </w:tbl>
    <w:p w14:paraId="57B11B2B">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outlineLvl w:val="1"/>
        <w:rPr>
          <w:rFonts w:hint="default" w:ascii="Times New Roman" w:hAnsi="Times New Roman" w:eastAsia="楷体_GB2312" w:cs="Times New Roman"/>
          <w:b w:val="0"/>
          <w:bCs w:val="0"/>
          <w:color w:val="auto"/>
          <w:sz w:val="32"/>
          <w:szCs w:val="32"/>
        </w:rPr>
      </w:pPr>
      <w:bookmarkStart w:id="10" w:name="_Toc1202476012"/>
      <w:r>
        <w:rPr>
          <w:rFonts w:hint="default" w:ascii="Times New Roman" w:hAnsi="Times New Roman" w:eastAsia="楷体_GB2312" w:cs="Times New Roman"/>
          <w:b w:val="0"/>
          <w:bCs w:val="0"/>
          <w:color w:val="auto"/>
          <w:sz w:val="32"/>
          <w:szCs w:val="32"/>
        </w:rPr>
        <w:t>（二）绩效目标实现情况</w:t>
      </w:r>
      <w:bookmarkEnd w:id="10"/>
    </w:p>
    <w:p w14:paraId="1601C829">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2023年组织开展21次经济运行分析及指标调度会议，并形成4份分析报告；印制2023年稳增长政策汇编2000册；完成《五华区绿美城乡建设十年规划》编制工作；引入服务业市场主体6539户，项目年度目标完成率为653.90%；2022年应付未付款项支付51.879万元。</w:t>
      </w:r>
    </w:p>
    <w:p w14:paraId="18AE60C5">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outlineLvl w:val="0"/>
        <w:rPr>
          <w:rFonts w:hint="default" w:ascii="Times New Roman" w:hAnsi="Times New Roman" w:eastAsia="仿宋_GB2312" w:cs="Times New Roman"/>
          <w:b w:val="0"/>
          <w:bCs w:val="0"/>
          <w:color w:val="auto"/>
          <w:sz w:val="32"/>
          <w:szCs w:val="32"/>
        </w:rPr>
      </w:pPr>
      <w:bookmarkStart w:id="11" w:name="_Toc45731767"/>
      <w:r>
        <w:rPr>
          <w:rFonts w:hint="default" w:ascii="Times New Roman" w:hAnsi="Times New Roman" w:eastAsia="黑体" w:cs="Times New Roman"/>
          <w:b w:val="0"/>
          <w:bCs w:val="0"/>
          <w:color w:val="auto"/>
          <w:sz w:val="32"/>
          <w:szCs w:val="32"/>
        </w:rPr>
        <w:t>四、绩效评价指标分析</w:t>
      </w:r>
      <w:bookmarkEnd w:id="11"/>
    </w:p>
    <w:p w14:paraId="2A1D480C">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outlineLvl w:val="1"/>
        <w:rPr>
          <w:rFonts w:hint="default" w:ascii="Times New Roman" w:hAnsi="Times New Roman" w:eastAsia="楷体_GB2312" w:cs="Times New Roman"/>
          <w:b w:val="0"/>
          <w:bCs w:val="0"/>
          <w:color w:val="auto"/>
          <w:sz w:val="32"/>
          <w:szCs w:val="32"/>
          <w:lang w:eastAsia="zh-CN"/>
        </w:rPr>
      </w:pPr>
      <w:bookmarkStart w:id="12" w:name="_Toc1962145990"/>
      <w:r>
        <w:rPr>
          <w:rFonts w:hint="default" w:ascii="Times New Roman" w:hAnsi="Times New Roman" w:eastAsia="楷体_GB2312" w:cs="Times New Roman"/>
          <w:b w:val="0"/>
          <w:bCs w:val="0"/>
          <w:color w:val="auto"/>
          <w:sz w:val="32"/>
          <w:szCs w:val="32"/>
        </w:rPr>
        <w:t>（一）项目决策情况分析</w:t>
      </w:r>
      <w:bookmarkEnd w:id="12"/>
    </w:p>
    <w:p w14:paraId="350D80C8">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b w:val="0"/>
          <w:bCs w:val="0"/>
          <w:color w:val="auto"/>
          <w:sz w:val="32"/>
          <w:szCs w:val="32"/>
          <w:lang w:eastAsia="zh-Hans"/>
        </w:rPr>
      </w:pPr>
      <w:r>
        <w:rPr>
          <w:rFonts w:hint="default" w:ascii="Times New Roman" w:hAnsi="Times New Roman" w:eastAsia="仿宋_GB2312" w:cs="Times New Roman"/>
          <w:b w:val="0"/>
          <w:bCs w:val="0"/>
          <w:color w:val="auto"/>
          <w:sz w:val="32"/>
          <w:szCs w:val="32"/>
          <w:lang w:eastAsia="zh-Hans"/>
        </w:rPr>
        <w:t>从评价得分情况看，决策指标分值20分，重点评价得分</w:t>
      </w:r>
      <w:r>
        <w:rPr>
          <w:rFonts w:hint="default" w:ascii="Times New Roman" w:hAnsi="Times New Roman" w:eastAsia="仿宋_GB2312" w:cs="Times New Roman"/>
          <w:b w:val="0"/>
          <w:bCs w:val="0"/>
          <w:color w:val="auto"/>
          <w:sz w:val="32"/>
          <w:szCs w:val="32"/>
          <w:lang w:val="en-US" w:eastAsia="zh-CN"/>
        </w:rPr>
        <w:t>18</w:t>
      </w:r>
      <w:r>
        <w:rPr>
          <w:rFonts w:hint="default" w:ascii="Times New Roman" w:hAnsi="Times New Roman" w:eastAsia="仿宋_GB2312" w:cs="Times New Roman"/>
          <w:b w:val="0"/>
          <w:bCs w:val="0"/>
          <w:color w:val="auto"/>
          <w:sz w:val="32"/>
          <w:szCs w:val="32"/>
          <w:lang w:eastAsia="zh-Hans"/>
        </w:rPr>
        <w:t>分，得分率</w:t>
      </w:r>
      <w:r>
        <w:rPr>
          <w:rFonts w:hint="default" w:ascii="Times New Roman" w:hAnsi="Times New Roman" w:eastAsia="仿宋_GB2312" w:cs="Times New Roman"/>
          <w:b w:val="0"/>
          <w:bCs w:val="0"/>
          <w:color w:val="auto"/>
          <w:sz w:val="32"/>
          <w:szCs w:val="32"/>
          <w:lang w:val="en-US" w:eastAsia="zh-CN"/>
        </w:rPr>
        <w:t>10</w:t>
      </w:r>
      <w:r>
        <w:rPr>
          <w:rFonts w:hint="default" w:ascii="Times New Roman" w:hAnsi="Times New Roman" w:eastAsia="仿宋_GB2312" w:cs="Times New Roman"/>
          <w:b w:val="0"/>
          <w:bCs w:val="0"/>
          <w:color w:val="auto"/>
          <w:sz w:val="32"/>
          <w:szCs w:val="32"/>
          <w:lang w:eastAsia="zh-Hans"/>
        </w:rPr>
        <w:t>0%</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eastAsia="zh-Hans"/>
        </w:rPr>
        <w:t>具体情况分析如下：</w:t>
      </w:r>
    </w:p>
    <w:p w14:paraId="32F93497">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b w:val="0"/>
          <w:bCs w:val="0"/>
          <w:color w:val="auto"/>
          <w:sz w:val="32"/>
          <w:szCs w:val="32"/>
          <w:lang w:eastAsia="zh-Hans"/>
        </w:rPr>
      </w:pPr>
      <w:r>
        <w:rPr>
          <w:rFonts w:hint="default" w:ascii="Times New Roman" w:hAnsi="Times New Roman" w:eastAsia="仿宋_GB2312" w:cs="Times New Roman"/>
          <w:b w:val="0"/>
          <w:bCs w:val="0"/>
          <w:color w:val="auto"/>
          <w:sz w:val="32"/>
          <w:szCs w:val="32"/>
          <w:lang w:eastAsia="zh-CN"/>
        </w:rPr>
        <w:t>1.项目立项依据充分，立项程序规范。</w:t>
      </w:r>
      <w:r>
        <w:rPr>
          <w:rFonts w:hint="default" w:ascii="Times New Roman" w:hAnsi="Times New Roman" w:eastAsia="仿宋_GB2312" w:cs="Times New Roman"/>
          <w:b w:val="0"/>
          <w:bCs w:val="0"/>
          <w:color w:val="auto"/>
          <w:sz w:val="32"/>
          <w:szCs w:val="32"/>
          <w:lang w:eastAsia="zh-Hans"/>
        </w:rPr>
        <w:t>项目</w:t>
      </w:r>
      <w:r>
        <w:rPr>
          <w:rFonts w:hint="default" w:ascii="Times New Roman" w:hAnsi="Times New Roman" w:eastAsia="仿宋_GB2312" w:cs="Times New Roman"/>
          <w:b w:val="0"/>
          <w:bCs w:val="0"/>
          <w:color w:val="auto"/>
          <w:sz w:val="32"/>
          <w:szCs w:val="32"/>
          <w:lang w:val="en-US" w:eastAsia="zh-Hans"/>
        </w:rPr>
        <w:t>已</w:t>
      </w:r>
      <w:r>
        <w:rPr>
          <w:rFonts w:hint="default" w:ascii="Times New Roman" w:hAnsi="Times New Roman" w:eastAsia="仿宋_GB2312" w:cs="Times New Roman"/>
          <w:b w:val="0"/>
          <w:bCs w:val="0"/>
          <w:color w:val="auto"/>
          <w:sz w:val="32"/>
          <w:szCs w:val="32"/>
          <w:lang w:eastAsia="zh-Hans"/>
        </w:rPr>
        <w:t>按照</w:t>
      </w:r>
      <w:r>
        <w:rPr>
          <w:rFonts w:hint="default" w:ascii="Times New Roman" w:hAnsi="Times New Roman" w:eastAsia="仿宋_GB2312" w:cs="Times New Roman"/>
          <w:b w:val="0"/>
          <w:bCs w:val="0"/>
          <w:color w:val="auto"/>
          <w:sz w:val="32"/>
          <w:szCs w:val="32"/>
          <w:lang w:val="en-US" w:eastAsia="zh-Hans"/>
        </w:rPr>
        <w:t>五华区</w:t>
      </w:r>
      <w:r>
        <w:rPr>
          <w:rFonts w:hint="default" w:ascii="Times New Roman" w:hAnsi="Times New Roman" w:eastAsia="仿宋_GB2312" w:cs="Times New Roman"/>
          <w:b w:val="0"/>
          <w:bCs w:val="0"/>
          <w:color w:val="auto"/>
          <w:sz w:val="32"/>
          <w:szCs w:val="32"/>
          <w:lang w:eastAsia="zh-Hans"/>
        </w:rPr>
        <w:t>财政局规定的程序申请设立</w:t>
      </w:r>
      <w:r>
        <w:rPr>
          <w:rFonts w:hint="default" w:ascii="Times New Roman" w:hAnsi="Times New Roman" w:eastAsia="仿宋_GB2312" w:cs="Times New Roman"/>
          <w:b w:val="0"/>
          <w:bCs w:val="0"/>
          <w:color w:val="auto"/>
          <w:sz w:val="32"/>
          <w:szCs w:val="32"/>
          <w:lang w:val="en-US" w:eastAsia="zh-Hans"/>
        </w:rPr>
        <w:t>并</w:t>
      </w:r>
      <w:r>
        <w:rPr>
          <w:rFonts w:hint="default" w:ascii="Times New Roman" w:hAnsi="Times New Roman" w:eastAsia="仿宋_GB2312" w:cs="Times New Roman"/>
          <w:b w:val="0"/>
          <w:bCs w:val="0"/>
          <w:color w:val="auto"/>
          <w:sz w:val="32"/>
          <w:szCs w:val="32"/>
          <w:lang w:val="en-US" w:eastAsia="zh-CN"/>
        </w:rPr>
        <w:t>审核</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eastAsia="zh-Hans"/>
        </w:rPr>
        <w:t>预算系统内的编报内容符合财政局规定要求。项目立项符合国家规划，与部门职责相符，属于部门履职主要</w:t>
      </w:r>
      <w:r>
        <w:rPr>
          <w:rFonts w:hint="default" w:ascii="Times New Roman" w:hAnsi="Times New Roman" w:eastAsia="仿宋_GB2312" w:cs="Times New Roman"/>
          <w:b w:val="0"/>
          <w:bCs w:val="0"/>
          <w:color w:val="auto"/>
          <w:sz w:val="32"/>
          <w:szCs w:val="32"/>
          <w:lang w:val="en-US" w:eastAsia="zh-Hans"/>
        </w:rPr>
        <w:t>工作</w:t>
      </w:r>
      <w:r>
        <w:rPr>
          <w:rFonts w:hint="default" w:ascii="Times New Roman" w:hAnsi="Times New Roman" w:eastAsia="仿宋_GB2312" w:cs="Times New Roman"/>
          <w:b w:val="0"/>
          <w:bCs w:val="0"/>
          <w:color w:val="auto"/>
          <w:sz w:val="32"/>
          <w:szCs w:val="32"/>
          <w:lang w:eastAsia="zh-Hans"/>
        </w:rPr>
        <w:t>所需。项目支出属于公共财政支持范围，符合地方事权支出责任划分原则</w:t>
      </w:r>
      <w:r>
        <w:rPr>
          <w:rFonts w:hint="default"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eastAsia="zh-Hans"/>
        </w:rPr>
        <w:t>不存在与相关部门同类项目重复的问题。</w:t>
      </w:r>
    </w:p>
    <w:p w14:paraId="6825B5B3">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b w:val="0"/>
          <w:bCs w:val="0"/>
          <w:color w:val="auto"/>
          <w:sz w:val="32"/>
          <w:szCs w:val="32"/>
          <w:lang w:eastAsia="zh-Hans"/>
        </w:rPr>
      </w:pPr>
      <w:r>
        <w:rPr>
          <w:rFonts w:hint="default" w:ascii="Times New Roman" w:hAnsi="Times New Roman" w:eastAsia="仿宋_GB2312" w:cs="Times New Roman"/>
          <w:b w:val="0"/>
          <w:bCs w:val="0"/>
          <w:color w:val="auto"/>
          <w:sz w:val="32"/>
          <w:szCs w:val="32"/>
          <w:lang w:eastAsia="zh-Hans"/>
        </w:rPr>
        <w:t>2.项目绩效目标明确，清晰、可衡量。项目有设定绩效目标，设定的绩效目标与实际工作内容相符；绩效目标已分解细化为清晰、可衡量的绩效指标；预期产出和效果符合</w:t>
      </w:r>
      <w:r>
        <w:rPr>
          <w:rFonts w:hint="default" w:ascii="Times New Roman" w:hAnsi="Times New Roman" w:eastAsia="仿宋_GB2312" w:cs="Times New Roman"/>
          <w:b w:val="0"/>
          <w:bCs w:val="0"/>
          <w:color w:val="auto"/>
          <w:sz w:val="32"/>
          <w:szCs w:val="32"/>
          <w:lang w:val="en-US" w:eastAsia="zh-Hans"/>
        </w:rPr>
        <w:t>规划标准</w:t>
      </w:r>
      <w:r>
        <w:rPr>
          <w:rFonts w:hint="default" w:ascii="Times New Roman" w:hAnsi="Times New Roman" w:eastAsia="仿宋_GB2312" w:cs="Times New Roman"/>
          <w:b w:val="0"/>
          <w:bCs w:val="0"/>
          <w:color w:val="auto"/>
          <w:sz w:val="32"/>
          <w:szCs w:val="32"/>
          <w:lang w:eastAsia="zh-Hans"/>
        </w:rPr>
        <w:t>，绩效目标与预算资金量相匹配。</w:t>
      </w:r>
    </w:p>
    <w:p w14:paraId="66F2C2BA">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b w:val="0"/>
          <w:bCs w:val="0"/>
          <w:color w:val="auto"/>
          <w:sz w:val="32"/>
          <w:szCs w:val="32"/>
          <w:lang w:val="en-US" w:eastAsia="zh-Hans"/>
        </w:rPr>
      </w:pPr>
      <w:r>
        <w:rPr>
          <w:rFonts w:hint="default" w:ascii="Times New Roman" w:hAnsi="Times New Roman" w:eastAsia="仿宋_GB2312" w:cs="Times New Roman"/>
          <w:b w:val="0"/>
          <w:bCs w:val="0"/>
          <w:color w:val="auto"/>
          <w:sz w:val="32"/>
          <w:szCs w:val="32"/>
          <w:lang w:eastAsia="zh-Hans"/>
        </w:rPr>
        <w:t>3.</w:t>
      </w:r>
      <w:r>
        <w:rPr>
          <w:rFonts w:hint="default" w:ascii="Times New Roman" w:hAnsi="Times New Roman" w:eastAsia="仿宋_GB2312" w:cs="Times New Roman"/>
          <w:b w:val="0"/>
          <w:bCs w:val="0"/>
          <w:color w:val="auto"/>
          <w:sz w:val="32"/>
          <w:szCs w:val="32"/>
          <w:lang w:val="en-US" w:eastAsia="zh-Hans"/>
        </w:rPr>
        <w:t>项目</w:t>
      </w:r>
      <w:r>
        <w:rPr>
          <w:rFonts w:hint="default" w:ascii="Times New Roman" w:hAnsi="Times New Roman" w:eastAsia="仿宋_GB2312" w:cs="Times New Roman"/>
          <w:b w:val="0"/>
          <w:bCs w:val="0"/>
          <w:color w:val="auto"/>
          <w:sz w:val="32"/>
          <w:szCs w:val="32"/>
          <w:lang w:eastAsia="zh-Hans"/>
        </w:rPr>
        <w:t>预算</w:t>
      </w:r>
      <w:r>
        <w:rPr>
          <w:rFonts w:hint="default" w:ascii="Times New Roman" w:hAnsi="Times New Roman" w:eastAsia="仿宋_GB2312" w:cs="Times New Roman"/>
          <w:b w:val="0"/>
          <w:bCs w:val="0"/>
          <w:color w:val="auto"/>
          <w:sz w:val="32"/>
          <w:szCs w:val="32"/>
          <w:lang w:val="en-US" w:eastAsia="zh-Hans"/>
        </w:rPr>
        <w:t>编制论证科学，额度测算依据充分</w:t>
      </w:r>
      <w:r>
        <w:rPr>
          <w:rFonts w:hint="default" w:ascii="Times New Roman" w:hAnsi="Times New Roman" w:eastAsia="仿宋_GB2312" w:cs="Times New Roman"/>
          <w:b w:val="0"/>
          <w:bCs w:val="0"/>
          <w:color w:val="auto"/>
          <w:sz w:val="32"/>
          <w:szCs w:val="32"/>
          <w:lang w:val="en-US" w:eastAsia="zh-CN"/>
        </w:rPr>
        <w:t>合理</w:t>
      </w:r>
      <w:r>
        <w:rPr>
          <w:rFonts w:hint="default" w:ascii="Times New Roman" w:hAnsi="Times New Roman" w:eastAsia="仿宋_GB2312" w:cs="Times New Roman"/>
          <w:b w:val="0"/>
          <w:bCs w:val="0"/>
          <w:color w:val="auto"/>
          <w:sz w:val="32"/>
          <w:szCs w:val="32"/>
          <w:lang w:eastAsia="zh-Hans"/>
        </w:rPr>
        <w:t>。</w:t>
      </w:r>
      <w:r>
        <w:rPr>
          <w:rFonts w:hint="default" w:ascii="Times New Roman" w:hAnsi="Times New Roman" w:eastAsia="仿宋_GB2312" w:cs="Times New Roman"/>
          <w:b w:val="0"/>
          <w:bCs w:val="0"/>
          <w:color w:val="auto"/>
          <w:sz w:val="32"/>
          <w:szCs w:val="32"/>
          <w:lang w:val="en-US" w:eastAsia="zh-Hans"/>
        </w:rPr>
        <w:t>项目额度测算标准依据充分，预算确定的资金量与工作任务相匹配，资金分配依据充分合理，与单位计划实际相符。</w:t>
      </w:r>
    </w:p>
    <w:p w14:paraId="4F5CC957">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outlineLvl w:val="1"/>
        <w:rPr>
          <w:rFonts w:hint="default" w:ascii="Times New Roman" w:hAnsi="Times New Roman" w:eastAsia="楷体_GB2312" w:cs="Times New Roman"/>
          <w:b w:val="0"/>
          <w:bCs w:val="0"/>
          <w:color w:val="auto"/>
          <w:sz w:val="32"/>
          <w:szCs w:val="32"/>
        </w:rPr>
      </w:pPr>
      <w:bookmarkStart w:id="13" w:name="_Toc1028770598"/>
      <w:r>
        <w:rPr>
          <w:rFonts w:hint="default" w:ascii="Times New Roman" w:hAnsi="Times New Roman" w:eastAsia="楷体_GB2312" w:cs="Times New Roman"/>
          <w:b w:val="0"/>
          <w:bCs w:val="0"/>
          <w:color w:val="auto"/>
          <w:sz w:val="32"/>
          <w:szCs w:val="32"/>
        </w:rPr>
        <w:t>（二）项目过程情况分析</w:t>
      </w:r>
      <w:bookmarkEnd w:id="13"/>
    </w:p>
    <w:p w14:paraId="4F85204B">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b w:val="0"/>
          <w:bCs w:val="0"/>
          <w:color w:val="auto"/>
          <w:sz w:val="32"/>
          <w:szCs w:val="32"/>
          <w:lang w:eastAsia="zh-Hans"/>
        </w:rPr>
      </w:pPr>
      <w:r>
        <w:rPr>
          <w:rFonts w:hint="default" w:ascii="Times New Roman" w:hAnsi="Times New Roman" w:eastAsia="仿宋_GB2312" w:cs="Times New Roman"/>
          <w:b w:val="0"/>
          <w:bCs w:val="0"/>
          <w:color w:val="auto"/>
          <w:sz w:val="32"/>
          <w:szCs w:val="32"/>
          <w:lang w:eastAsia="zh-Hans"/>
        </w:rPr>
        <w:t>从评价得分情况看，过程指标分值20分，重点评价得分</w:t>
      </w:r>
      <w:r>
        <w:rPr>
          <w:rFonts w:hint="default" w:ascii="Times New Roman" w:hAnsi="Times New Roman" w:eastAsia="仿宋_GB2312" w:cs="Times New Roman"/>
          <w:b w:val="0"/>
          <w:bCs w:val="0"/>
          <w:color w:val="auto"/>
          <w:sz w:val="32"/>
          <w:szCs w:val="32"/>
          <w:lang w:val="en-US" w:eastAsia="zh-CN"/>
        </w:rPr>
        <w:t>17.44</w:t>
      </w:r>
      <w:r>
        <w:rPr>
          <w:rFonts w:hint="default" w:ascii="Times New Roman" w:hAnsi="Times New Roman" w:eastAsia="仿宋_GB2312" w:cs="Times New Roman"/>
          <w:b w:val="0"/>
          <w:bCs w:val="0"/>
          <w:color w:val="auto"/>
          <w:sz w:val="32"/>
          <w:szCs w:val="32"/>
          <w:lang w:eastAsia="zh-Hans"/>
        </w:rPr>
        <w:t>分，得分率</w:t>
      </w:r>
      <w:r>
        <w:rPr>
          <w:rFonts w:hint="default" w:ascii="Times New Roman" w:hAnsi="Times New Roman" w:eastAsia="仿宋_GB2312" w:cs="Times New Roman"/>
          <w:b w:val="0"/>
          <w:bCs w:val="0"/>
          <w:color w:val="auto"/>
          <w:sz w:val="32"/>
          <w:szCs w:val="32"/>
          <w:lang w:val="en-US" w:eastAsia="zh-CN"/>
        </w:rPr>
        <w:t>87.20</w:t>
      </w:r>
      <w:r>
        <w:rPr>
          <w:rFonts w:hint="default" w:ascii="Times New Roman" w:hAnsi="Times New Roman" w:eastAsia="仿宋_GB2312" w:cs="Times New Roman"/>
          <w:b w:val="0"/>
          <w:bCs w:val="0"/>
          <w:color w:val="auto"/>
          <w:sz w:val="32"/>
          <w:szCs w:val="32"/>
          <w:lang w:eastAsia="zh-Hans"/>
        </w:rPr>
        <w:t>%</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eastAsia="zh-Hans"/>
        </w:rPr>
        <w:t>具体情况分析如下：</w:t>
      </w:r>
    </w:p>
    <w:p w14:paraId="7A21C617">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b w:val="0"/>
          <w:bCs w:val="0"/>
          <w:color w:val="auto"/>
          <w:sz w:val="32"/>
          <w:szCs w:val="32"/>
          <w:lang w:eastAsia="zh-Hans"/>
        </w:rPr>
      </w:pPr>
      <w:r>
        <w:rPr>
          <w:rFonts w:hint="default" w:ascii="Times New Roman" w:hAnsi="Times New Roman" w:eastAsia="仿宋_GB2312" w:cs="Times New Roman"/>
          <w:b w:val="0"/>
          <w:bCs w:val="0"/>
          <w:color w:val="auto"/>
          <w:sz w:val="32"/>
          <w:szCs w:val="32"/>
          <w:lang w:eastAsia="zh-Hans"/>
        </w:rPr>
        <w:t>1.</w:t>
      </w:r>
      <w:r>
        <w:rPr>
          <w:rFonts w:hint="default" w:ascii="Times New Roman" w:hAnsi="Times New Roman" w:eastAsia="仿宋_GB2312" w:cs="Times New Roman"/>
          <w:b w:val="0"/>
          <w:bCs w:val="0"/>
          <w:color w:val="auto"/>
          <w:sz w:val="32"/>
          <w:szCs w:val="32"/>
          <w:lang w:val="en-US" w:eastAsia="zh-CN"/>
        </w:rPr>
        <w:t>项目经费到位率低，实际到位经费</w:t>
      </w:r>
      <w:r>
        <w:rPr>
          <w:rFonts w:hint="default" w:ascii="Times New Roman" w:hAnsi="Times New Roman" w:eastAsia="仿宋_GB2312" w:cs="Times New Roman"/>
          <w:b w:val="0"/>
          <w:bCs w:val="0"/>
          <w:color w:val="auto"/>
          <w:sz w:val="32"/>
          <w:szCs w:val="32"/>
          <w:lang w:val="en-US" w:eastAsia="zh-Hans"/>
        </w:rPr>
        <w:t>执行率</w:t>
      </w:r>
      <w:r>
        <w:rPr>
          <w:rFonts w:hint="default" w:ascii="Times New Roman" w:hAnsi="Times New Roman" w:eastAsia="仿宋_GB2312" w:cs="Times New Roman"/>
          <w:b w:val="0"/>
          <w:bCs w:val="0"/>
          <w:color w:val="auto"/>
          <w:sz w:val="32"/>
          <w:szCs w:val="32"/>
          <w:lang w:val="en-US" w:eastAsia="zh-CN"/>
        </w:rPr>
        <w:t>高</w:t>
      </w:r>
      <w:r>
        <w:rPr>
          <w:rFonts w:hint="default" w:ascii="Times New Roman" w:hAnsi="Times New Roman" w:eastAsia="仿宋_GB2312" w:cs="Times New Roman"/>
          <w:b w:val="0"/>
          <w:bCs w:val="0"/>
          <w:color w:val="auto"/>
          <w:sz w:val="32"/>
          <w:szCs w:val="32"/>
          <w:lang w:val="en-US" w:eastAsia="zh-Hans"/>
        </w:rPr>
        <w:t>，</w:t>
      </w:r>
      <w:r>
        <w:rPr>
          <w:rFonts w:hint="default" w:ascii="Times New Roman" w:hAnsi="Times New Roman" w:eastAsia="仿宋_GB2312" w:cs="Times New Roman"/>
          <w:b w:val="0"/>
          <w:bCs w:val="0"/>
          <w:color w:val="auto"/>
          <w:sz w:val="32"/>
          <w:szCs w:val="32"/>
          <w:lang w:eastAsia="zh-Hans"/>
        </w:rPr>
        <w:t>资金使用规范。</w:t>
      </w:r>
      <w:r>
        <w:rPr>
          <w:rFonts w:hint="default" w:ascii="Times New Roman" w:hAnsi="Times New Roman" w:eastAsia="仿宋_GB2312" w:cs="Times New Roman"/>
          <w:b w:val="0"/>
          <w:bCs w:val="0"/>
          <w:color w:val="auto"/>
          <w:sz w:val="32"/>
          <w:szCs w:val="32"/>
          <w:lang w:val="en-US" w:eastAsia="zh-Hans"/>
        </w:rPr>
        <w:t>依据</w:t>
      </w:r>
      <w:r>
        <w:rPr>
          <w:rFonts w:hint="default" w:ascii="Times New Roman" w:hAnsi="Times New Roman" w:eastAsia="仿宋_GB2312" w:cs="Times New Roman"/>
          <w:b w:val="0"/>
          <w:bCs w:val="0"/>
          <w:color w:val="auto"/>
          <w:sz w:val="32"/>
          <w:szCs w:val="32"/>
          <w:lang w:val="en-US" w:eastAsia="zh-CN"/>
        </w:rPr>
        <w:t>预算批复及决算资料</w:t>
      </w:r>
      <w:r>
        <w:rPr>
          <w:rFonts w:hint="default" w:ascii="Times New Roman" w:hAnsi="Times New Roman" w:eastAsia="仿宋_GB2312" w:cs="Times New Roman"/>
          <w:b w:val="0"/>
          <w:bCs w:val="0"/>
          <w:color w:val="auto"/>
          <w:sz w:val="32"/>
          <w:szCs w:val="32"/>
          <w:lang w:val="en-US" w:eastAsia="zh-Hans"/>
        </w:rPr>
        <w:t>，</w:t>
      </w:r>
      <w:r>
        <w:rPr>
          <w:rFonts w:hint="default" w:ascii="Times New Roman" w:hAnsi="Times New Roman" w:eastAsia="仿宋_GB2312" w:cs="Times New Roman"/>
          <w:b w:val="0"/>
          <w:bCs w:val="0"/>
          <w:color w:val="auto"/>
          <w:sz w:val="32"/>
          <w:szCs w:val="32"/>
          <w:lang w:eastAsia="zh-CN"/>
        </w:rPr>
        <w:t>国民经济发展综合工作专项资金</w:t>
      </w:r>
      <w:r>
        <w:rPr>
          <w:rFonts w:hint="default" w:ascii="Times New Roman" w:hAnsi="Times New Roman" w:eastAsia="仿宋_GB2312" w:cs="Times New Roman"/>
          <w:b w:val="0"/>
          <w:bCs w:val="0"/>
          <w:color w:val="auto"/>
          <w:sz w:val="32"/>
          <w:szCs w:val="32"/>
          <w:lang w:val="en-US" w:eastAsia="zh-Hans"/>
        </w:rPr>
        <w:t>预算批复</w:t>
      </w:r>
      <w:r>
        <w:rPr>
          <w:rFonts w:hint="default" w:ascii="Times New Roman" w:hAnsi="Times New Roman" w:eastAsia="仿宋_GB2312" w:cs="Times New Roman"/>
          <w:b w:val="0"/>
          <w:bCs w:val="0"/>
          <w:color w:val="auto"/>
          <w:sz w:val="32"/>
          <w:szCs w:val="32"/>
          <w:lang w:eastAsia="zh-CN"/>
        </w:rPr>
        <w:t>149.90</w:t>
      </w:r>
      <w:r>
        <w:rPr>
          <w:rFonts w:hint="default" w:ascii="Times New Roman" w:hAnsi="Times New Roman" w:eastAsia="仿宋_GB2312" w:cs="Times New Roman"/>
          <w:b w:val="0"/>
          <w:bCs w:val="0"/>
          <w:color w:val="auto"/>
          <w:sz w:val="32"/>
          <w:szCs w:val="32"/>
          <w:lang w:val="en-US" w:eastAsia="zh-Hans"/>
        </w:rPr>
        <w:t>万元。截至202</w:t>
      </w:r>
      <w:r>
        <w:rPr>
          <w:rFonts w:hint="default" w:ascii="Times New Roman" w:hAnsi="Times New Roman" w:eastAsia="仿宋_GB2312" w:cs="Times New Roman"/>
          <w:b w:val="0"/>
          <w:bCs w:val="0"/>
          <w:color w:val="auto"/>
          <w:sz w:val="32"/>
          <w:szCs w:val="32"/>
          <w:lang w:val="en-US" w:eastAsia="zh-CN"/>
        </w:rPr>
        <w:t>3</w:t>
      </w:r>
      <w:r>
        <w:rPr>
          <w:rFonts w:hint="default" w:ascii="Times New Roman" w:hAnsi="Times New Roman" w:eastAsia="仿宋_GB2312" w:cs="Times New Roman"/>
          <w:b w:val="0"/>
          <w:bCs w:val="0"/>
          <w:color w:val="auto"/>
          <w:sz w:val="32"/>
          <w:szCs w:val="32"/>
          <w:lang w:val="en-US" w:eastAsia="zh-Hans"/>
        </w:rPr>
        <w:t>年12月31日，共计收到</w:t>
      </w:r>
      <w:r>
        <w:rPr>
          <w:rFonts w:hint="default" w:ascii="Times New Roman" w:hAnsi="Times New Roman" w:eastAsia="仿宋_GB2312" w:cs="Times New Roman"/>
          <w:b w:val="0"/>
          <w:bCs w:val="0"/>
          <w:color w:val="auto"/>
          <w:sz w:val="32"/>
          <w:szCs w:val="32"/>
          <w:lang w:val="en-US" w:eastAsia="zh-CN"/>
        </w:rPr>
        <w:t>53.879</w:t>
      </w:r>
      <w:r>
        <w:rPr>
          <w:rFonts w:hint="default" w:ascii="Times New Roman" w:hAnsi="Times New Roman" w:eastAsia="仿宋_GB2312" w:cs="Times New Roman"/>
          <w:b w:val="0"/>
          <w:bCs w:val="0"/>
          <w:color w:val="auto"/>
          <w:sz w:val="32"/>
          <w:szCs w:val="32"/>
          <w:lang w:val="en-US" w:eastAsia="zh-Hans"/>
        </w:rPr>
        <w:t>万元，</w:t>
      </w:r>
      <w:r>
        <w:rPr>
          <w:rFonts w:hint="default" w:ascii="Times New Roman" w:hAnsi="Times New Roman" w:eastAsia="仿宋_GB2312" w:cs="Times New Roman"/>
          <w:b w:val="0"/>
          <w:bCs w:val="0"/>
          <w:color w:val="auto"/>
          <w:sz w:val="32"/>
          <w:szCs w:val="32"/>
          <w:lang w:eastAsia="zh-Hans"/>
        </w:rPr>
        <w:t>资金到位率</w:t>
      </w:r>
      <w:r>
        <w:rPr>
          <w:rFonts w:hint="default" w:ascii="Times New Roman" w:hAnsi="Times New Roman" w:eastAsia="仿宋_GB2312" w:cs="Times New Roman"/>
          <w:b w:val="0"/>
          <w:bCs w:val="0"/>
          <w:color w:val="auto"/>
          <w:sz w:val="32"/>
          <w:szCs w:val="32"/>
          <w:lang w:val="en-US" w:eastAsia="zh-Hans"/>
        </w:rPr>
        <w:t>为35.94%。截至202</w:t>
      </w:r>
      <w:r>
        <w:rPr>
          <w:rFonts w:hint="default" w:ascii="Times New Roman" w:hAnsi="Times New Roman" w:eastAsia="仿宋_GB2312" w:cs="Times New Roman"/>
          <w:b w:val="0"/>
          <w:bCs w:val="0"/>
          <w:color w:val="auto"/>
          <w:sz w:val="32"/>
          <w:szCs w:val="32"/>
          <w:lang w:val="en-US" w:eastAsia="zh-CN"/>
        </w:rPr>
        <w:t>3</w:t>
      </w:r>
      <w:r>
        <w:rPr>
          <w:rFonts w:hint="default" w:ascii="Times New Roman" w:hAnsi="Times New Roman" w:eastAsia="仿宋_GB2312" w:cs="Times New Roman"/>
          <w:b w:val="0"/>
          <w:bCs w:val="0"/>
          <w:color w:val="auto"/>
          <w:sz w:val="32"/>
          <w:szCs w:val="32"/>
          <w:lang w:val="en-US" w:eastAsia="zh-Hans"/>
        </w:rPr>
        <w:t>年12月31日，</w:t>
      </w:r>
      <w:r>
        <w:rPr>
          <w:rFonts w:hint="default" w:ascii="Times New Roman" w:hAnsi="Times New Roman" w:eastAsia="仿宋_GB2312" w:cs="Times New Roman"/>
          <w:b w:val="0"/>
          <w:bCs w:val="0"/>
          <w:color w:val="auto"/>
          <w:sz w:val="32"/>
          <w:szCs w:val="32"/>
          <w:lang w:val="en-US" w:eastAsia="zh-CN"/>
        </w:rPr>
        <w:t>项目实际支出53.879</w:t>
      </w:r>
      <w:r>
        <w:rPr>
          <w:rFonts w:hint="default" w:ascii="Times New Roman" w:hAnsi="Times New Roman" w:eastAsia="仿宋_GB2312" w:cs="Times New Roman"/>
          <w:b w:val="0"/>
          <w:bCs w:val="0"/>
          <w:color w:val="auto"/>
          <w:sz w:val="32"/>
          <w:szCs w:val="32"/>
          <w:lang w:val="en-US" w:eastAsia="zh-Hans"/>
        </w:rPr>
        <w:t>万元，项目预算执行率为100%。</w:t>
      </w:r>
      <w:r>
        <w:rPr>
          <w:rFonts w:hint="default" w:ascii="Times New Roman" w:hAnsi="Times New Roman" w:eastAsia="仿宋_GB2312" w:cs="Times New Roman"/>
          <w:b w:val="0"/>
          <w:bCs w:val="0"/>
          <w:color w:val="auto"/>
          <w:sz w:val="32"/>
          <w:szCs w:val="32"/>
          <w:lang w:eastAsia="zh-Hans"/>
        </w:rPr>
        <w:t>项目资金使用符合国家财经法规和财务管理制度以及有关专项资金管理办法的规定，资金拨付审批程序完整，资金使用符合项目预算批复的用途，不存在截留、挤占、挪用、虚列支出等情况。</w:t>
      </w:r>
    </w:p>
    <w:p w14:paraId="47642997">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b w:val="0"/>
          <w:bCs w:val="0"/>
          <w:color w:val="auto"/>
          <w:sz w:val="32"/>
          <w:szCs w:val="32"/>
          <w:lang w:val="en-US" w:eastAsia="zh-Hans"/>
        </w:rPr>
      </w:pPr>
      <w:r>
        <w:rPr>
          <w:rFonts w:hint="default" w:ascii="Times New Roman" w:hAnsi="Times New Roman" w:eastAsia="仿宋_GB2312" w:cs="Times New Roman"/>
          <w:b w:val="0"/>
          <w:bCs w:val="0"/>
          <w:color w:val="auto"/>
          <w:sz w:val="32"/>
          <w:szCs w:val="32"/>
          <w:lang w:eastAsia="zh-Hans"/>
        </w:rPr>
        <w:t>2.基本管理制度健全，</w:t>
      </w:r>
      <w:r>
        <w:rPr>
          <w:rFonts w:hint="default" w:ascii="Times New Roman" w:hAnsi="Times New Roman" w:eastAsia="仿宋_GB2312" w:cs="Times New Roman"/>
          <w:b w:val="0"/>
          <w:bCs w:val="0"/>
          <w:color w:val="auto"/>
          <w:sz w:val="32"/>
          <w:szCs w:val="32"/>
          <w:lang w:val="en-US" w:eastAsia="zh-Hans"/>
        </w:rPr>
        <w:t>制度执行到位</w:t>
      </w:r>
      <w:r>
        <w:rPr>
          <w:rFonts w:hint="default" w:ascii="Times New Roman" w:hAnsi="Times New Roman" w:eastAsia="仿宋_GB2312" w:cs="Times New Roman"/>
          <w:b w:val="0"/>
          <w:bCs w:val="0"/>
          <w:color w:val="auto"/>
          <w:sz w:val="32"/>
          <w:szCs w:val="32"/>
          <w:lang w:eastAsia="zh-Hans"/>
        </w:rPr>
        <w:t>。</w:t>
      </w:r>
      <w:r>
        <w:rPr>
          <w:rFonts w:hint="default" w:ascii="Times New Roman" w:hAnsi="Times New Roman" w:eastAsia="仿宋_GB2312" w:cs="Times New Roman"/>
          <w:b w:val="0"/>
          <w:bCs w:val="0"/>
          <w:color w:val="auto"/>
          <w:sz w:val="32"/>
          <w:szCs w:val="32"/>
          <w:lang w:val="en-US" w:eastAsia="zh-Hans"/>
        </w:rPr>
        <w:t>依据</w:t>
      </w:r>
      <w:r>
        <w:rPr>
          <w:rFonts w:hint="default" w:ascii="Times New Roman" w:hAnsi="Times New Roman" w:eastAsia="仿宋_GB2312" w:cs="Times New Roman"/>
          <w:b w:val="0"/>
          <w:bCs w:val="0"/>
          <w:sz w:val="32"/>
          <w:szCs w:val="32"/>
          <w:lang w:val="en-US" w:eastAsia="zh-Hans"/>
        </w:rPr>
        <w:t>《中共昆明市五华区发展和改革局党组贯彻落实“三重一大”事项集体决策制度的实施细则》《昆明市五华区发展和改革局财务管理制度》《昆明市五华区发展和改革局预算管理制度》《昆明市五华区发展和改革局专项资金管理制度》《昆明市五华区发展和改革局项目绩效管理制度》《五华区发展和改革局关于政府购买服务项目的内部管理规定</w:t>
      </w:r>
      <w:r>
        <w:rPr>
          <w:rFonts w:hint="default" w:ascii="Times New Roman" w:hAnsi="Times New Roman" w:eastAsia="仿宋_GB2312" w:cs="Times New Roman"/>
          <w:b w:val="0"/>
          <w:bCs w:val="0"/>
          <w:sz w:val="32"/>
          <w:szCs w:val="32"/>
          <w:lang w:val="en-US" w:eastAsia="zh-CN"/>
        </w:rPr>
        <w:t>》</w:t>
      </w:r>
      <w:r>
        <w:rPr>
          <w:rFonts w:hint="default" w:ascii="Times New Roman" w:hAnsi="Times New Roman" w:eastAsia="仿宋_GB2312" w:cs="Times New Roman"/>
          <w:b w:val="0"/>
          <w:bCs w:val="0"/>
          <w:color w:val="auto"/>
          <w:sz w:val="32"/>
          <w:szCs w:val="32"/>
          <w:lang w:eastAsia="zh-Hans"/>
        </w:rPr>
        <w:t>等文件</w:t>
      </w:r>
      <w:r>
        <w:rPr>
          <w:rFonts w:hint="default" w:ascii="Times New Roman" w:hAnsi="Times New Roman" w:eastAsia="仿宋_GB2312" w:cs="Times New Roman"/>
          <w:b w:val="0"/>
          <w:bCs w:val="0"/>
          <w:color w:val="auto"/>
          <w:sz w:val="32"/>
          <w:szCs w:val="32"/>
          <w:lang w:val="en-US" w:eastAsia="zh-CN"/>
        </w:rPr>
        <w:t>规定</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eastAsia="zh-Hans"/>
        </w:rPr>
        <w:t>对资金管理和项目管理的具体流程、职能职责作出了明确的规定。项目遵守相关管理规定，支出审批流程和手续完整，项目实施</w:t>
      </w:r>
      <w:r>
        <w:rPr>
          <w:rFonts w:hint="default" w:ascii="Times New Roman" w:hAnsi="Times New Roman" w:eastAsia="仿宋_GB2312" w:cs="Times New Roman"/>
          <w:b w:val="0"/>
          <w:bCs w:val="0"/>
          <w:color w:val="auto"/>
          <w:sz w:val="32"/>
          <w:szCs w:val="32"/>
          <w:lang w:val="en-US" w:eastAsia="zh-Hans"/>
        </w:rPr>
        <w:t>单位</w:t>
      </w:r>
      <w:r>
        <w:rPr>
          <w:rFonts w:hint="default" w:ascii="Times New Roman" w:hAnsi="Times New Roman" w:eastAsia="仿宋_GB2312" w:cs="Times New Roman"/>
          <w:b w:val="0"/>
          <w:bCs w:val="0"/>
          <w:color w:val="auto"/>
          <w:sz w:val="32"/>
          <w:szCs w:val="32"/>
          <w:lang w:eastAsia="zh-Hans"/>
        </w:rPr>
        <w:t>明确，职责划分清晰。</w:t>
      </w:r>
      <w:r>
        <w:rPr>
          <w:rFonts w:hint="default" w:ascii="Times New Roman" w:hAnsi="Times New Roman" w:eastAsia="仿宋_GB2312" w:cs="Times New Roman"/>
          <w:b w:val="0"/>
          <w:bCs w:val="0"/>
          <w:color w:val="auto"/>
          <w:sz w:val="32"/>
          <w:szCs w:val="32"/>
          <w:lang w:val="en-US" w:eastAsia="zh-Hans"/>
        </w:rPr>
        <w:t>项目资金支出凭证、会议纪要等审批流程和手续完整，项目实施科室明确，职责划分清晰，</w:t>
      </w:r>
      <w:r>
        <w:rPr>
          <w:rFonts w:hint="default" w:ascii="Times New Roman" w:hAnsi="Times New Roman" w:eastAsia="仿宋_GB2312" w:cs="Times New Roman"/>
          <w:b w:val="0"/>
          <w:bCs w:val="0"/>
          <w:color w:val="auto"/>
          <w:sz w:val="32"/>
          <w:szCs w:val="32"/>
          <w:lang w:val="en-US" w:eastAsia="zh-CN"/>
        </w:rPr>
        <w:t>有力保障各项工作落实到位</w:t>
      </w:r>
      <w:r>
        <w:rPr>
          <w:rFonts w:hint="default" w:ascii="Times New Roman" w:hAnsi="Times New Roman" w:eastAsia="仿宋_GB2312" w:cs="Times New Roman"/>
          <w:b w:val="0"/>
          <w:bCs w:val="0"/>
          <w:color w:val="auto"/>
          <w:sz w:val="32"/>
          <w:szCs w:val="32"/>
          <w:lang w:val="en-US" w:eastAsia="zh-Hans"/>
        </w:rPr>
        <w:t>。</w:t>
      </w:r>
    </w:p>
    <w:p w14:paraId="600CB205">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outlineLvl w:val="1"/>
        <w:rPr>
          <w:rFonts w:hint="default" w:ascii="Times New Roman" w:hAnsi="Times New Roman" w:eastAsia="楷体_GB2312" w:cs="Times New Roman"/>
          <w:b w:val="0"/>
          <w:bCs w:val="0"/>
          <w:color w:val="auto"/>
          <w:sz w:val="32"/>
          <w:szCs w:val="32"/>
        </w:rPr>
      </w:pPr>
      <w:bookmarkStart w:id="14" w:name="_Toc1156598589"/>
      <w:r>
        <w:rPr>
          <w:rFonts w:hint="default" w:ascii="Times New Roman" w:hAnsi="Times New Roman" w:eastAsia="楷体_GB2312" w:cs="Times New Roman"/>
          <w:b w:val="0"/>
          <w:bCs w:val="0"/>
          <w:color w:val="auto"/>
          <w:sz w:val="32"/>
          <w:szCs w:val="32"/>
        </w:rPr>
        <w:t>（三）项目产出情况分析</w:t>
      </w:r>
      <w:bookmarkEnd w:id="14"/>
    </w:p>
    <w:p w14:paraId="29847387">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b w:val="0"/>
          <w:bCs w:val="0"/>
          <w:color w:val="auto"/>
          <w:sz w:val="32"/>
          <w:szCs w:val="32"/>
          <w:lang w:eastAsia="zh-Hans"/>
        </w:rPr>
      </w:pPr>
      <w:r>
        <w:rPr>
          <w:rFonts w:hint="default" w:ascii="Times New Roman" w:hAnsi="Times New Roman" w:eastAsia="仿宋_GB2312" w:cs="Times New Roman"/>
          <w:b w:val="0"/>
          <w:bCs w:val="0"/>
          <w:color w:val="auto"/>
          <w:sz w:val="32"/>
          <w:szCs w:val="32"/>
          <w:lang w:val="en-US" w:eastAsia="zh-Hans"/>
        </w:rPr>
        <w:t>从评价得分情况看，产出指标分值</w:t>
      </w:r>
      <w:r>
        <w:rPr>
          <w:rFonts w:hint="default" w:ascii="Times New Roman" w:hAnsi="Times New Roman" w:eastAsia="仿宋_GB2312" w:cs="Times New Roman"/>
          <w:b w:val="0"/>
          <w:bCs w:val="0"/>
          <w:color w:val="auto"/>
          <w:sz w:val="32"/>
          <w:szCs w:val="32"/>
          <w:lang w:eastAsia="zh-Hans"/>
        </w:rPr>
        <w:t>3</w:t>
      </w:r>
      <w:r>
        <w:rPr>
          <w:rFonts w:hint="default" w:ascii="Times New Roman" w:hAnsi="Times New Roman" w:eastAsia="仿宋_GB2312" w:cs="Times New Roman"/>
          <w:b w:val="0"/>
          <w:bCs w:val="0"/>
          <w:color w:val="auto"/>
          <w:sz w:val="32"/>
          <w:szCs w:val="32"/>
          <w:lang w:val="en-US" w:eastAsia="zh-Hans"/>
        </w:rPr>
        <w:t>0分，重点评价得分</w:t>
      </w:r>
      <w:r>
        <w:rPr>
          <w:rFonts w:hint="default" w:ascii="Times New Roman" w:hAnsi="Times New Roman" w:eastAsia="仿宋_GB2312" w:cs="Times New Roman"/>
          <w:b w:val="0"/>
          <w:bCs w:val="0"/>
          <w:color w:val="auto"/>
          <w:sz w:val="32"/>
          <w:szCs w:val="32"/>
          <w:lang w:val="en-US" w:eastAsia="zh-CN"/>
        </w:rPr>
        <w:t>27.62</w:t>
      </w:r>
      <w:r>
        <w:rPr>
          <w:rFonts w:hint="default" w:ascii="Times New Roman" w:hAnsi="Times New Roman" w:eastAsia="仿宋_GB2312" w:cs="Times New Roman"/>
          <w:b w:val="0"/>
          <w:bCs w:val="0"/>
          <w:color w:val="auto"/>
          <w:sz w:val="32"/>
          <w:szCs w:val="32"/>
          <w:lang w:val="en-US" w:eastAsia="zh-Hans"/>
        </w:rPr>
        <w:t>分，得分率</w:t>
      </w:r>
      <w:r>
        <w:rPr>
          <w:rFonts w:hint="default" w:ascii="Times New Roman" w:hAnsi="Times New Roman" w:eastAsia="仿宋_GB2312" w:cs="Times New Roman"/>
          <w:b w:val="0"/>
          <w:bCs w:val="0"/>
          <w:color w:val="auto"/>
          <w:sz w:val="32"/>
          <w:szCs w:val="32"/>
          <w:lang w:val="en-US" w:eastAsia="zh-CN"/>
        </w:rPr>
        <w:t>92.07</w:t>
      </w:r>
      <w:r>
        <w:rPr>
          <w:rFonts w:hint="default" w:ascii="Times New Roman" w:hAnsi="Times New Roman" w:eastAsia="仿宋_GB2312" w:cs="Times New Roman"/>
          <w:b w:val="0"/>
          <w:bCs w:val="0"/>
          <w:color w:val="auto"/>
          <w:sz w:val="32"/>
          <w:szCs w:val="32"/>
          <w:lang w:val="en-US" w:eastAsia="zh-Hans"/>
        </w:rPr>
        <w:t>%</w:t>
      </w:r>
      <w:r>
        <w:rPr>
          <w:rFonts w:hint="default"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Hans"/>
        </w:rPr>
        <w:t>具体情况分析如下：</w:t>
      </w:r>
    </w:p>
    <w:p w14:paraId="5906000D">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auto"/>
          <w:sz w:val="32"/>
          <w:szCs w:val="32"/>
          <w:lang w:val="en-US" w:eastAsia="zh-Hans"/>
        </w:rPr>
      </w:pPr>
      <w:r>
        <w:rPr>
          <w:rFonts w:hint="default" w:ascii="Times New Roman" w:hAnsi="Times New Roman" w:eastAsia="仿宋_GB2312" w:cs="Times New Roman"/>
          <w:b w:val="0"/>
          <w:bCs w:val="0"/>
          <w:color w:val="auto"/>
          <w:sz w:val="32"/>
          <w:szCs w:val="32"/>
          <w:lang w:val="en-US" w:eastAsia="zh-Hans"/>
        </w:rPr>
        <w:t>1.</w:t>
      </w:r>
      <w:r>
        <w:rPr>
          <w:rFonts w:hint="default" w:ascii="Times New Roman" w:hAnsi="Times New Roman" w:eastAsia="仿宋_GB2312" w:cs="Times New Roman"/>
          <w:b w:val="0"/>
          <w:bCs w:val="0"/>
          <w:color w:val="auto"/>
          <w:sz w:val="32"/>
          <w:szCs w:val="32"/>
          <w:lang w:val="en-US" w:eastAsia="zh-CN"/>
        </w:rPr>
        <w:t>项目年度目标工作任务</w:t>
      </w:r>
      <w:r>
        <w:rPr>
          <w:rFonts w:hint="default" w:ascii="Times New Roman" w:hAnsi="Times New Roman" w:eastAsia="仿宋_GB2312" w:cs="Times New Roman"/>
          <w:b w:val="0"/>
          <w:bCs w:val="0"/>
          <w:color w:val="auto"/>
          <w:sz w:val="32"/>
          <w:szCs w:val="32"/>
          <w:lang w:val="en-US" w:eastAsia="zh-Hans"/>
        </w:rPr>
        <w:t>完成</w:t>
      </w:r>
      <w:r>
        <w:rPr>
          <w:rFonts w:hint="default" w:ascii="Times New Roman" w:hAnsi="Times New Roman" w:eastAsia="仿宋_GB2312" w:cs="Times New Roman"/>
          <w:b w:val="0"/>
          <w:bCs w:val="0"/>
          <w:color w:val="auto"/>
          <w:sz w:val="32"/>
          <w:szCs w:val="32"/>
          <w:lang w:val="en-US" w:eastAsia="zh-CN"/>
        </w:rPr>
        <w:t>率为85.13%</w:t>
      </w:r>
      <w:r>
        <w:rPr>
          <w:rFonts w:hint="default" w:ascii="Times New Roman" w:hAnsi="Times New Roman" w:eastAsia="仿宋_GB2312" w:cs="Times New Roman"/>
          <w:b w:val="0"/>
          <w:bCs w:val="0"/>
          <w:color w:val="auto"/>
          <w:sz w:val="32"/>
          <w:szCs w:val="32"/>
          <w:lang w:eastAsia="zh-Hans"/>
        </w:rPr>
        <w:t>。</w:t>
      </w:r>
      <w:r>
        <w:rPr>
          <w:rFonts w:hint="default" w:ascii="Times New Roman" w:hAnsi="Times New Roman" w:eastAsia="仿宋_GB2312" w:cs="Times New Roman"/>
          <w:b w:val="0"/>
          <w:bCs w:val="0"/>
          <w:color w:val="auto"/>
          <w:sz w:val="32"/>
          <w:szCs w:val="32"/>
          <w:lang w:val="en-US" w:eastAsia="zh-Hans"/>
        </w:rPr>
        <w:t>组织开展</w:t>
      </w:r>
      <w:r>
        <w:rPr>
          <w:rFonts w:hint="default" w:ascii="Times New Roman" w:hAnsi="Times New Roman" w:eastAsia="仿宋_GB2312" w:cs="Times New Roman"/>
          <w:b w:val="0"/>
          <w:bCs w:val="0"/>
          <w:color w:val="auto"/>
          <w:sz w:val="32"/>
          <w:szCs w:val="32"/>
          <w:lang w:val="en-US" w:eastAsia="zh-CN"/>
        </w:rPr>
        <w:t>21</w:t>
      </w:r>
      <w:r>
        <w:rPr>
          <w:rFonts w:hint="default" w:ascii="Times New Roman" w:hAnsi="Times New Roman" w:eastAsia="仿宋_GB2312" w:cs="Times New Roman"/>
          <w:b w:val="0"/>
          <w:bCs w:val="0"/>
          <w:color w:val="auto"/>
          <w:sz w:val="32"/>
          <w:szCs w:val="32"/>
          <w:lang w:val="en-US" w:eastAsia="zh-Hans"/>
        </w:rPr>
        <w:t>次经济运行分析及指标调度会议，并形成4份分析报告；印制</w:t>
      </w:r>
      <w:r>
        <w:rPr>
          <w:rFonts w:hint="default" w:ascii="Times New Roman" w:hAnsi="Times New Roman" w:eastAsia="仿宋_GB2312" w:cs="Times New Roman"/>
          <w:b w:val="0"/>
          <w:bCs w:val="0"/>
          <w:color w:val="auto"/>
          <w:sz w:val="32"/>
          <w:szCs w:val="32"/>
          <w:lang w:val="en-US" w:eastAsia="zh-CN"/>
        </w:rPr>
        <w:t>2023年</w:t>
      </w:r>
      <w:r>
        <w:rPr>
          <w:rFonts w:hint="default" w:ascii="Times New Roman" w:hAnsi="Times New Roman" w:eastAsia="仿宋_GB2312" w:cs="Times New Roman"/>
          <w:b w:val="0"/>
          <w:bCs w:val="0"/>
          <w:color w:val="auto"/>
          <w:sz w:val="32"/>
          <w:szCs w:val="32"/>
          <w:lang w:val="en-US" w:eastAsia="zh-Hans"/>
        </w:rPr>
        <w:t>稳增长政策汇编2000册；</w:t>
      </w:r>
      <w:r>
        <w:rPr>
          <w:rFonts w:hint="default" w:ascii="Times New Roman" w:hAnsi="Times New Roman" w:eastAsia="仿宋_GB2312" w:cs="Times New Roman"/>
          <w:b w:val="0"/>
          <w:bCs w:val="0"/>
          <w:color w:val="auto"/>
          <w:sz w:val="32"/>
          <w:szCs w:val="32"/>
          <w:lang w:val="en-US" w:eastAsia="zh-CN"/>
        </w:rPr>
        <w:t>完成</w:t>
      </w:r>
      <w:r>
        <w:rPr>
          <w:rFonts w:hint="default" w:ascii="Times New Roman" w:hAnsi="Times New Roman" w:eastAsia="仿宋_GB2312" w:cs="Times New Roman"/>
          <w:b w:val="0"/>
          <w:bCs w:val="0"/>
          <w:color w:val="auto"/>
          <w:sz w:val="32"/>
          <w:szCs w:val="32"/>
          <w:lang w:val="en-US" w:eastAsia="zh-Hans"/>
        </w:rPr>
        <w:t>《五华区绿美城乡建设十年规划》编制</w:t>
      </w:r>
      <w:r>
        <w:rPr>
          <w:rFonts w:hint="default" w:ascii="Times New Roman" w:hAnsi="Times New Roman" w:eastAsia="仿宋_GB2312" w:cs="Times New Roman"/>
          <w:b w:val="0"/>
          <w:bCs w:val="0"/>
          <w:color w:val="auto"/>
          <w:sz w:val="32"/>
          <w:szCs w:val="32"/>
          <w:lang w:val="en-US" w:eastAsia="zh-CN"/>
        </w:rPr>
        <w:t>工作</w:t>
      </w:r>
      <w:r>
        <w:rPr>
          <w:rFonts w:hint="default" w:ascii="Times New Roman" w:hAnsi="Times New Roman" w:eastAsia="仿宋_GB2312" w:cs="Times New Roman"/>
          <w:b w:val="0"/>
          <w:bCs w:val="0"/>
          <w:color w:val="auto"/>
          <w:sz w:val="32"/>
          <w:szCs w:val="32"/>
          <w:lang w:val="en-US" w:eastAsia="zh-Hans"/>
        </w:rPr>
        <w:t>；引入服务</w:t>
      </w:r>
      <w:r>
        <w:rPr>
          <w:rFonts w:hint="default" w:ascii="Times New Roman" w:hAnsi="Times New Roman" w:eastAsia="仿宋_GB2312" w:cs="Times New Roman"/>
          <w:b w:val="0"/>
          <w:bCs w:val="0"/>
          <w:color w:val="auto"/>
          <w:sz w:val="32"/>
          <w:szCs w:val="32"/>
          <w:lang w:val="en-US" w:eastAsia="zh-CN"/>
        </w:rPr>
        <w:t>业市场</w:t>
      </w:r>
      <w:r>
        <w:rPr>
          <w:rFonts w:hint="default" w:ascii="Times New Roman" w:hAnsi="Times New Roman" w:eastAsia="仿宋_GB2312" w:cs="Times New Roman"/>
          <w:b w:val="0"/>
          <w:bCs w:val="0"/>
          <w:color w:val="auto"/>
          <w:sz w:val="32"/>
          <w:szCs w:val="32"/>
          <w:lang w:val="en-US" w:eastAsia="zh-Hans"/>
        </w:rPr>
        <w:t>主体6539户；2022年应付未付款项支付</w:t>
      </w:r>
      <w:r>
        <w:rPr>
          <w:rFonts w:hint="default" w:ascii="Times New Roman" w:hAnsi="Times New Roman" w:eastAsia="仿宋_GB2312" w:cs="Times New Roman"/>
          <w:b w:val="0"/>
          <w:bCs w:val="0"/>
          <w:color w:val="auto"/>
          <w:sz w:val="32"/>
          <w:szCs w:val="32"/>
          <w:lang w:val="en-US" w:eastAsia="zh-CN"/>
        </w:rPr>
        <w:t>51.879万元；因年内工作任务调整，《新发展格局下五华区高质量发展路径研究》未开展</w:t>
      </w:r>
      <w:r>
        <w:rPr>
          <w:rFonts w:hint="default" w:ascii="Times New Roman" w:hAnsi="Times New Roman" w:eastAsia="仿宋_GB2312" w:cs="Times New Roman"/>
          <w:b w:val="0"/>
          <w:bCs w:val="0"/>
          <w:color w:val="auto"/>
          <w:sz w:val="32"/>
          <w:szCs w:val="32"/>
          <w:lang w:val="en-US" w:eastAsia="zh-Hans"/>
        </w:rPr>
        <w:t>。</w:t>
      </w:r>
    </w:p>
    <w:p w14:paraId="2CB46589">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eastAsia="zh-Hans"/>
        </w:rPr>
        <w:t>2.</w:t>
      </w:r>
      <w:r>
        <w:rPr>
          <w:rFonts w:hint="default" w:ascii="Times New Roman" w:hAnsi="Times New Roman" w:eastAsia="仿宋_GB2312" w:cs="Times New Roman"/>
          <w:b w:val="0"/>
          <w:bCs w:val="0"/>
          <w:color w:val="auto"/>
          <w:sz w:val="32"/>
          <w:szCs w:val="32"/>
          <w:lang w:val="en-US" w:eastAsia="zh-CN"/>
        </w:rPr>
        <w:t>项目</w:t>
      </w:r>
      <w:r>
        <w:rPr>
          <w:rFonts w:hint="default" w:ascii="Times New Roman" w:hAnsi="Times New Roman" w:eastAsia="仿宋_GB2312" w:cs="Times New Roman"/>
          <w:b w:val="0"/>
          <w:bCs w:val="0"/>
          <w:color w:val="auto"/>
          <w:sz w:val="32"/>
          <w:szCs w:val="32"/>
          <w:lang w:val="en-US" w:eastAsia="zh-Hans"/>
        </w:rPr>
        <w:t>验收合格</w:t>
      </w:r>
      <w:r>
        <w:rPr>
          <w:rFonts w:hint="default" w:ascii="Times New Roman" w:hAnsi="Times New Roman" w:eastAsia="仿宋_GB2312" w:cs="Times New Roman"/>
          <w:b w:val="0"/>
          <w:bCs w:val="0"/>
          <w:color w:val="auto"/>
          <w:sz w:val="32"/>
          <w:szCs w:val="32"/>
          <w:lang w:val="en-US" w:eastAsia="zh-CN"/>
        </w:rPr>
        <w:t>率100%</w:t>
      </w:r>
      <w:r>
        <w:rPr>
          <w:rFonts w:hint="default" w:ascii="Times New Roman" w:hAnsi="Times New Roman" w:eastAsia="仿宋_GB2312" w:cs="Times New Roman"/>
          <w:b w:val="0"/>
          <w:bCs w:val="0"/>
          <w:color w:val="auto"/>
          <w:sz w:val="32"/>
          <w:szCs w:val="32"/>
          <w:lang w:val="en-US" w:eastAsia="zh-Hans"/>
        </w:rPr>
        <w:t>。</w:t>
      </w:r>
      <w:r>
        <w:rPr>
          <w:rFonts w:hint="default" w:ascii="Times New Roman" w:hAnsi="Times New Roman" w:eastAsia="仿宋_GB2312" w:cs="Times New Roman"/>
          <w:b w:val="0"/>
          <w:bCs w:val="0"/>
          <w:color w:val="auto"/>
          <w:sz w:val="32"/>
          <w:szCs w:val="32"/>
          <w:lang w:val="en-US" w:eastAsia="zh-CN"/>
        </w:rPr>
        <w:t>因年内工作任务调整，《新发展格局下五华区高质量发展路径研究》未开展</w:t>
      </w:r>
      <w:r>
        <w:rPr>
          <w:rFonts w:hint="default" w:ascii="Times New Roman" w:hAnsi="Times New Roman" w:eastAsia="仿宋_GB2312" w:cs="Times New Roman"/>
          <w:b w:val="0"/>
          <w:bCs w:val="0"/>
          <w:color w:val="auto"/>
          <w:sz w:val="32"/>
          <w:szCs w:val="32"/>
          <w:lang w:val="en-US" w:eastAsia="zh-Hans"/>
        </w:rPr>
        <w:t>，其余5项均验收合格，项目验收合格率100%。</w:t>
      </w:r>
    </w:p>
    <w:p w14:paraId="642E8673">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b w:val="0"/>
          <w:bCs w:val="0"/>
          <w:color w:val="auto"/>
          <w:sz w:val="32"/>
          <w:szCs w:val="32"/>
          <w:lang w:val="en-US" w:eastAsia="zh-Hans"/>
        </w:rPr>
      </w:pPr>
      <w:r>
        <w:rPr>
          <w:rFonts w:hint="default" w:ascii="Times New Roman" w:hAnsi="Times New Roman" w:eastAsia="仿宋_GB2312" w:cs="Times New Roman"/>
          <w:b w:val="0"/>
          <w:bCs w:val="0"/>
          <w:color w:val="auto"/>
          <w:sz w:val="32"/>
          <w:szCs w:val="32"/>
          <w:highlight w:val="none"/>
          <w:lang w:eastAsia="zh-Hans"/>
        </w:rPr>
        <w:t>3.</w:t>
      </w:r>
      <w:r>
        <w:rPr>
          <w:rFonts w:hint="default" w:ascii="Times New Roman" w:hAnsi="Times New Roman" w:eastAsia="仿宋_GB2312" w:cs="Times New Roman"/>
          <w:b w:val="0"/>
          <w:bCs w:val="0"/>
          <w:color w:val="auto"/>
          <w:sz w:val="32"/>
          <w:szCs w:val="32"/>
          <w:highlight w:val="none"/>
          <w:lang w:val="en-US" w:eastAsia="zh-Hans"/>
        </w:rPr>
        <w:t>项目</w:t>
      </w:r>
      <w:r>
        <w:rPr>
          <w:rFonts w:hint="default" w:ascii="Times New Roman" w:hAnsi="Times New Roman" w:eastAsia="仿宋_GB2312" w:cs="Times New Roman"/>
          <w:b w:val="0"/>
          <w:bCs w:val="0"/>
          <w:color w:val="auto"/>
          <w:sz w:val="32"/>
          <w:szCs w:val="32"/>
          <w:highlight w:val="none"/>
          <w:lang w:val="en-US" w:eastAsia="zh-CN"/>
        </w:rPr>
        <w:t>工作</w:t>
      </w:r>
      <w:r>
        <w:rPr>
          <w:rFonts w:hint="default" w:ascii="Times New Roman" w:hAnsi="Times New Roman" w:eastAsia="仿宋_GB2312" w:cs="Times New Roman"/>
          <w:b w:val="0"/>
          <w:bCs w:val="0"/>
          <w:color w:val="auto"/>
          <w:sz w:val="32"/>
          <w:szCs w:val="32"/>
          <w:highlight w:val="none"/>
          <w:lang w:val="en-US" w:eastAsia="zh-Hans"/>
        </w:rPr>
        <w:t>完成及时率</w:t>
      </w:r>
      <w:r>
        <w:rPr>
          <w:rFonts w:hint="default" w:ascii="Times New Roman" w:hAnsi="Times New Roman" w:eastAsia="仿宋_GB2312" w:cs="Times New Roman"/>
          <w:b w:val="0"/>
          <w:bCs w:val="0"/>
          <w:color w:val="auto"/>
          <w:sz w:val="32"/>
          <w:szCs w:val="32"/>
          <w:highlight w:val="none"/>
          <w:lang w:val="en-US" w:eastAsia="zh-CN"/>
        </w:rPr>
        <w:t>100%</w:t>
      </w:r>
      <w:r>
        <w:rPr>
          <w:rFonts w:hint="default" w:ascii="Times New Roman" w:hAnsi="Times New Roman" w:eastAsia="仿宋_GB2312" w:cs="Times New Roman"/>
          <w:b w:val="0"/>
          <w:bCs w:val="0"/>
          <w:color w:val="auto"/>
          <w:sz w:val="32"/>
          <w:szCs w:val="32"/>
          <w:highlight w:val="none"/>
          <w:lang w:eastAsia="zh-Hans"/>
        </w:rPr>
        <w:t>。</w:t>
      </w:r>
      <w:r>
        <w:rPr>
          <w:rFonts w:hint="default" w:ascii="Times New Roman" w:hAnsi="Times New Roman" w:eastAsia="仿宋_GB2312" w:cs="Times New Roman"/>
          <w:b w:val="0"/>
          <w:bCs w:val="0"/>
          <w:color w:val="auto"/>
          <w:sz w:val="32"/>
          <w:szCs w:val="32"/>
          <w:lang w:val="en-US" w:eastAsia="zh-CN"/>
        </w:rPr>
        <w:t>因年内工作任务调整，《新发展格局下五华区高质量发展路径研究》未开展，</w:t>
      </w:r>
      <w:r>
        <w:rPr>
          <w:rFonts w:hint="default" w:ascii="Times New Roman" w:hAnsi="Times New Roman" w:eastAsia="仿宋_GB2312" w:cs="Times New Roman"/>
          <w:b w:val="0"/>
          <w:bCs w:val="0"/>
          <w:i w:val="0"/>
          <w:iCs w:val="0"/>
          <w:color w:val="auto"/>
          <w:sz w:val="32"/>
          <w:szCs w:val="32"/>
          <w:highlight w:val="none"/>
          <w:lang w:eastAsia="zh-Hans"/>
        </w:rPr>
        <w:t>其余</w:t>
      </w:r>
      <w:r>
        <w:rPr>
          <w:rFonts w:hint="default" w:ascii="Times New Roman" w:hAnsi="Times New Roman" w:eastAsia="仿宋_GB2312" w:cs="Times New Roman"/>
          <w:b w:val="0"/>
          <w:bCs w:val="0"/>
          <w:i w:val="0"/>
          <w:iCs w:val="0"/>
          <w:color w:val="auto"/>
          <w:sz w:val="32"/>
          <w:szCs w:val="32"/>
          <w:highlight w:val="none"/>
          <w:lang w:val="en-US" w:eastAsia="zh-CN"/>
        </w:rPr>
        <w:t>5项</w:t>
      </w:r>
      <w:r>
        <w:rPr>
          <w:rFonts w:hint="default" w:ascii="Times New Roman" w:hAnsi="Times New Roman" w:eastAsia="仿宋_GB2312" w:cs="Times New Roman"/>
          <w:b w:val="0"/>
          <w:bCs w:val="0"/>
          <w:i w:val="0"/>
          <w:iCs w:val="0"/>
          <w:color w:val="auto"/>
          <w:sz w:val="32"/>
          <w:szCs w:val="32"/>
          <w:highlight w:val="none"/>
          <w:lang w:eastAsia="zh-Hans"/>
        </w:rPr>
        <w:t>均已按照计划时限完成，项目完成及时率100%。</w:t>
      </w:r>
    </w:p>
    <w:p w14:paraId="13F81E92">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Hans"/>
        </w:rPr>
        <w:t>4.</w:t>
      </w:r>
      <w:r>
        <w:rPr>
          <w:rFonts w:hint="default" w:ascii="Times New Roman" w:hAnsi="Times New Roman" w:eastAsia="仿宋_GB2312" w:cs="Times New Roman"/>
          <w:b w:val="0"/>
          <w:bCs w:val="0"/>
          <w:color w:val="auto"/>
          <w:sz w:val="32"/>
          <w:szCs w:val="32"/>
          <w:lang w:val="en-US" w:eastAsia="zh-Hans"/>
        </w:rPr>
        <w:t>项目预算执行率高，资金使用合规</w:t>
      </w:r>
      <w:r>
        <w:rPr>
          <w:rFonts w:hint="default" w:ascii="Times New Roman" w:hAnsi="Times New Roman" w:eastAsia="仿宋_GB2312" w:cs="Times New Roman"/>
          <w:b w:val="0"/>
          <w:bCs w:val="0"/>
          <w:color w:val="auto"/>
          <w:sz w:val="32"/>
          <w:szCs w:val="32"/>
          <w:lang w:eastAsia="zh-Hans"/>
        </w:rPr>
        <w:t>。</w:t>
      </w:r>
      <w:r>
        <w:rPr>
          <w:rFonts w:hint="default" w:ascii="Times New Roman" w:hAnsi="Times New Roman" w:eastAsia="仿宋_GB2312" w:cs="Times New Roman"/>
          <w:b w:val="0"/>
          <w:bCs w:val="0"/>
          <w:color w:val="auto"/>
          <w:sz w:val="32"/>
          <w:szCs w:val="32"/>
          <w:lang w:val="en-US" w:eastAsia="zh-Hans"/>
        </w:rPr>
        <w:t>根据</w:t>
      </w:r>
      <w:r>
        <w:rPr>
          <w:rFonts w:hint="default" w:ascii="Times New Roman" w:hAnsi="Times New Roman" w:eastAsia="仿宋_GB2312" w:cs="Times New Roman"/>
          <w:b w:val="0"/>
          <w:bCs w:val="0"/>
          <w:color w:val="auto"/>
          <w:sz w:val="32"/>
          <w:szCs w:val="32"/>
          <w:lang w:val="en-US" w:eastAsia="zh-CN"/>
        </w:rPr>
        <w:t>预算、决算材料</w:t>
      </w:r>
      <w:r>
        <w:rPr>
          <w:rFonts w:hint="default" w:ascii="Times New Roman" w:hAnsi="Times New Roman" w:eastAsia="仿宋_GB2312" w:cs="Times New Roman"/>
          <w:b w:val="0"/>
          <w:bCs w:val="0"/>
          <w:color w:val="auto"/>
          <w:sz w:val="32"/>
          <w:szCs w:val="32"/>
          <w:lang w:val="en-US" w:eastAsia="zh-Hans"/>
        </w:rPr>
        <w:t>，</w:t>
      </w:r>
      <w:r>
        <w:rPr>
          <w:rFonts w:hint="default" w:ascii="Times New Roman" w:hAnsi="Times New Roman" w:eastAsia="仿宋_GB2312" w:cs="Times New Roman"/>
          <w:b w:val="0"/>
          <w:bCs w:val="0"/>
          <w:color w:val="auto"/>
          <w:sz w:val="32"/>
          <w:szCs w:val="32"/>
          <w:lang w:val="en-US" w:eastAsia="zh-CN"/>
        </w:rPr>
        <w:t>国民经济发展综合工作专项资金</w:t>
      </w:r>
      <w:r>
        <w:rPr>
          <w:rFonts w:hint="default" w:ascii="Times New Roman" w:hAnsi="Times New Roman" w:eastAsia="仿宋_GB2312" w:cs="Times New Roman"/>
          <w:b w:val="0"/>
          <w:bCs w:val="0"/>
          <w:color w:val="auto"/>
          <w:sz w:val="32"/>
          <w:szCs w:val="32"/>
          <w:lang w:val="en-US" w:eastAsia="zh-Hans"/>
        </w:rPr>
        <w:t>预算批复</w:t>
      </w:r>
      <w:r>
        <w:rPr>
          <w:rFonts w:hint="default" w:ascii="Times New Roman" w:hAnsi="Times New Roman" w:eastAsia="仿宋_GB2312" w:cs="Times New Roman"/>
          <w:b w:val="0"/>
          <w:bCs w:val="0"/>
          <w:color w:val="auto"/>
          <w:sz w:val="32"/>
          <w:szCs w:val="32"/>
          <w:lang w:val="en-US" w:eastAsia="zh-CN"/>
        </w:rPr>
        <w:t>金</w:t>
      </w:r>
      <w:r>
        <w:rPr>
          <w:rFonts w:hint="default" w:ascii="Times New Roman" w:hAnsi="Times New Roman" w:eastAsia="仿宋_GB2312" w:cs="Times New Roman"/>
          <w:b w:val="0"/>
          <w:bCs w:val="0"/>
          <w:color w:val="auto"/>
          <w:sz w:val="32"/>
          <w:szCs w:val="32"/>
          <w:lang w:val="en-US" w:eastAsia="zh-Hans"/>
        </w:rPr>
        <w:t>额为</w:t>
      </w:r>
      <w:r>
        <w:rPr>
          <w:rFonts w:hint="default" w:ascii="Times New Roman" w:hAnsi="Times New Roman" w:eastAsia="仿宋_GB2312" w:cs="Times New Roman"/>
          <w:b w:val="0"/>
          <w:bCs w:val="0"/>
          <w:color w:val="auto"/>
          <w:sz w:val="32"/>
          <w:szCs w:val="32"/>
          <w:lang w:val="en-US" w:eastAsia="zh-CN"/>
        </w:rPr>
        <w:t>149.90</w:t>
      </w:r>
      <w:r>
        <w:rPr>
          <w:rFonts w:hint="default" w:ascii="Times New Roman" w:hAnsi="Times New Roman" w:eastAsia="仿宋_GB2312" w:cs="Times New Roman"/>
          <w:b w:val="0"/>
          <w:bCs w:val="0"/>
          <w:color w:val="auto"/>
          <w:sz w:val="32"/>
          <w:szCs w:val="32"/>
          <w:lang w:val="en-US" w:eastAsia="zh-Hans"/>
        </w:rPr>
        <w:t>万元</w:t>
      </w:r>
      <w:r>
        <w:rPr>
          <w:rFonts w:hint="default"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Hans"/>
        </w:rPr>
        <w:t>202</w:t>
      </w:r>
      <w:r>
        <w:rPr>
          <w:rFonts w:hint="default" w:ascii="Times New Roman" w:hAnsi="Times New Roman" w:eastAsia="仿宋_GB2312" w:cs="Times New Roman"/>
          <w:b w:val="0"/>
          <w:bCs w:val="0"/>
          <w:color w:val="auto"/>
          <w:sz w:val="32"/>
          <w:szCs w:val="32"/>
          <w:lang w:val="en-US" w:eastAsia="zh-CN"/>
        </w:rPr>
        <w:t>3</w:t>
      </w:r>
      <w:r>
        <w:rPr>
          <w:rFonts w:hint="default" w:ascii="Times New Roman" w:hAnsi="Times New Roman" w:eastAsia="仿宋_GB2312" w:cs="Times New Roman"/>
          <w:b w:val="0"/>
          <w:bCs w:val="0"/>
          <w:color w:val="auto"/>
          <w:sz w:val="32"/>
          <w:szCs w:val="32"/>
          <w:lang w:val="en-US" w:eastAsia="zh-Hans"/>
        </w:rPr>
        <w:t>年度共收到</w:t>
      </w:r>
      <w:r>
        <w:rPr>
          <w:rFonts w:hint="default" w:ascii="Times New Roman" w:hAnsi="Times New Roman" w:eastAsia="仿宋_GB2312" w:cs="Times New Roman"/>
          <w:b w:val="0"/>
          <w:bCs w:val="0"/>
          <w:color w:val="auto"/>
          <w:sz w:val="32"/>
          <w:szCs w:val="32"/>
          <w:lang w:val="en-US" w:eastAsia="zh-CN"/>
        </w:rPr>
        <w:t>53.879</w:t>
      </w:r>
      <w:r>
        <w:rPr>
          <w:rFonts w:hint="default" w:ascii="Times New Roman" w:hAnsi="Times New Roman" w:eastAsia="仿宋_GB2312" w:cs="Times New Roman"/>
          <w:b w:val="0"/>
          <w:bCs w:val="0"/>
          <w:color w:val="auto"/>
          <w:sz w:val="32"/>
          <w:szCs w:val="32"/>
          <w:lang w:val="en-US" w:eastAsia="zh-Hans"/>
        </w:rPr>
        <w:t>万元。截至202</w:t>
      </w:r>
      <w:r>
        <w:rPr>
          <w:rFonts w:hint="default" w:ascii="Times New Roman" w:hAnsi="Times New Roman" w:eastAsia="仿宋_GB2312" w:cs="Times New Roman"/>
          <w:b w:val="0"/>
          <w:bCs w:val="0"/>
          <w:color w:val="auto"/>
          <w:sz w:val="32"/>
          <w:szCs w:val="32"/>
          <w:lang w:val="en-US" w:eastAsia="zh-CN"/>
        </w:rPr>
        <w:t>3</w:t>
      </w:r>
      <w:r>
        <w:rPr>
          <w:rFonts w:hint="default" w:ascii="Times New Roman" w:hAnsi="Times New Roman" w:eastAsia="仿宋_GB2312" w:cs="Times New Roman"/>
          <w:b w:val="0"/>
          <w:bCs w:val="0"/>
          <w:color w:val="auto"/>
          <w:sz w:val="32"/>
          <w:szCs w:val="32"/>
          <w:lang w:val="en-US" w:eastAsia="zh-Hans"/>
        </w:rPr>
        <w:t>年12月31日，实际支出</w:t>
      </w:r>
      <w:r>
        <w:rPr>
          <w:rFonts w:hint="default" w:ascii="Times New Roman" w:hAnsi="Times New Roman" w:eastAsia="仿宋_GB2312" w:cs="Times New Roman"/>
          <w:b w:val="0"/>
          <w:bCs w:val="0"/>
          <w:color w:val="auto"/>
          <w:sz w:val="32"/>
          <w:szCs w:val="32"/>
          <w:lang w:val="en-US" w:eastAsia="zh-CN"/>
        </w:rPr>
        <w:t>53.879</w:t>
      </w:r>
      <w:r>
        <w:rPr>
          <w:rFonts w:hint="default" w:ascii="Times New Roman" w:hAnsi="Times New Roman" w:eastAsia="仿宋_GB2312" w:cs="Times New Roman"/>
          <w:b w:val="0"/>
          <w:bCs w:val="0"/>
          <w:color w:val="auto"/>
          <w:sz w:val="32"/>
          <w:szCs w:val="32"/>
          <w:lang w:val="en-US" w:eastAsia="zh-Hans"/>
        </w:rPr>
        <w:t>万元</w:t>
      </w:r>
      <w:r>
        <w:rPr>
          <w:rFonts w:hint="default"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Hans"/>
        </w:rPr>
        <w:t>项目预算执行率为100%</w:t>
      </w:r>
      <w:r>
        <w:rPr>
          <w:rFonts w:hint="default"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Hans"/>
        </w:rPr>
        <w:t>项目成本节约率为0%。项目资金使用符合国家财经法规和财务管理制度以及有关专项资金管理办法的规定，资金拨付审批程序完整，资金使用符合项目预算批复的用途，不存在截留、挤占、挪用、虚列支出等情况。</w:t>
      </w:r>
    </w:p>
    <w:p w14:paraId="7C20858F">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outlineLvl w:val="1"/>
        <w:rPr>
          <w:rFonts w:hint="default" w:ascii="Times New Roman" w:hAnsi="Times New Roman" w:eastAsia="楷体_GB2312" w:cs="Times New Roman"/>
          <w:b w:val="0"/>
          <w:bCs w:val="0"/>
          <w:color w:val="auto"/>
          <w:sz w:val="32"/>
          <w:szCs w:val="32"/>
          <w:lang w:eastAsia="zh-Hans"/>
        </w:rPr>
      </w:pPr>
      <w:r>
        <w:rPr>
          <w:rFonts w:hint="default" w:ascii="Times New Roman" w:hAnsi="Times New Roman" w:eastAsia="楷体_GB2312" w:cs="Times New Roman"/>
          <w:b w:val="0"/>
          <w:bCs w:val="0"/>
          <w:color w:val="auto"/>
          <w:sz w:val="32"/>
          <w:szCs w:val="32"/>
        </w:rPr>
        <w:t>（四）项目效益情况分析</w:t>
      </w:r>
    </w:p>
    <w:p w14:paraId="7B33DF5B">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b w:val="0"/>
          <w:bCs w:val="0"/>
          <w:color w:val="auto"/>
          <w:sz w:val="32"/>
          <w:szCs w:val="32"/>
          <w:lang w:eastAsia="zh-Hans"/>
        </w:rPr>
      </w:pPr>
      <w:r>
        <w:rPr>
          <w:rFonts w:hint="default" w:ascii="Times New Roman" w:hAnsi="Times New Roman" w:eastAsia="仿宋_GB2312" w:cs="Times New Roman"/>
          <w:b w:val="0"/>
          <w:bCs w:val="0"/>
          <w:color w:val="auto"/>
          <w:sz w:val="32"/>
          <w:szCs w:val="32"/>
          <w:lang w:val="en-US" w:eastAsia="zh-Hans"/>
        </w:rPr>
        <w:t>从评价得分情况看，效果指标分值30分，重点评价得分</w:t>
      </w:r>
      <w:r>
        <w:rPr>
          <w:rFonts w:hint="default" w:ascii="Times New Roman" w:hAnsi="Times New Roman" w:eastAsia="仿宋_GB2312" w:cs="Times New Roman"/>
          <w:b w:val="0"/>
          <w:bCs w:val="0"/>
          <w:color w:val="auto"/>
          <w:sz w:val="32"/>
          <w:szCs w:val="32"/>
          <w:lang w:eastAsia="zh-Hans"/>
        </w:rPr>
        <w:t>30</w:t>
      </w:r>
      <w:r>
        <w:rPr>
          <w:rFonts w:hint="default" w:ascii="Times New Roman" w:hAnsi="Times New Roman" w:eastAsia="仿宋_GB2312" w:cs="Times New Roman"/>
          <w:b w:val="0"/>
          <w:bCs w:val="0"/>
          <w:color w:val="auto"/>
          <w:sz w:val="32"/>
          <w:szCs w:val="32"/>
          <w:lang w:val="en-US" w:eastAsia="zh-Hans"/>
        </w:rPr>
        <w:t>分，得分率</w:t>
      </w:r>
      <w:r>
        <w:rPr>
          <w:rFonts w:hint="default" w:ascii="Times New Roman" w:hAnsi="Times New Roman" w:eastAsia="仿宋_GB2312" w:cs="Times New Roman"/>
          <w:b w:val="0"/>
          <w:bCs w:val="0"/>
          <w:color w:val="auto"/>
          <w:sz w:val="32"/>
          <w:szCs w:val="32"/>
          <w:lang w:eastAsia="zh-Hans"/>
        </w:rPr>
        <w:t>100%</w:t>
      </w:r>
      <w:r>
        <w:rPr>
          <w:rFonts w:hint="default"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Hans"/>
        </w:rPr>
        <w:t>具体情况分析如下：</w:t>
      </w:r>
    </w:p>
    <w:p w14:paraId="78F30E6C">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b w:val="0"/>
          <w:bCs w:val="0"/>
          <w:color w:val="auto"/>
          <w:sz w:val="32"/>
          <w:szCs w:val="32"/>
          <w:highlight w:val="yellow"/>
          <w:lang w:val="en-US" w:eastAsia="zh-Hans"/>
        </w:rPr>
      </w:pPr>
      <w:r>
        <w:rPr>
          <w:rFonts w:hint="default" w:ascii="Times New Roman" w:hAnsi="Times New Roman" w:eastAsia="仿宋_GB2312" w:cs="Times New Roman"/>
          <w:b w:val="0"/>
          <w:bCs w:val="0"/>
          <w:color w:val="auto"/>
          <w:sz w:val="32"/>
          <w:szCs w:val="32"/>
          <w:highlight w:val="none"/>
          <w:lang w:eastAsia="zh-Hans"/>
        </w:rPr>
        <w:t>1.</w:t>
      </w:r>
      <w:r>
        <w:rPr>
          <w:rFonts w:hint="default" w:ascii="Times New Roman" w:hAnsi="Times New Roman" w:eastAsia="仿宋_GB2312" w:cs="Times New Roman"/>
          <w:b w:val="0"/>
          <w:bCs w:val="0"/>
          <w:color w:val="auto"/>
          <w:sz w:val="32"/>
          <w:szCs w:val="32"/>
          <w:highlight w:val="none"/>
          <w:lang w:val="en-US" w:eastAsia="zh-CN"/>
        </w:rPr>
        <w:t>项目</w:t>
      </w:r>
      <w:r>
        <w:rPr>
          <w:rFonts w:hint="default" w:ascii="Times New Roman" w:hAnsi="Times New Roman" w:eastAsia="仿宋_GB2312" w:cs="Times New Roman"/>
          <w:b w:val="0"/>
          <w:bCs w:val="0"/>
          <w:color w:val="auto"/>
          <w:sz w:val="32"/>
          <w:szCs w:val="32"/>
          <w:highlight w:val="none"/>
          <w:lang w:eastAsia="zh-Hans"/>
        </w:rPr>
        <w:t>效果</w:t>
      </w:r>
      <w:r>
        <w:rPr>
          <w:rFonts w:hint="default" w:ascii="Times New Roman" w:hAnsi="Times New Roman" w:eastAsia="仿宋_GB2312" w:cs="Times New Roman"/>
          <w:b w:val="0"/>
          <w:bCs w:val="0"/>
          <w:color w:val="auto"/>
          <w:sz w:val="32"/>
          <w:szCs w:val="32"/>
          <w:highlight w:val="none"/>
          <w:lang w:val="en-US" w:eastAsia="zh-Hans"/>
        </w:rPr>
        <w:t>显著。围绕“六个区”建设目标，坚持“五个四”工作思路，深入开展“当好排头兵·五华在争先”大竞赛活动，</w:t>
      </w:r>
      <w:r>
        <w:rPr>
          <w:rFonts w:hint="default" w:ascii="Times New Roman" w:hAnsi="Times New Roman" w:eastAsia="仿宋_GB2312" w:cs="Times New Roman"/>
          <w:b w:val="0"/>
          <w:bCs w:val="0"/>
          <w:color w:val="auto"/>
          <w:sz w:val="32"/>
          <w:szCs w:val="32"/>
          <w:highlight w:val="none"/>
          <w:lang w:val="en-US" w:eastAsia="zh-CN"/>
        </w:rPr>
        <w:t>集中攻坚四大产业，强化生产性服务业支撑，构建“4+1”产业集群，落实“6个1”工作机制，推动产业建链、强链、补链、延链。聚焦市场主体急难愁盼的问题，主动问计于企、问需于企，精准制定优惠扶持政策，将全区优质的教育、医疗、科研等资源转换为吸引企业的“橄榄枝”；用好省、市、区三级稳增长政策，找准发力方向，让碎片化的政策形成合力，切实把政策红利转变为发展实效。2023年，</w:t>
      </w:r>
      <w:r>
        <w:rPr>
          <w:rFonts w:hint="default" w:ascii="Times New Roman" w:hAnsi="Times New Roman" w:eastAsia="仿宋_GB2312" w:cs="Times New Roman"/>
          <w:b w:val="0"/>
          <w:bCs w:val="0"/>
          <w:color w:val="auto"/>
          <w:sz w:val="32"/>
          <w:szCs w:val="32"/>
          <w:highlight w:val="none"/>
          <w:lang w:val="en-US" w:eastAsia="zh-Hans"/>
        </w:rPr>
        <w:t>全区经济运行总体平稳，发展质量稳中有进，社会发展和谐稳定。在全市大竞赛中综合成绩排名第二、主城五区第一</w:t>
      </w:r>
      <w:r>
        <w:rPr>
          <w:rFonts w:hint="default" w:ascii="Times New Roman" w:hAnsi="Times New Roman" w:eastAsia="仿宋_GB2312" w:cs="Times New Roman"/>
          <w:b w:val="0"/>
          <w:bCs w:val="0"/>
          <w:color w:val="auto"/>
          <w:sz w:val="32"/>
          <w:szCs w:val="32"/>
          <w:highlight w:val="none"/>
          <w:lang w:val="en-US" w:eastAsia="zh-CN"/>
        </w:rPr>
        <w:t>。</w:t>
      </w:r>
    </w:p>
    <w:p w14:paraId="4F089552">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b w:val="0"/>
          <w:bCs w:val="0"/>
          <w:color w:val="auto"/>
          <w:sz w:val="32"/>
          <w:szCs w:val="32"/>
          <w:lang w:val="en-US" w:eastAsia="zh-Hans"/>
        </w:rPr>
      </w:pPr>
      <w:r>
        <w:rPr>
          <w:rFonts w:hint="default" w:ascii="Times New Roman" w:hAnsi="Times New Roman" w:eastAsia="仿宋_GB2312" w:cs="Times New Roman"/>
          <w:b w:val="0"/>
          <w:bCs w:val="0"/>
          <w:color w:val="auto"/>
          <w:sz w:val="32"/>
          <w:szCs w:val="32"/>
          <w:lang w:val="en-US" w:eastAsia="zh-Hans"/>
        </w:rPr>
        <w:t>2.</w:t>
      </w:r>
      <w:r>
        <w:rPr>
          <w:rFonts w:hint="default" w:ascii="Times New Roman" w:hAnsi="Times New Roman" w:eastAsia="仿宋_GB2312" w:cs="Times New Roman"/>
          <w:b w:val="0"/>
          <w:bCs w:val="0"/>
          <w:color w:val="auto"/>
          <w:sz w:val="32"/>
          <w:szCs w:val="32"/>
          <w:lang w:val="en-US" w:eastAsia="zh-CN"/>
        </w:rPr>
        <w:t>项目受益对象满意度</w:t>
      </w:r>
      <w:r>
        <w:rPr>
          <w:rFonts w:hint="default" w:ascii="Times New Roman" w:hAnsi="Times New Roman" w:eastAsia="仿宋_GB2312" w:cs="Times New Roman"/>
          <w:b w:val="0"/>
          <w:bCs w:val="0"/>
          <w:color w:val="auto"/>
          <w:sz w:val="32"/>
          <w:szCs w:val="32"/>
          <w:lang w:val="en-US" w:eastAsia="zh-Hans"/>
        </w:rPr>
        <w:t>。截至2023年12月31日，在</w:t>
      </w:r>
      <w:r>
        <w:rPr>
          <w:rFonts w:hint="default" w:ascii="Times New Roman" w:hAnsi="Times New Roman" w:eastAsia="仿宋_GB2312" w:cs="Times New Roman"/>
          <w:b w:val="0"/>
          <w:bCs w:val="0"/>
          <w:color w:val="auto"/>
          <w:sz w:val="32"/>
          <w:szCs w:val="32"/>
          <w:lang w:val="en-US" w:eastAsia="zh-CN"/>
        </w:rPr>
        <w:t>国民经济发展综合工作=</w:t>
      </w:r>
      <w:r>
        <w:rPr>
          <w:rFonts w:hint="default" w:ascii="Times New Roman" w:hAnsi="Times New Roman" w:eastAsia="仿宋_GB2312" w:cs="Times New Roman"/>
          <w:b w:val="0"/>
          <w:bCs w:val="0"/>
          <w:color w:val="auto"/>
          <w:sz w:val="32"/>
          <w:szCs w:val="32"/>
          <w:lang w:val="en-US" w:eastAsia="zh-Hans"/>
        </w:rPr>
        <w:t>开展过程中，未接到过复议、投诉、不满等问题事件</w:t>
      </w:r>
      <w:r>
        <w:rPr>
          <w:rFonts w:hint="default"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Hans"/>
        </w:rPr>
        <w:t>项目受益对象满意度为100%。</w:t>
      </w:r>
    </w:p>
    <w:p w14:paraId="0B0F8484">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outlineLvl w:val="0"/>
        <w:rPr>
          <w:rFonts w:hint="default" w:ascii="Times New Roman" w:hAnsi="Times New Roman" w:eastAsia="黑体" w:cs="Times New Roman"/>
          <w:b w:val="0"/>
          <w:bCs w:val="0"/>
          <w:color w:val="auto"/>
          <w:sz w:val="32"/>
          <w:szCs w:val="32"/>
        </w:rPr>
      </w:pPr>
      <w:bookmarkStart w:id="15" w:name="_Toc2077996326"/>
      <w:r>
        <w:rPr>
          <w:rFonts w:hint="default" w:ascii="Times New Roman" w:hAnsi="Times New Roman" w:eastAsia="黑体" w:cs="Times New Roman"/>
          <w:b w:val="0"/>
          <w:bCs w:val="0"/>
          <w:color w:val="auto"/>
          <w:sz w:val="32"/>
          <w:szCs w:val="32"/>
        </w:rPr>
        <w:t>五、主要经验及做法</w:t>
      </w:r>
      <w:bookmarkEnd w:id="15"/>
    </w:p>
    <w:p w14:paraId="71DE1565">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一是加强预算编制事前评估和绩效管理，促进项目实施效益提升。在项目预算编报过程中，对项目立项的必要性、可行性、实施内容及措施等方面进行前期规划，切实强化项目质量事前控制；落实预算绩效全过程管理，按季度监控并评估资金支出进度和绩效目标达成情况，及时查找问题、及时研判化解。</w:t>
      </w:r>
    </w:p>
    <w:p w14:paraId="4F93A920">
      <w:pPr>
        <w:pStyle w:val="13"/>
        <w:keepNext w:val="0"/>
        <w:keepLines w:val="0"/>
        <w:pageBreakBefore w:val="0"/>
        <w:kinsoku/>
        <w:wordWrap/>
        <w:overflowPunct/>
        <w:bidi w:val="0"/>
        <w:snapToGrid/>
        <w:spacing w:line="560" w:lineRule="exact"/>
        <w:ind w:firstLine="640" w:firstLineChars="200"/>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color w:val="auto"/>
          <w:sz w:val="32"/>
          <w:szCs w:val="32"/>
          <w:lang w:val="en-US" w:eastAsia="zh-CN"/>
        </w:rPr>
        <w:t>二是注重衔接结合，实现统筹推进。充分发挥内部控制风险评估、内部审计、领导干部经济责任审计的监督作用，以财政抽评复核、财政资金“清源行动”等工作为契机，查找项目实施过程中存在的疏漏，发挥绩效管理、内部审计、财会监督的协同效应。</w:t>
      </w:r>
    </w:p>
    <w:p w14:paraId="4C03B464">
      <w:pPr>
        <w:keepNext w:val="0"/>
        <w:keepLines w:val="0"/>
        <w:pageBreakBefore w:val="0"/>
        <w:widowControl w:val="0"/>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三是加强内外联动，释放工作合力。借助第三方机构力量，充分运用研究机构、常设法律顾问、绩效服务咨询机构、风险评估机构等外脑的专业意见，提高规划编制质量，有效补充合法性审查、绩效评价、社会稳定风险评估等专业性较强领域的知识、能力短板。加强政府信息公开，按时限要求公开年度项目预算、决算、项目支出绩效自评，认真核对公开数据、检查文本内容，严格把控信息公开质量，积极接受社会公众监督。</w:t>
      </w:r>
    </w:p>
    <w:p w14:paraId="74EF29D5">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outlineLvl w:val="0"/>
        <w:rPr>
          <w:rFonts w:hint="default" w:ascii="Times New Roman" w:hAnsi="Times New Roman" w:eastAsia="黑体" w:cs="Times New Roman"/>
          <w:b w:val="0"/>
          <w:bCs w:val="0"/>
          <w:color w:val="auto"/>
          <w:sz w:val="32"/>
          <w:szCs w:val="32"/>
        </w:rPr>
      </w:pPr>
      <w:bookmarkStart w:id="16" w:name="_Toc357699921"/>
      <w:r>
        <w:rPr>
          <w:rFonts w:hint="default" w:ascii="Times New Roman" w:hAnsi="Times New Roman" w:eastAsia="黑体" w:cs="Times New Roman"/>
          <w:b w:val="0"/>
          <w:bCs w:val="0"/>
          <w:color w:val="auto"/>
          <w:sz w:val="32"/>
          <w:szCs w:val="32"/>
        </w:rPr>
        <w:t>六、存在的问题及原因分析</w:t>
      </w:r>
      <w:bookmarkEnd w:id="16"/>
    </w:p>
    <w:p w14:paraId="4F12105D">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outlineLvl w:val="0"/>
        <w:rPr>
          <w:rFonts w:hint="default" w:ascii="Times New Roman" w:hAnsi="Times New Roman" w:eastAsia="仿宋_GB2312" w:cs="Times New Roman"/>
          <w:b w:val="0"/>
          <w:bCs w:val="0"/>
          <w:color w:val="auto"/>
          <w:sz w:val="32"/>
          <w:szCs w:val="32"/>
          <w:lang w:eastAsia="zh-CN"/>
        </w:rPr>
      </w:pPr>
      <w:bookmarkStart w:id="17" w:name="_Toc1055844294"/>
      <w:r>
        <w:rPr>
          <w:rFonts w:hint="default" w:ascii="Times New Roman" w:hAnsi="Times New Roman" w:eastAsia="仿宋_GB2312" w:cs="Times New Roman"/>
          <w:b w:val="0"/>
          <w:bCs w:val="0"/>
          <w:color w:val="auto"/>
          <w:sz w:val="32"/>
          <w:szCs w:val="32"/>
          <w:lang w:eastAsia="zh-CN"/>
        </w:rPr>
        <w:t>一是项目绩效目标实现情况同年初目标有所偏离。主要原因是根据省、市、区相关部署，部分业务工作在年度内进行了调整，在项目立项时合理预期的难度较大，对预算资金预计和测算存在一定偏差。比如，因年内工作任务调整，</w:t>
      </w:r>
      <w:r>
        <w:rPr>
          <w:rFonts w:hint="default" w:ascii="Times New Roman" w:hAnsi="Times New Roman" w:eastAsia="仿宋_GB2312" w:cs="Times New Roman"/>
          <w:b w:val="0"/>
          <w:bCs w:val="0"/>
          <w:color w:val="auto"/>
          <w:sz w:val="32"/>
          <w:szCs w:val="32"/>
          <w:lang w:val="en-US" w:eastAsia="zh-CN"/>
        </w:rPr>
        <w:t>2023年</w:t>
      </w:r>
      <w:r>
        <w:rPr>
          <w:rFonts w:hint="default" w:ascii="Times New Roman" w:hAnsi="Times New Roman" w:eastAsia="仿宋_GB2312" w:cs="Times New Roman"/>
          <w:b w:val="0"/>
          <w:bCs w:val="0"/>
          <w:color w:val="auto"/>
          <w:sz w:val="32"/>
          <w:szCs w:val="32"/>
          <w:lang w:eastAsia="zh-CN"/>
        </w:rPr>
        <w:t>未开展《新发展格局下五华区高质量发展路径研究》工作。</w:t>
      </w:r>
    </w:p>
    <w:p w14:paraId="54BCF5F5">
      <w:pPr>
        <w:pStyle w:val="13"/>
        <w:keepNext w:val="0"/>
        <w:keepLines w:val="0"/>
        <w:pageBreakBefore w:val="0"/>
        <w:kinsoku/>
        <w:wordWrap/>
        <w:overflowPunct/>
        <w:bidi w:val="0"/>
        <w:snapToGrid/>
        <w:spacing w:line="560" w:lineRule="exact"/>
        <w:ind w:firstLine="640" w:firstLineChars="200"/>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eastAsia="zh-CN"/>
        </w:rPr>
        <w:t>二是绩效管理科学化和规范化水平仍有提升空间。主要原因是该项目涉及的重点任务属于较为宏观、长期的综合性工作，如产业集群打造、推动经济高质量发展等，短期内较难获得充分且可量化的数据、信息作为佐证依据，在评价效益指标完成情况时存在一定的主观倾向。</w:t>
      </w:r>
    </w:p>
    <w:p w14:paraId="1399B954">
      <w:pPr>
        <w:keepNext w:val="0"/>
        <w:keepLines w:val="0"/>
        <w:pageBreakBefore w:val="0"/>
        <w:widowControl/>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textAlignment w:val="auto"/>
        <w:outlineLvl w:val="0"/>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七、建议</w:t>
      </w:r>
      <w:bookmarkEnd w:id="17"/>
    </w:p>
    <w:p w14:paraId="3BAE762C">
      <w:pPr>
        <w:pStyle w:val="13"/>
        <w:keepNext w:val="0"/>
        <w:keepLines w:val="0"/>
        <w:pageBreakBefore w:val="0"/>
        <w:numPr>
          <w:ilvl w:val="0"/>
          <w:numId w:val="0"/>
        </w:numPr>
        <w:kinsoku/>
        <w:wordWrap/>
        <w:overflowPunct/>
        <w:bidi w:val="0"/>
        <w:snapToGrid/>
        <w:spacing w:line="560" w:lineRule="exact"/>
        <w:ind w:firstLine="640" w:firstLineChars="200"/>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一是增强分析研判，发挥绩效目标“指挥棒”作用。在填报预算绩效目标时，加强分析研究，尽可能在覆盖年度重点工作的同时，做到简洁明了、易于评价；在设置绩效指标时进行充分的调查、研究、论证，同时加强与上级部门及其他区级单位的对接，提高项目绩效指标设置的合理性、项目资金测算的准确性。</w:t>
      </w:r>
    </w:p>
    <w:p w14:paraId="096BEB06">
      <w:pPr>
        <w:keepNext w:val="0"/>
        <w:keepLines w:val="0"/>
        <w:pageBreakBefore w:val="0"/>
        <w:kinsoku/>
        <w:wordWrap/>
        <w:overflowPunct/>
        <w:bidi w:val="0"/>
        <w:snapToGrid/>
        <w:spacing w:line="560" w:lineRule="exact"/>
        <w:ind w:firstLine="640" w:firstLineChars="200"/>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二是加强统筹谋划，提升预算绩效管理水平。统筹年度重点工作，在设置效益指标时，综合考虑项目内容、工作目标及绩效自评工作实施，使效益指标与工作目标紧密衔接的同时便于后续自评工作的开展，进一步提升绩效自评的客观性、科学性。</w:t>
      </w:r>
    </w:p>
    <w:p w14:paraId="15DCB8F1">
      <w:pPr>
        <w:keepNext w:val="0"/>
        <w:keepLines w:val="0"/>
        <w:pageBreakBefore w:val="0"/>
        <w:widowControl/>
        <w:kinsoku/>
        <w:wordWrap/>
        <w:overflowPunct/>
        <w:topLinePunct w:val="0"/>
        <w:autoSpaceDE/>
        <w:autoSpaceDN/>
        <w:bidi w:val="0"/>
        <w:adjustRightInd/>
        <w:snapToGrid/>
        <w:spacing w:after="0" w:line="560" w:lineRule="exact"/>
        <w:ind w:left="0" w:right="0" w:firstLine="640" w:firstLineChars="200"/>
        <w:textAlignment w:val="auto"/>
        <w:rPr>
          <w:rFonts w:hint="default" w:ascii="Times New Roman" w:hAnsi="Times New Roman" w:eastAsia="仿宋_GB2312" w:cs="Times New Roman"/>
          <w:b w:val="0"/>
          <w:bCs w:val="0"/>
          <w:sz w:val="32"/>
          <w:szCs w:val="32"/>
          <w:lang w:val="en-US" w:eastAsia="zh-Hans"/>
        </w:rPr>
      </w:pPr>
    </w:p>
    <w:p w14:paraId="37B1F400">
      <w:pPr>
        <w:pStyle w:val="2"/>
        <w:pageBreakBefore w:val="0"/>
        <w:kinsoku/>
        <w:wordWrap/>
        <w:overflowPunct/>
        <w:bidi w:val="0"/>
        <w:snapToGrid/>
        <w:spacing w:before="0" w:line="560" w:lineRule="exact"/>
        <w:rPr>
          <w:rFonts w:hint="default" w:ascii="Times New Roman" w:hAnsi="Times New Roman" w:eastAsia="仿宋_GB2312" w:cs="Times New Roman"/>
          <w:b w:val="0"/>
          <w:bCs w:val="0"/>
          <w:sz w:val="32"/>
          <w:szCs w:val="32"/>
          <w:lang w:val="en-US" w:eastAsia="zh-Hans"/>
        </w:rPr>
      </w:pPr>
      <w:bookmarkStart w:id="18" w:name="_GoBack"/>
    </w:p>
    <w:p w14:paraId="4F44B44C">
      <w:pPr>
        <w:pageBreakBefore w:val="0"/>
        <w:widowControl/>
        <w:kinsoku/>
        <w:wordWrap/>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五华区发展和改革局</w:t>
      </w:r>
    </w:p>
    <w:p w14:paraId="0DDB154D">
      <w:pPr>
        <w:pStyle w:val="2"/>
        <w:pageBreakBefore w:val="0"/>
        <w:widowControl/>
        <w:kinsoku/>
        <w:wordWrap/>
        <w:overflowPunct/>
        <w:topLinePunct w:val="0"/>
        <w:autoSpaceDE/>
        <w:autoSpaceDN/>
        <w:bidi w:val="0"/>
        <w:adjustRightInd/>
        <w:snapToGrid/>
        <w:spacing w:before="0" w:after="0" w:line="560" w:lineRule="exact"/>
        <w:jc w:val="right"/>
        <w:textAlignment w:val="auto"/>
        <w:rPr>
          <w:rFonts w:hint="default" w:ascii="Times New Roman" w:hAnsi="Times New Roman" w:cs="Times New Roman"/>
          <w:lang w:val="en-US" w:eastAsia="zh-CN"/>
        </w:rPr>
      </w:pPr>
      <w:r>
        <w:rPr>
          <w:rFonts w:hint="default" w:ascii="Times New Roman" w:hAnsi="Times New Roman" w:eastAsia="仿宋_GB2312" w:cs="Times New Roman"/>
          <w:b w:val="0"/>
          <w:bCs w:val="0"/>
          <w:sz w:val="32"/>
          <w:szCs w:val="32"/>
          <w:lang w:val="en-US" w:eastAsia="zh-CN"/>
        </w:rPr>
        <w:t>2024年5月30日</w:t>
      </w:r>
    </w:p>
    <w:bookmarkEnd w:id="18"/>
    <w:sectPr>
      <w:footerReference r:id="rId3"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B6009">
    <w:pPr>
      <w:pStyle w:val="6"/>
      <w:tabs>
        <w:tab w:val="center" w:pos="442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FECEF3">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2FECEF3">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0ZDgwZjMwMWQ2YjEwYmE3MWU0NTkwNTRjNThlNjcifQ=="/>
  </w:docVars>
  <w:rsids>
    <w:rsidRoot w:val="4A0D449E"/>
    <w:rsid w:val="00FA054F"/>
    <w:rsid w:val="016D2E5B"/>
    <w:rsid w:val="018427B4"/>
    <w:rsid w:val="02510DD4"/>
    <w:rsid w:val="03F751D8"/>
    <w:rsid w:val="043A5EE0"/>
    <w:rsid w:val="044347D6"/>
    <w:rsid w:val="048B2E6C"/>
    <w:rsid w:val="0492207E"/>
    <w:rsid w:val="04A22630"/>
    <w:rsid w:val="04B9771D"/>
    <w:rsid w:val="0510530F"/>
    <w:rsid w:val="05760B04"/>
    <w:rsid w:val="0639558B"/>
    <w:rsid w:val="07DC38F2"/>
    <w:rsid w:val="08A16D60"/>
    <w:rsid w:val="08B069F5"/>
    <w:rsid w:val="08FE6AF0"/>
    <w:rsid w:val="097A47C7"/>
    <w:rsid w:val="09DA7B3F"/>
    <w:rsid w:val="0A5263A1"/>
    <w:rsid w:val="0A8910CA"/>
    <w:rsid w:val="0B6922BD"/>
    <w:rsid w:val="0BA4775E"/>
    <w:rsid w:val="0BA838D3"/>
    <w:rsid w:val="0BF31B06"/>
    <w:rsid w:val="0C0900D0"/>
    <w:rsid w:val="0C1C5974"/>
    <w:rsid w:val="0C4D34C2"/>
    <w:rsid w:val="0CC4525E"/>
    <w:rsid w:val="0CE24B14"/>
    <w:rsid w:val="0E665E6D"/>
    <w:rsid w:val="0EBB22B9"/>
    <w:rsid w:val="0EFB054C"/>
    <w:rsid w:val="0F1A5B45"/>
    <w:rsid w:val="0FFF9DD1"/>
    <w:rsid w:val="105B5789"/>
    <w:rsid w:val="106F76E0"/>
    <w:rsid w:val="10EA7A8F"/>
    <w:rsid w:val="124274E8"/>
    <w:rsid w:val="12486EC1"/>
    <w:rsid w:val="12A50759"/>
    <w:rsid w:val="12B46F03"/>
    <w:rsid w:val="12B53F03"/>
    <w:rsid w:val="12CD1F56"/>
    <w:rsid w:val="144D5FF8"/>
    <w:rsid w:val="14AC3908"/>
    <w:rsid w:val="150A1BC4"/>
    <w:rsid w:val="15E830B5"/>
    <w:rsid w:val="16E93F61"/>
    <w:rsid w:val="16F3593D"/>
    <w:rsid w:val="17076323"/>
    <w:rsid w:val="17305461"/>
    <w:rsid w:val="17AE1C80"/>
    <w:rsid w:val="188852C3"/>
    <w:rsid w:val="18BF40C3"/>
    <w:rsid w:val="1A067ED3"/>
    <w:rsid w:val="1A2A2FF1"/>
    <w:rsid w:val="1AF23127"/>
    <w:rsid w:val="1B2F281E"/>
    <w:rsid w:val="1B3D2865"/>
    <w:rsid w:val="1B5F4030"/>
    <w:rsid w:val="1C116F3A"/>
    <w:rsid w:val="1C3004AF"/>
    <w:rsid w:val="1C54278B"/>
    <w:rsid w:val="1DDA70BC"/>
    <w:rsid w:val="1DDD77CC"/>
    <w:rsid w:val="1E1659E5"/>
    <w:rsid w:val="1E3657C9"/>
    <w:rsid w:val="1E505624"/>
    <w:rsid w:val="1EF7FB0D"/>
    <w:rsid w:val="1F6C3A43"/>
    <w:rsid w:val="1F6E177B"/>
    <w:rsid w:val="1F8D7E91"/>
    <w:rsid w:val="20662EC6"/>
    <w:rsid w:val="209C62EF"/>
    <w:rsid w:val="21611D4D"/>
    <w:rsid w:val="219A1506"/>
    <w:rsid w:val="223C6F32"/>
    <w:rsid w:val="22C71DEF"/>
    <w:rsid w:val="22D92474"/>
    <w:rsid w:val="235C18E4"/>
    <w:rsid w:val="23AB4005"/>
    <w:rsid w:val="23C4360A"/>
    <w:rsid w:val="249007F7"/>
    <w:rsid w:val="25E03162"/>
    <w:rsid w:val="2637003E"/>
    <w:rsid w:val="26C576AC"/>
    <w:rsid w:val="27B269C7"/>
    <w:rsid w:val="29503ED5"/>
    <w:rsid w:val="297845E0"/>
    <w:rsid w:val="29BE27DC"/>
    <w:rsid w:val="29D842C8"/>
    <w:rsid w:val="2A1E5490"/>
    <w:rsid w:val="2A63185F"/>
    <w:rsid w:val="2A7106A4"/>
    <w:rsid w:val="2AEB7B70"/>
    <w:rsid w:val="2B70076D"/>
    <w:rsid w:val="2BD616EC"/>
    <w:rsid w:val="2BF9091C"/>
    <w:rsid w:val="2D332A24"/>
    <w:rsid w:val="2D5BE597"/>
    <w:rsid w:val="2DB248CD"/>
    <w:rsid w:val="2DD26BEA"/>
    <w:rsid w:val="2F3A7F3B"/>
    <w:rsid w:val="2FE7E4B1"/>
    <w:rsid w:val="2FEE7472"/>
    <w:rsid w:val="30C34AD8"/>
    <w:rsid w:val="30FE437F"/>
    <w:rsid w:val="31314581"/>
    <w:rsid w:val="31514D8B"/>
    <w:rsid w:val="317B23A1"/>
    <w:rsid w:val="33DD26D3"/>
    <w:rsid w:val="34D364B2"/>
    <w:rsid w:val="355BDF68"/>
    <w:rsid w:val="35EC5759"/>
    <w:rsid w:val="36421BED"/>
    <w:rsid w:val="36846352"/>
    <w:rsid w:val="36DD6A0B"/>
    <w:rsid w:val="377D9C53"/>
    <w:rsid w:val="37B6BB89"/>
    <w:rsid w:val="381B27FE"/>
    <w:rsid w:val="38B8261C"/>
    <w:rsid w:val="38CD6ED0"/>
    <w:rsid w:val="38D33D94"/>
    <w:rsid w:val="390762B4"/>
    <w:rsid w:val="3940144F"/>
    <w:rsid w:val="3A5726AF"/>
    <w:rsid w:val="3A77E5CD"/>
    <w:rsid w:val="3B3F5374"/>
    <w:rsid w:val="3B5C2EC8"/>
    <w:rsid w:val="3BA566C9"/>
    <w:rsid w:val="3BE21884"/>
    <w:rsid w:val="3BE40F29"/>
    <w:rsid w:val="3BEF34C7"/>
    <w:rsid w:val="3BFE1F69"/>
    <w:rsid w:val="3CB7066A"/>
    <w:rsid w:val="3D1B55CA"/>
    <w:rsid w:val="3D2F534A"/>
    <w:rsid w:val="3D6DCE93"/>
    <w:rsid w:val="3DBE7C91"/>
    <w:rsid w:val="3E1EDCCD"/>
    <w:rsid w:val="3E9873F6"/>
    <w:rsid w:val="3EA42E21"/>
    <w:rsid w:val="3EAB55CA"/>
    <w:rsid w:val="3EB01F06"/>
    <w:rsid w:val="3EBBDDA7"/>
    <w:rsid w:val="3EFFFD37"/>
    <w:rsid w:val="3F4361F5"/>
    <w:rsid w:val="3F440405"/>
    <w:rsid w:val="3F6CD501"/>
    <w:rsid w:val="3F6FE8F8"/>
    <w:rsid w:val="3F8A6D84"/>
    <w:rsid w:val="3F9D4DED"/>
    <w:rsid w:val="3FBA01C5"/>
    <w:rsid w:val="3FBBE60C"/>
    <w:rsid w:val="3FD197FC"/>
    <w:rsid w:val="3FFD41B6"/>
    <w:rsid w:val="41570B91"/>
    <w:rsid w:val="41B853E2"/>
    <w:rsid w:val="41B854BA"/>
    <w:rsid w:val="41D7082C"/>
    <w:rsid w:val="428664BC"/>
    <w:rsid w:val="42C04F55"/>
    <w:rsid w:val="42DA14C0"/>
    <w:rsid w:val="43595F7C"/>
    <w:rsid w:val="43AF00A9"/>
    <w:rsid w:val="44B70B63"/>
    <w:rsid w:val="44CA460B"/>
    <w:rsid w:val="45BE9E07"/>
    <w:rsid w:val="45FBF5E0"/>
    <w:rsid w:val="46027C62"/>
    <w:rsid w:val="46BA414B"/>
    <w:rsid w:val="47380424"/>
    <w:rsid w:val="47EE792B"/>
    <w:rsid w:val="47FB7DAA"/>
    <w:rsid w:val="482B6283"/>
    <w:rsid w:val="48703EBB"/>
    <w:rsid w:val="49560077"/>
    <w:rsid w:val="4A0D449E"/>
    <w:rsid w:val="4A1602CD"/>
    <w:rsid w:val="4A3E296C"/>
    <w:rsid w:val="4AB541DA"/>
    <w:rsid w:val="4B3853B6"/>
    <w:rsid w:val="4B9962B2"/>
    <w:rsid w:val="4BE05DD5"/>
    <w:rsid w:val="4C1D6393"/>
    <w:rsid w:val="4CF55F71"/>
    <w:rsid w:val="4DE3B08E"/>
    <w:rsid w:val="4DE3D06E"/>
    <w:rsid w:val="4E79160D"/>
    <w:rsid w:val="4ED982FA"/>
    <w:rsid w:val="4F4669EE"/>
    <w:rsid w:val="4F830828"/>
    <w:rsid w:val="4F835A6C"/>
    <w:rsid w:val="4FDAB3D3"/>
    <w:rsid w:val="4FFE6BFA"/>
    <w:rsid w:val="501F0A03"/>
    <w:rsid w:val="502A78B4"/>
    <w:rsid w:val="510749D5"/>
    <w:rsid w:val="515B4FFB"/>
    <w:rsid w:val="530B7C66"/>
    <w:rsid w:val="534D2725"/>
    <w:rsid w:val="553B12E4"/>
    <w:rsid w:val="554712DC"/>
    <w:rsid w:val="55AB4FD8"/>
    <w:rsid w:val="55D57255"/>
    <w:rsid w:val="567B0820"/>
    <w:rsid w:val="5697709C"/>
    <w:rsid w:val="56FFB6AD"/>
    <w:rsid w:val="570B1B01"/>
    <w:rsid w:val="57342654"/>
    <w:rsid w:val="578CBCC8"/>
    <w:rsid w:val="579578F7"/>
    <w:rsid w:val="57FF89C9"/>
    <w:rsid w:val="58074243"/>
    <w:rsid w:val="58214780"/>
    <w:rsid w:val="58C44B36"/>
    <w:rsid w:val="58FF1FC6"/>
    <w:rsid w:val="596C4382"/>
    <w:rsid w:val="5994028E"/>
    <w:rsid w:val="59C22A5D"/>
    <w:rsid w:val="59DF7091"/>
    <w:rsid w:val="5A010F47"/>
    <w:rsid w:val="5A0A2ADD"/>
    <w:rsid w:val="5A266B75"/>
    <w:rsid w:val="5A707D74"/>
    <w:rsid w:val="5BF7FDFE"/>
    <w:rsid w:val="5C603110"/>
    <w:rsid w:val="5CA67A98"/>
    <w:rsid w:val="5CAB2DE7"/>
    <w:rsid w:val="5E3F1056"/>
    <w:rsid w:val="5E7FC910"/>
    <w:rsid w:val="5E8F0FA0"/>
    <w:rsid w:val="5EC63E60"/>
    <w:rsid w:val="5F0243FA"/>
    <w:rsid w:val="5F240D0F"/>
    <w:rsid w:val="5F3A050C"/>
    <w:rsid w:val="5F7F6CC8"/>
    <w:rsid w:val="5F83B103"/>
    <w:rsid w:val="5F9964D5"/>
    <w:rsid w:val="5F997A34"/>
    <w:rsid w:val="5FBF872E"/>
    <w:rsid w:val="5FC567EA"/>
    <w:rsid w:val="5FD246C0"/>
    <w:rsid w:val="5FDB754A"/>
    <w:rsid w:val="5FFFFBB5"/>
    <w:rsid w:val="600A055B"/>
    <w:rsid w:val="607B5D50"/>
    <w:rsid w:val="60AE1152"/>
    <w:rsid w:val="61E46E4D"/>
    <w:rsid w:val="61F24DAA"/>
    <w:rsid w:val="620A3CD1"/>
    <w:rsid w:val="62B10136"/>
    <w:rsid w:val="63041144"/>
    <w:rsid w:val="63A112BE"/>
    <w:rsid w:val="63ADC883"/>
    <w:rsid w:val="63FC4310"/>
    <w:rsid w:val="649213E7"/>
    <w:rsid w:val="64BBA23C"/>
    <w:rsid w:val="66023C55"/>
    <w:rsid w:val="67D76C2E"/>
    <w:rsid w:val="67FF0F2C"/>
    <w:rsid w:val="684C15C9"/>
    <w:rsid w:val="687E553A"/>
    <w:rsid w:val="688F305E"/>
    <w:rsid w:val="6894358F"/>
    <w:rsid w:val="69AF1BC2"/>
    <w:rsid w:val="69DC6C2A"/>
    <w:rsid w:val="69EF16AF"/>
    <w:rsid w:val="6A232066"/>
    <w:rsid w:val="6A9440CC"/>
    <w:rsid w:val="6ABA52BC"/>
    <w:rsid w:val="6B0E2F01"/>
    <w:rsid w:val="6C33298B"/>
    <w:rsid w:val="6C6B4D74"/>
    <w:rsid w:val="6C7B432A"/>
    <w:rsid w:val="6C9B6733"/>
    <w:rsid w:val="6CB7B3B8"/>
    <w:rsid w:val="6CFFD78F"/>
    <w:rsid w:val="6D553FE5"/>
    <w:rsid w:val="6D7B6FE9"/>
    <w:rsid w:val="6DA557E3"/>
    <w:rsid w:val="6DC57FEA"/>
    <w:rsid w:val="6DDD7130"/>
    <w:rsid w:val="6DE946F9"/>
    <w:rsid w:val="6DF38B31"/>
    <w:rsid w:val="6E3326AF"/>
    <w:rsid w:val="6E371423"/>
    <w:rsid w:val="6E5D1AB1"/>
    <w:rsid w:val="6E7AA874"/>
    <w:rsid w:val="6EFF3CE3"/>
    <w:rsid w:val="6F1815B6"/>
    <w:rsid w:val="6FAB8D28"/>
    <w:rsid w:val="6FAECC62"/>
    <w:rsid w:val="6FDB739C"/>
    <w:rsid w:val="6FEF7E0C"/>
    <w:rsid w:val="707C4063"/>
    <w:rsid w:val="70BFB712"/>
    <w:rsid w:val="70CC5DB8"/>
    <w:rsid w:val="7110241F"/>
    <w:rsid w:val="71CC01D7"/>
    <w:rsid w:val="71E36A2A"/>
    <w:rsid w:val="729E7E25"/>
    <w:rsid w:val="72DF6946"/>
    <w:rsid w:val="736B1B84"/>
    <w:rsid w:val="73794402"/>
    <w:rsid w:val="737ACFFA"/>
    <w:rsid w:val="73840550"/>
    <w:rsid w:val="75BFB56C"/>
    <w:rsid w:val="75D70B5E"/>
    <w:rsid w:val="75DD2F73"/>
    <w:rsid w:val="75FF67F2"/>
    <w:rsid w:val="76477669"/>
    <w:rsid w:val="76717602"/>
    <w:rsid w:val="76FB7C8D"/>
    <w:rsid w:val="775BDBD1"/>
    <w:rsid w:val="779D469A"/>
    <w:rsid w:val="77CB272A"/>
    <w:rsid w:val="77D26A54"/>
    <w:rsid w:val="77D742A4"/>
    <w:rsid w:val="77F63B21"/>
    <w:rsid w:val="77FEF0B1"/>
    <w:rsid w:val="77FF5C4E"/>
    <w:rsid w:val="78022DAD"/>
    <w:rsid w:val="783C4FE2"/>
    <w:rsid w:val="788D2B80"/>
    <w:rsid w:val="78C02EAC"/>
    <w:rsid w:val="78EB4DD1"/>
    <w:rsid w:val="794C2FA7"/>
    <w:rsid w:val="797F19EC"/>
    <w:rsid w:val="79E952B4"/>
    <w:rsid w:val="7A630F30"/>
    <w:rsid w:val="7A9C1B3E"/>
    <w:rsid w:val="7AE535A5"/>
    <w:rsid w:val="7AF342B1"/>
    <w:rsid w:val="7AFECF6D"/>
    <w:rsid w:val="7AFF974F"/>
    <w:rsid w:val="7BDFD8E3"/>
    <w:rsid w:val="7BFA35D4"/>
    <w:rsid w:val="7BFDBBDB"/>
    <w:rsid w:val="7BFF69DB"/>
    <w:rsid w:val="7CDBDB24"/>
    <w:rsid w:val="7CFA6C23"/>
    <w:rsid w:val="7CFF133C"/>
    <w:rsid w:val="7D0C7948"/>
    <w:rsid w:val="7D6104CC"/>
    <w:rsid w:val="7D89EB27"/>
    <w:rsid w:val="7DB952B6"/>
    <w:rsid w:val="7DBBC712"/>
    <w:rsid w:val="7DBD7FAA"/>
    <w:rsid w:val="7DDD7DD2"/>
    <w:rsid w:val="7E1519A6"/>
    <w:rsid w:val="7E86788B"/>
    <w:rsid w:val="7EB730DE"/>
    <w:rsid w:val="7EBD12A5"/>
    <w:rsid w:val="7ED7AA2D"/>
    <w:rsid w:val="7EDF7B89"/>
    <w:rsid w:val="7EEF0B3D"/>
    <w:rsid w:val="7EFF60B5"/>
    <w:rsid w:val="7EFF7207"/>
    <w:rsid w:val="7F173E9C"/>
    <w:rsid w:val="7F181F08"/>
    <w:rsid w:val="7F1D6957"/>
    <w:rsid w:val="7F2D9976"/>
    <w:rsid w:val="7F3E6ED5"/>
    <w:rsid w:val="7F462FFB"/>
    <w:rsid w:val="7F6FE852"/>
    <w:rsid w:val="7FBF69AF"/>
    <w:rsid w:val="7FF5FE6F"/>
    <w:rsid w:val="7FF62DE0"/>
    <w:rsid w:val="7FFB6DFA"/>
    <w:rsid w:val="7FFE5039"/>
    <w:rsid w:val="7FFE79E7"/>
    <w:rsid w:val="8F3E1E94"/>
    <w:rsid w:val="9327B6A3"/>
    <w:rsid w:val="93460557"/>
    <w:rsid w:val="96FDFF20"/>
    <w:rsid w:val="9D9DE210"/>
    <w:rsid w:val="9DFEBF23"/>
    <w:rsid w:val="A5F706BE"/>
    <w:rsid w:val="AD3C1BD2"/>
    <w:rsid w:val="ADBF6744"/>
    <w:rsid w:val="ADFE6DE8"/>
    <w:rsid w:val="AF7EA5B7"/>
    <w:rsid w:val="AFBFFDB5"/>
    <w:rsid w:val="B3ABEA46"/>
    <w:rsid w:val="B3E1CDDD"/>
    <w:rsid w:val="B6D7D20E"/>
    <w:rsid w:val="B7CE2A47"/>
    <w:rsid w:val="B7EF975A"/>
    <w:rsid w:val="B7FB3242"/>
    <w:rsid w:val="B8BFA634"/>
    <w:rsid w:val="B9D961D0"/>
    <w:rsid w:val="BA36D05D"/>
    <w:rsid w:val="BABF0F45"/>
    <w:rsid w:val="BD393CC8"/>
    <w:rsid w:val="BDBD987B"/>
    <w:rsid w:val="BFBD664A"/>
    <w:rsid w:val="BFC76A11"/>
    <w:rsid w:val="BFEFD13C"/>
    <w:rsid w:val="C5EDE48C"/>
    <w:rsid w:val="CEDB2757"/>
    <w:rsid w:val="CFD76E04"/>
    <w:rsid w:val="CFE5DFFE"/>
    <w:rsid w:val="CFFFD1DC"/>
    <w:rsid w:val="D5E7B8AD"/>
    <w:rsid w:val="D6FD5F60"/>
    <w:rsid w:val="D7BFD26F"/>
    <w:rsid w:val="D7EBE723"/>
    <w:rsid w:val="D9FFE9DD"/>
    <w:rsid w:val="DB4D237C"/>
    <w:rsid w:val="DB7AB8DD"/>
    <w:rsid w:val="DD7FF473"/>
    <w:rsid w:val="DDFBDEF0"/>
    <w:rsid w:val="DFCF32BF"/>
    <w:rsid w:val="DFEF2313"/>
    <w:rsid w:val="DFFB5E96"/>
    <w:rsid w:val="DFFEFA7E"/>
    <w:rsid w:val="DFFF74E2"/>
    <w:rsid w:val="E7BF68E2"/>
    <w:rsid w:val="E7C4EA37"/>
    <w:rsid w:val="E8FF966B"/>
    <w:rsid w:val="EA36169A"/>
    <w:rsid w:val="EB9F79EC"/>
    <w:rsid w:val="EBDF84F3"/>
    <w:rsid w:val="EBFB2BD9"/>
    <w:rsid w:val="EBFD7A01"/>
    <w:rsid w:val="EDEFDFF5"/>
    <w:rsid w:val="EEB9B04A"/>
    <w:rsid w:val="EF28C81D"/>
    <w:rsid w:val="EF60DC72"/>
    <w:rsid w:val="EF7FD878"/>
    <w:rsid w:val="EF9771F2"/>
    <w:rsid w:val="EFBD1902"/>
    <w:rsid w:val="EFBD6897"/>
    <w:rsid w:val="EFBEECA3"/>
    <w:rsid w:val="EFD20BEC"/>
    <w:rsid w:val="EFDEDDB4"/>
    <w:rsid w:val="EFF7E670"/>
    <w:rsid w:val="EFFDD1FE"/>
    <w:rsid w:val="EFFF0A9C"/>
    <w:rsid w:val="EFFF0A9D"/>
    <w:rsid w:val="EFFFEDCC"/>
    <w:rsid w:val="F45EEB44"/>
    <w:rsid w:val="F4B6B2B6"/>
    <w:rsid w:val="F55FE4D9"/>
    <w:rsid w:val="F5DE8B7D"/>
    <w:rsid w:val="F79F474A"/>
    <w:rsid w:val="F82F0B6E"/>
    <w:rsid w:val="F83DB4C9"/>
    <w:rsid w:val="F8BC5426"/>
    <w:rsid w:val="F954EE08"/>
    <w:rsid w:val="F9DDC9FF"/>
    <w:rsid w:val="FA339D96"/>
    <w:rsid w:val="FAFFC76B"/>
    <w:rsid w:val="FB6B028F"/>
    <w:rsid w:val="FB7D51A3"/>
    <w:rsid w:val="FBDBC1D2"/>
    <w:rsid w:val="FBDF4D3C"/>
    <w:rsid w:val="FCFDB700"/>
    <w:rsid w:val="FD67D24D"/>
    <w:rsid w:val="FD7CA95B"/>
    <w:rsid w:val="FDFF788E"/>
    <w:rsid w:val="FEAE8BD7"/>
    <w:rsid w:val="FECE8FF0"/>
    <w:rsid w:val="FEEF1EF9"/>
    <w:rsid w:val="FEFEE7B4"/>
    <w:rsid w:val="FEFF18E2"/>
    <w:rsid w:val="FF4B58F7"/>
    <w:rsid w:val="FF5F4230"/>
    <w:rsid w:val="FF6A911C"/>
    <w:rsid w:val="FF7B27CB"/>
    <w:rsid w:val="FF7D19F0"/>
    <w:rsid w:val="FFCC0302"/>
    <w:rsid w:val="FFCF9371"/>
    <w:rsid w:val="FFD93CC0"/>
    <w:rsid w:val="FFDB88BF"/>
    <w:rsid w:val="FFF5030F"/>
    <w:rsid w:val="FFF51EAB"/>
    <w:rsid w:val="FFF6F952"/>
    <w:rsid w:val="FFF7D425"/>
    <w:rsid w:val="FFFBF28B"/>
    <w:rsid w:val="FFFCB84D"/>
    <w:rsid w:val="FFFD8623"/>
    <w:rsid w:val="FFFD9F22"/>
    <w:rsid w:val="FFFF04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heme="minorHAnsi" w:hAnsiTheme="minorHAnsi" w:eastAsiaTheme="minorEastAsia" w:cstheme="minorBidi"/>
      <w:sz w:val="22"/>
      <w:szCs w:val="22"/>
    </w:rPr>
  </w:style>
  <w:style w:type="paragraph" w:styleId="2">
    <w:name w:val="heading 1"/>
    <w:basedOn w:val="3"/>
    <w:next w:val="1"/>
    <w:qFormat/>
    <w:uiPriority w:val="9"/>
    <w:pPr>
      <w:keepNext/>
      <w:keepLines/>
      <w:spacing w:before="340" w:after="330" w:line="578" w:lineRule="auto"/>
      <w:outlineLvl w:val="0"/>
    </w:pPr>
    <w:rPr>
      <w:kern w:val="44"/>
      <w:sz w:val="44"/>
      <w:szCs w:val="4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Title"/>
    <w:basedOn w:val="1"/>
    <w:next w:val="1"/>
    <w:qFormat/>
    <w:uiPriority w:val="10"/>
    <w:pPr>
      <w:spacing w:before="240" w:after="60"/>
      <w:jc w:val="center"/>
      <w:outlineLvl w:val="0"/>
    </w:pPr>
    <w:rPr>
      <w:rFonts w:ascii="Arial" w:hAnsi="Arial" w:cs="Arial"/>
      <w:b/>
      <w:bCs/>
    </w:rPr>
  </w:style>
  <w:style w:type="paragraph" w:styleId="4">
    <w:name w:val="Body Text"/>
    <w:basedOn w:val="1"/>
    <w:qFormat/>
    <w:uiPriority w:val="1"/>
    <w:rPr>
      <w:rFonts w:ascii="宋体" w:hAnsi="宋体" w:eastAsia="宋体" w:cs="宋体"/>
      <w:sz w:val="30"/>
      <w:szCs w:val="30"/>
      <w:lang w:val="zh-CN" w:eastAsia="zh-CN" w:bidi="zh-CN"/>
    </w:rPr>
  </w:style>
  <w:style w:type="paragraph" w:styleId="5">
    <w:name w:val="Body Text Indent 2"/>
    <w:basedOn w:val="1"/>
    <w:qFormat/>
    <w:uiPriority w:val="0"/>
    <w:pPr>
      <w:snapToGrid w:val="0"/>
      <w:spacing w:line="360" w:lineRule="auto"/>
      <w:ind w:firstLine="630"/>
    </w:pPr>
    <w:rPr>
      <w:rFonts w:ascii="Times New Roman" w:hAnsi="Times New Roman" w:eastAsia="仿宋_GB2312"/>
      <w:sz w:val="32"/>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Body Text First Indent"/>
    <w:basedOn w:val="4"/>
    <w:qFormat/>
    <w:uiPriority w:val="0"/>
    <w:pPr>
      <w:ind w:firstLine="420" w:firstLineChars="100"/>
    </w:pPr>
  </w:style>
  <w:style w:type="paragraph" w:customStyle="1" w:styleId="13">
    <w:name w:val="Default"/>
    <w:next w:val="1"/>
    <w:qFormat/>
    <w:uiPriority w:val="0"/>
    <w:pPr>
      <w:widowControl w:val="0"/>
      <w:autoSpaceDE w:val="0"/>
      <w:autoSpaceDN w:val="0"/>
      <w:adjustRightInd w:val="0"/>
    </w:pPr>
    <w:rPr>
      <w:rFonts w:ascii="方正仿宋_GBK" w:hAnsi="Calibri" w:eastAsia="方正仿宋_GBK" w:cs="方正仿宋_GBK"/>
      <w:color w:val="000000"/>
      <w:sz w:val="24"/>
      <w:szCs w:val="24"/>
      <w:lang w:val="en-US" w:eastAsia="zh-CN" w:bidi="ar-SA"/>
    </w:rPr>
  </w:style>
  <w:style w:type="paragraph" w:customStyle="1" w:styleId="14">
    <w:name w:val="Heading #2|1"/>
    <w:basedOn w:val="1"/>
    <w:qFormat/>
    <w:uiPriority w:val="0"/>
    <w:pPr>
      <w:widowControl w:val="0"/>
      <w:shd w:val="clear" w:color="auto" w:fill="auto"/>
      <w:spacing w:after="400" w:line="634" w:lineRule="exact"/>
      <w:jc w:val="center"/>
      <w:outlineLvl w:val="1"/>
    </w:pPr>
    <w:rPr>
      <w:rFonts w:ascii="宋体" w:hAnsi="宋体" w:eastAsia="宋体" w:cs="宋体"/>
      <w:sz w:val="44"/>
      <w:szCs w:val="44"/>
      <w:u w:val="none"/>
      <w:shd w:val="clear" w:color="auto" w:fill="auto"/>
      <w:lang w:val="zh-TW" w:eastAsia="zh-TW" w:bidi="zh-TW"/>
    </w:rPr>
  </w:style>
  <w:style w:type="paragraph" w:customStyle="1" w:styleId="15">
    <w:name w:val="Body text|1"/>
    <w:basedOn w:val="1"/>
    <w:qFormat/>
    <w:uiPriority w:val="0"/>
    <w:pPr>
      <w:widowControl w:val="0"/>
      <w:shd w:val="clear" w:color="auto" w:fill="auto"/>
      <w:spacing w:line="389" w:lineRule="auto"/>
      <w:ind w:firstLine="10"/>
    </w:pPr>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昆明市五华区党政机关单位</Company>
  <Pages>14</Pages>
  <Words>6301</Words>
  <Characters>6768</Characters>
  <Lines>0</Lines>
  <Paragraphs>0</Paragraphs>
  <TotalTime>18</TotalTime>
  <ScaleCrop>false</ScaleCrop>
  <LinksUpToDate>false</LinksUpToDate>
  <CharactersWithSpaces>6769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2021-02-23T05:27:00Z</dcterms:created>
  <dc:creator>旁观者</dc:creator>
  <cp:lastModifiedBy>春風~~say bye again~</cp:lastModifiedBy>
  <cp:lastPrinted>2024-05-30T09:45:00Z</cp:lastPrinted>
  <dcterms:modified xsi:type="dcterms:W3CDTF">2024-08-20T04:41:25Z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3D4ABD9C6A4B668CC8195A64C898C0BF_42</vt:lpwstr>
  </property>
</Properties>
</file>