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CE713">
      <w:pPr>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color w:val="auto"/>
          <w:kern w:val="2"/>
          <w:sz w:val="44"/>
          <w:szCs w:val="44"/>
          <w:lang w:val="en-US" w:eastAsia="zh-CN" w:bidi="ar-SA"/>
        </w:rPr>
      </w:pPr>
    </w:p>
    <w:p w14:paraId="3BA7E187">
      <w:pPr>
        <w:keepNext w:val="0"/>
        <w:keepLines w:val="0"/>
        <w:pageBreakBefore w:val="0"/>
        <w:widowControl w:val="0"/>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_GBK" w:cs="Times New Roman"/>
          <w:color w:val="auto"/>
          <w:kern w:val="2"/>
          <w:sz w:val="44"/>
          <w:szCs w:val="44"/>
          <w:lang w:val="en-US" w:eastAsia="zh-CN" w:bidi="ar-SA"/>
        </w:rPr>
      </w:pPr>
      <w:r>
        <w:rPr>
          <w:rFonts w:hint="default" w:ascii="Times New Roman" w:hAnsi="Times New Roman" w:eastAsia="方正小标宋_GBK" w:cs="Times New Roman"/>
          <w:color w:val="auto"/>
          <w:kern w:val="2"/>
          <w:sz w:val="44"/>
          <w:szCs w:val="44"/>
          <w:lang w:val="en-US" w:eastAsia="zh-CN" w:bidi="ar-SA"/>
        </w:rPr>
        <w:t>昆明市五华区发展和改革局</w:t>
      </w:r>
    </w:p>
    <w:p w14:paraId="632E5DAB">
      <w:pPr>
        <w:keepNext w:val="0"/>
        <w:keepLines w:val="0"/>
        <w:pageBreakBefore w:val="0"/>
        <w:widowControl w:val="0"/>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_GBK" w:cs="Times New Roman"/>
          <w:color w:val="auto"/>
          <w:kern w:val="2"/>
          <w:sz w:val="44"/>
          <w:szCs w:val="44"/>
          <w:lang w:val="en-US" w:eastAsia="zh-CN" w:bidi="ar-SA"/>
        </w:rPr>
      </w:pPr>
      <w:r>
        <w:rPr>
          <w:rFonts w:hint="default" w:ascii="Times New Roman" w:hAnsi="Times New Roman" w:eastAsia="方正小标宋_GBK" w:cs="Times New Roman"/>
          <w:color w:val="auto"/>
          <w:kern w:val="2"/>
          <w:sz w:val="44"/>
          <w:szCs w:val="44"/>
          <w:lang w:val="en-US" w:eastAsia="zh-CN" w:bidi="ar-SA"/>
        </w:rPr>
        <w:t>2023年度财政支出绩效自评工作情况报告</w:t>
      </w:r>
    </w:p>
    <w:p w14:paraId="127F33B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lang w:val="en-US" w:eastAsia="zh-CN"/>
        </w:rPr>
      </w:pPr>
      <w:bookmarkStart w:id="0" w:name="_GoBack"/>
      <w:bookmarkEnd w:id="0"/>
    </w:p>
    <w:p w14:paraId="4F853CA2">
      <w:pPr>
        <w:keepNext w:val="0"/>
        <w:keepLines w:val="0"/>
        <w:pageBreakBefore w:val="0"/>
        <w:widowControl/>
        <w:kinsoku/>
        <w:overflowPunct/>
        <w:topLinePunct w:val="0"/>
        <w:autoSpaceDE/>
        <w:autoSpaceDN/>
        <w:bidi w:val="0"/>
        <w:adjustRightInd w:val="0"/>
        <w:snapToGrid w:val="0"/>
        <w:spacing w:line="560" w:lineRule="exact"/>
        <w:ind w:firstLine="632" w:firstLineChars="200"/>
        <w:jc w:val="left"/>
        <w:textAlignment w:val="auto"/>
        <w:rPr>
          <w:rFonts w:hint="default" w:ascii="Times New Roman" w:hAnsi="Times New Roman" w:cs="Times New Roman"/>
          <w:color w:val="000000"/>
          <w:kern w:val="0"/>
        </w:rPr>
      </w:pPr>
      <w:r>
        <w:rPr>
          <w:rFonts w:hint="default" w:ascii="Times New Roman" w:hAnsi="Times New Roman" w:cs="Times New Roman"/>
          <w:color w:val="000000"/>
          <w:kern w:val="0"/>
          <w:lang w:eastAsia="zh-CN"/>
        </w:rPr>
        <w:t>为认真贯彻落实党中央国务院、省市区党委政府关于全面实施预算绩效</w:t>
      </w:r>
      <w:r>
        <w:rPr>
          <w:rFonts w:hint="default" w:ascii="Times New Roman" w:hAnsi="Times New Roman" w:cs="Times New Roman"/>
          <w:color w:val="000000"/>
          <w:kern w:val="0"/>
          <w:lang w:val="en-US" w:eastAsia="zh-CN"/>
        </w:rPr>
        <w:t>管理的决策部署，健全绩效管理常态化机制，切实增强支出绩效意识，提高财政性资金使用效益，根据</w:t>
      </w:r>
      <w:r>
        <w:rPr>
          <w:rFonts w:hint="default" w:ascii="Times New Roman" w:hAnsi="Times New Roman" w:cs="Times New Roman"/>
          <w:color w:val="000000"/>
          <w:kern w:val="0"/>
          <w:lang w:eastAsia="zh-CN"/>
        </w:rPr>
        <w:t>《云南省财政厅关于印发〈</w:t>
      </w:r>
      <w:r>
        <w:rPr>
          <w:rFonts w:hint="default" w:ascii="Times New Roman" w:hAnsi="Times New Roman" w:cs="Times New Roman"/>
          <w:color w:val="000000"/>
          <w:kern w:val="0"/>
          <w:lang w:val="en-US" w:eastAsia="zh-CN"/>
        </w:rPr>
        <w:t>云南省项目支出绩效评价管理办法〉的通知</w:t>
      </w:r>
      <w:r>
        <w:rPr>
          <w:rFonts w:hint="default" w:ascii="Times New Roman" w:hAnsi="Times New Roman" w:cs="Times New Roman"/>
          <w:color w:val="000000"/>
          <w:kern w:val="0"/>
          <w:lang w:eastAsia="zh-CN"/>
        </w:rPr>
        <w:t>》（</w:t>
      </w:r>
      <w:r>
        <w:rPr>
          <w:rFonts w:hint="default" w:ascii="Times New Roman" w:hAnsi="Times New Roman" w:cs="Times New Roman"/>
          <w:color w:val="000000"/>
          <w:kern w:val="0"/>
        </w:rPr>
        <w:t>云</w:t>
      </w:r>
      <w:r>
        <w:rPr>
          <w:rFonts w:hint="default" w:ascii="Times New Roman" w:hAnsi="Times New Roman" w:cs="Times New Roman"/>
          <w:color w:val="000000"/>
          <w:kern w:val="0"/>
          <w:lang w:eastAsia="zh-CN"/>
        </w:rPr>
        <w:t>财绩</w:t>
      </w:r>
      <w:r>
        <w:rPr>
          <w:rFonts w:hint="default" w:ascii="Times New Roman" w:hAnsi="Times New Roman" w:cs="Times New Roman"/>
          <w:color w:val="000000"/>
          <w:kern w:val="0"/>
        </w:rPr>
        <w:t>〔20</w:t>
      </w:r>
      <w:r>
        <w:rPr>
          <w:rFonts w:hint="default" w:ascii="Times New Roman" w:hAnsi="Times New Roman" w:cs="Times New Roman"/>
          <w:color w:val="000000"/>
          <w:kern w:val="0"/>
          <w:lang w:val="en-US" w:eastAsia="zh-CN"/>
        </w:rPr>
        <w:t>20</w:t>
      </w:r>
      <w:r>
        <w:rPr>
          <w:rFonts w:hint="default" w:ascii="Times New Roman" w:hAnsi="Times New Roman" w:cs="Times New Roman"/>
          <w:color w:val="000000"/>
          <w:kern w:val="0"/>
        </w:rPr>
        <w:t>〕11号</w:t>
      </w:r>
      <w:r>
        <w:rPr>
          <w:rFonts w:hint="default" w:ascii="Times New Roman" w:hAnsi="Times New Roman" w:cs="Times New Roman"/>
          <w:color w:val="000000"/>
          <w:kern w:val="0"/>
          <w:lang w:eastAsia="zh-CN"/>
        </w:rPr>
        <w:t>）、</w:t>
      </w:r>
      <w:r>
        <w:rPr>
          <w:rFonts w:hint="default" w:ascii="Times New Roman" w:hAnsi="Times New Roman" w:cs="Times New Roman"/>
          <w:color w:val="000000"/>
          <w:kern w:val="0"/>
        </w:rPr>
        <w:t>《五华区预算绩效自评管理暂行办法》（五财〔2019〕</w:t>
      </w:r>
      <w:r>
        <w:rPr>
          <w:rFonts w:hint="default" w:ascii="Times New Roman" w:hAnsi="Times New Roman" w:cs="Times New Roman"/>
          <w:color w:val="000000"/>
          <w:kern w:val="0"/>
          <w:lang w:val="en-US" w:eastAsia="zh-CN"/>
        </w:rPr>
        <w:t>51</w:t>
      </w:r>
      <w:r>
        <w:rPr>
          <w:rFonts w:hint="default" w:ascii="Times New Roman" w:hAnsi="Times New Roman" w:cs="Times New Roman"/>
          <w:color w:val="000000"/>
          <w:kern w:val="0"/>
          <w:lang w:eastAsia="zh-CN"/>
        </w:rPr>
        <w:t>号）等文件精神以及《五华区财政局关于开展2023年度财政支出绩效自评工作的通知》</w:t>
      </w:r>
      <w:r>
        <w:rPr>
          <w:rFonts w:hint="default" w:ascii="Times New Roman" w:hAnsi="Times New Roman" w:cs="Times New Roman"/>
          <w:color w:val="000000"/>
          <w:kern w:val="0"/>
        </w:rPr>
        <w:t>（五财〔20</w:t>
      </w:r>
      <w:r>
        <w:rPr>
          <w:rFonts w:hint="default" w:ascii="Times New Roman" w:hAnsi="Times New Roman" w:cs="Times New Roman"/>
          <w:color w:val="000000"/>
          <w:kern w:val="0"/>
          <w:lang w:val="en-US" w:eastAsia="zh-CN"/>
        </w:rPr>
        <w:t>24</w:t>
      </w:r>
      <w:r>
        <w:rPr>
          <w:rFonts w:hint="default" w:ascii="Times New Roman" w:hAnsi="Times New Roman" w:cs="Times New Roman"/>
          <w:color w:val="000000"/>
          <w:kern w:val="0"/>
        </w:rPr>
        <w:t>〕</w:t>
      </w:r>
      <w:r>
        <w:rPr>
          <w:rFonts w:hint="default" w:ascii="Times New Roman" w:hAnsi="Times New Roman" w:cs="Times New Roman"/>
          <w:color w:val="000000"/>
          <w:kern w:val="0"/>
          <w:lang w:eastAsia="zh-CN"/>
        </w:rPr>
        <w:t>号）要求，</w:t>
      </w:r>
      <w:r>
        <w:rPr>
          <w:rFonts w:hint="default" w:ascii="Times New Roman" w:hAnsi="Times New Roman" w:cs="Times New Roman"/>
          <w:color w:val="000000"/>
          <w:kern w:val="0"/>
          <w:lang w:val="en-US" w:eastAsia="zh-CN"/>
        </w:rPr>
        <w:t>区发改局高度重视、精心部署、积极组织，认真开展了2023年度部门整体支出和项目支出绩效自评工作。现将有关情况报告如下：</w:t>
      </w:r>
    </w:p>
    <w:p w14:paraId="0CD95603">
      <w:pPr>
        <w:keepNext w:val="0"/>
        <w:keepLines w:val="0"/>
        <w:pageBreakBefore w:val="0"/>
        <w:widowControl/>
        <w:kinsoku/>
        <w:overflowPunct/>
        <w:topLinePunct w:val="0"/>
        <w:autoSpaceDE/>
        <w:autoSpaceDN/>
        <w:bidi w:val="0"/>
        <w:adjustRightInd w:val="0"/>
        <w:snapToGrid w:val="0"/>
        <w:spacing w:line="560" w:lineRule="exact"/>
        <w:ind w:firstLine="632" w:firstLineChars="200"/>
        <w:jc w:val="left"/>
        <w:textAlignment w:val="auto"/>
        <w:rPr>
          <w:rFonts w:hint="default" w:ascii="Times New Roman" w:hAnsi="Times New Roman" w:eastAsia="黑体" w:cs="Times New Roman"/>
          <w:b w:val="0"/>
          <w:bCs w:val="0"/>
          <w:color w:val="000000"/>
          <w:kern w:val="0"/>
        </w:rPr>
      </w:pPr>
      <w:r>
        <w:rPr>
          <w:rFonts w:hint="default" w:ascii="Times New Roman" w:hAnsi="Times New Roman" w:eastAsia="黑体" w:cs="Times New Roman"/>
          <w:b w:val="0"/>
          <w:bCs w:val="0"/>
          <w:color w:val="000000"/>
          <w:kern w:val="0"/>
        </w:rPr>
        <w:t>一、工作情况</w:t>
      </w:r>
    </w:p>
    <w:p w14:paraId="1625D65A">
      <w:pPr>
        <w:keepNext w:val="0"/>
        <w:keepLines w:val="0"/>
        <w:pageBreakBefore w:val="0"/>
        <w:widowControl/>
        <w:kinsoku/>
        <w:overflowPunct/>
        <w:topLinePunct w:val="0"/>
        <w:autoSpaceDE/>
        <w:autoSpaceDN/>
        <w:bidi w:val="0"/>
        <w:adjustRightInd w:val="0"/>
        <w:snapToGrid w:val="0"/>
        <w:spacing w:line="560" w:lineRule="exact"/>
        <w:ind w:firstLine="632" w:firstLineChars="200"/>
        <w:jc w:val="left"/>
        <w:textAlignment w:val="auto"/>
        <w:rPr>
          <w:rFonts w:hint="default" w:ascii="Times New Roman" w:hAnsi="Times New Roman" w:eastAsia="楷体_GB2312" w:cs="Times New Roman"/>
          <w:b w:val="0"/>
          <w:bCs w:val="0"/>
          <w:color w:val="000000"/>
          <w:kern w:val="0"/>
        </w:rPr>
      </w:pPr>
      <w:r>
        <w:rPr>
          <w:rFonts w:hint="default" w:ascii="Times New Roman" w:hAnsi="Times New Roman" w:eastAsia="楷体_GB2312" w:cs="Times New Roman"/>
          <w:b w:val="0"/>
          <w:bCs w:val="0"/>
          <w:color w:val="000000"/>
          <w:kern w:val="0"/>
        </w:rPr>
        <w:t>（一）绩效</w:t>
      </w:r>
      <w:r>
        <w:rPr>
          <w:rFonts w:hint="default" w:ascii="Times New Roman" w:hAnsi="Times New Roman" w:eastAsia="楷体_GB2312" w:cs="Times New Roman"/>
          <w:b w:val="0"/>
          <w:bCs w:val="0"/>
          <w:color w:val="000000"/>
          <w:kern w:val="0"/>
          <w:lang w:eastAsia="zh-CN"/>
        </w:rPr>
        <w:t>自评</w:t>
      </w:r>
      <w:r>
        <w:rPr>
          <w:rFonts w:hint="default" w:ascii="Times New Roman" w:hAnsi="Times New Roman" w:eastAsia="楷体_GB2312" w:cs="Times New Roman"/>
          <w:b w:val="0"/>
          <w:bCs w:val="0"/>
          <w:color w:val="000000"/>
          <w:kern w:val="0"/>
        </w:rPr>
        <w:t>工作开展情况</w:t>
      </w:r>
    </w:p>
    <w:p w14:paraId="17522888">
      <w:pPr>
        <w:keepNext w:val="0"/>
        <w:keepLines w:val="0"/>
        <w:pageBreakBefore w:val="0"/>
        <w:widowControl/>
        <w:kinsoku/>
        <w:overflowPunct/>
        <w:topLinePunct w:val="0"/>
        <w:autoSpaceDE/>
        <w:autoSpaceDN/>
        <w:bidi w:val="0"/>
        <w:adjustRightInd w:val="0"/>
        <w:snapToGrid w:val="0"/>
        <w:spacing w:line="560" w:lineRule="exact"/>
        <w:ind w:firstLine="632" w:firstLineChars="200"/>
        <w:jc w:val="left"/>
        <w:textAlignment w:val="auto"/>
        <w:rPr>
          <w:rFonts w:hint="default" w:ascii="Times New Roman" w:hAnsi="Times New Roman" w:cs="Times New Roman"/>
          <w:color w:val="000000"/>
          <w:kern w:val="0"/>
          <w:lang w:eastAsia="zh-CN"/>
        </w:rPr>
      </w:pPr>
      <w:r>
        <w:rPr>
          <w:rFonts w:hint="default" w:ascii="Times New Roman" w:hAnsi="Times New Roman" w:cs="Times New Roman"/>
          <w:color w:val="000000"/>
          <w:kern w:val="0"/>
          <w:lang w:eastAsia="zh-CN"/>
        </w:rPr>
        <w:t>根据《五华区财政局关于开展2023年度财政支出绩效自评工作的通知》（五财〔2024〕10号）文件要求，</w:t>
      </w:r>
      <w:r>
        <w:rPr>
          <w:rFonts w:hint="default" w:ascii="Times New Roman" w:hAnsi="Times New Roman" w:cs="Times New Roman"/>
          <w:color w:val="000000"/>
          <w:kern w:val="0"/>
          <w:lang w:val="en-US" w:eastAsia="zh-CN"/>
        </w:rPr>
        <w:t>区发改局进一步深化思想认识，以绩效自评为契机，检视2023年度财政预算资金使用效益，反思总结重点工作任务完成情况。为确保本次财政支出绩效自评工作有序推进，区发改局成立了</w:t>
      </w:r>
      <w:r>
        <w:rPr>
          <w:rFonts w:hint="default" w:ascii="Times New Roman" w:hAnsi="Times New Roman" w:cs="Times New Roman"/>
          <w:color w:val="000000"/>
          <w:kern w:val="0"/>
          <w:lang w:eastAsia="zh-CN"/>
        </w:rPr>
        <w:t>绩效自评工作组，形成主要领导全面统筹、分管领导具体负责、局办公室牵头实施、各业务科室协调配合的工作机制，努力做到基础工作扎实、操作程序规范、数据内容真实完整、评价方法科学合理、评价结果客观准确。</w:t>
      </w:r>
    </w:p>
    <w:p w14:paraId="4AA6CBD2">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jc w:val="left"/>
        <w:textAlignment w:val="auto"/>
        <w:rPr>
          <w:rFonts w:hint="default" w:ascii="Times New Roman" w:hAnsi="Times New Roman" w:eastAsia="楷体_GB2312" w:cs="Times New Roman"/>
          <w:b/>
          <w:bCs/>
          <w:color w:val="000000"/>
          <w:kern w:val="0"/>
        </w:rPr>
      </w:pPr>
      <w:r>
        <w:rPr>
          <w:rFonts w:hint="default" w:ascii="Times New Roman" w:hAnsi="Times New Roman" w:eastAsia="楷体_GB2312" w:cs="Times New Roman"/>
          <w:b w:val="0"/>
          <w:bCs w:val="0"/>
          <w:color w:val="000000"/>
          <w:kern w:val="0"/>
        </w:rPr>
        <w:t>（二）绩效</w:t>
      </w:r>
      <w:r>
        <w:rPr>
          <w:rFonts w:hint="default" w:ascii="Times New Roman" w:hAnsi="Times New Roman" w:eastAsia="楷体_GB2312" w:cs="Times New Roman"/>
          <w:b w:val="0"/>
          <w:bCs w:val="0"/>
          <w:color w:val="000000"/>
          <w:kern w:val="0"/>
          <w:lang w:eastAsia="zh-CN"/>
        </w:rPr>
        <w:t>自评</w:t>
      </w:r>
      <w:r>
        <w:rPr>
          <w:rFonts w:hint="default" w:ascii="Times New Roman" w:hAnsi="Times New Roman" w:eastAsia="楷体_GB2312" w:cs="Times New Roman"/>
          <w:b w:val="0"/>
          <w:bCs w:val="0"/>
          <w:color w:val="000000"/>
          <w:kern w:val="0"/>
        </w:rPr>
        <w:t>总体概况</w:t>
      </w:r>
    </w:p>
    <w:p w14:paraId="0E65E846">
      <w:pPr>
        <w:keepNext w:val="0"/>
        <w:keepLines w:val="0"/>
        <w:pageBreakBefore w:val="0"/>
        <w:widowControl/>
        <w:kinsoku/>
        <w:overflowPunct/>
        <w:topLinePunct w:val="0"/>
        <w:autoSpaceDE/>
        <w:autoSpaceDN/>
        <w:bidi w:val="0"/>
        <w:adjustRightInd w:val="0"/>
        <w:snapToGrid w:val="0"/>
        <w:spacing w:line="560" w:lineRule="exact"/>
        <w:ind w:firstLine="632" w:firstLineChars="200"/>
        <w:jc w:val="left"/>
        <w:textAlignment w:val="auto"/>
        <w:rPr>
          <w:rFonts w:hint="default" w:ascii="Times New Roman" w:hAnsi="Times New Roman" w:cs="Times New Roman"/>
          <w:color w:val="000000"/>
          <w:kern w:val="0"/>
          <w:lang w:val="en-US" w:eastAsia="zh-CN"/>
        </w:rPr>
      </w:pPr>
      <w:r>
        <w:rPr>
          <w:rFonts w:hint="default" w:ascii="Times New Roman" w:hAnsi="Times New Roman" w:cs="Times New Roman"/>
          <w:b/>
          <w:bCs/>
          <w:color w:val="000000"/>
          <w:kern w:val="0"/>
          <w:lang w:val="en-US" w:eastAsia="zh-CN"/>
        </w:rPr>
        <w:t>1.部门整体支出自评概况</w:t>
      </w:r>
    </w:p>
    <w:p w14:paraId="3D81456B">
      <w:pPr>
        <w:keepNext w:val="0"/>
        <w:keepLines w:val="0"/>
        <w:pageBreakBefore w:val="0"/>
        <w:widowControl/>
        <w:kinsoku/>
        <w:overflowPunct/>
        <w:topLinePunct w:val="0"/>
        <w:autoSpaceDE/>
        <w:autoSpaceDN/>
        <w:bidi w:val="0"/>
        <w:adjustRightInd w:val="0"/>
        <w:snapToGrid w:val="0"/>
        <w:spacing w:line="560" w:lineRule="exact"/>
        <w:ind w:firstLine="632" w:firstLineChars="200"/>
        <w:jc w:val="left"/>
        <w:textAlignment w:val="auto"/>
        <w:rPr>
          <w:rFonts w:hint="default" w:ascii="Times New Roman" w:hAnsi="Times New Roman" w:cs="Times New Roman"/>
          <w:color w:val="000000"/>
          <w:kern w:val="0"/>
          <w:lang w:val="en-US" w:eastAsia="zh-CN"/>
        </w:rPr>
      </w:pPr>
      <w:r>
        <w:rPr>
          <w:rFonts w:hint="default" w:ascii="Times New Roman" w:hAnsi="Times New Roman" w:cs="Times New Roman"/>
          <w:color w:val="000000"/>
          <w:kern w:val="0"/>
          <w:lang w:val="en-US" w:eastAsia="zh-CN"/>
        </w:rPr>
        <w:t>截至2023年12月31日，区发改局总收入为2,642.84万元。其中：本年收入2560.49万元，年初结转和结余82.35万元。本次部门整体支出绩效自评实现100%覆盖。</w:t>
      </w:r>
    </w:p>
    <w:p w14:paraId="15938C34">
      <w:pPr>
        <w:keepNext w:val="0"/>
        <w:keepLines w:val="0"/>
        <w:pageBreakBefore w:val="0"/>
        <w:widowControl/>
        <w:kinsoku/>
        <w:overflowPunct/>
        <w:topLinePunct w:val="0"/>
        <w:autoSpaceDE/>
        <w:autoSpaceDN/>
        <w:bidi w:val="0"/>
        <w:adjustRightInd w:val="0"/>
        <w:snapToGrid w:val="0"/>
        <w:spacing w:line="560" w:lineRule="exact"/>
        <w:ind w:firstLine="632" w:firstLineChars="200"/>
        <w:jc w:val="left"/>
        <w:textAlignment w:val="auto"/>
        <w:rPr>
          <w:rFonts w:hint="default" w:ascii="Times New Roman" w:hAnsi="Times New Roman" w:cs="Times New Roman"/>
          <w:color w:val="000000"/>
          <w:kern w:val="0"/>
          <w:lang w:val="en-US" w:eastAsia="zh-CN"/>
        </w:rPr>
      </w:pPr>
      <w:r>
        <w:rPr>
          <w:rFonts w:hint="default" w:ascii="Times New Roman" w:hAnsi="Times New Roman" w:cs="Times New Roman"/>
          <w:color w:val="000000"/>
          <w:kern w:val="0"/>
          <w:lang w:val="en-US" w:eastAsia="zh-CN"/>
        </w:rPr>
        <w:t>根据《关于批复2023年部门预算的通知》（五财预总〔2023〕2号）文件批复的部门整体支出绩效目标，结合年度实际工作开展情况，对2023年部门整体支出开展了评价，部门整体支出自评分为90.15分，自评等级为“优”。</w:t>
      </w:r>
    </w:p>
    <w:p w14:paraId="0146E92A">
      <w:pPr>
        <w:keepNext w:val="0"/>
        <w:keepLines w:val="0"/>
        <w:pageBreakBefore w:val="0"/>
        <w:widowControl/>
        <w:kinsoku/>
        <w:overflowPunct/>
        <w:topLinePunct w:val="0"/>
        <w:autoSpaceDE/>
        <w:autoSpaceDN/>
        <w:bidi w:val="0"/>
        <w:adjustRightInd w:val="0"/>
        <w:snapToGrid w:val="0"/>
        <w:spacing w:line="560" w:lineRule="exact"/>
        <w:ind w:firstLine="632" w:firstLineChars="200"/>
        <w:jc w:val="left"/>
        <w:textAlignment w:val="auto"/>
        <w:rPr>
          <w:rFonts w:hint="default" w:ascii="Times New Roman" w:hAnsi="Times New Roman" w:cs="Times New Roman"/>
          <w:b/>
          <w:bCs/>
          <w:color w:val="000000"/>
          <w:kern w:val="0"/>
          <w:lang w:val="en-US" w:eastAsia="zh-CN"/>
        </w:rPr>
      </w:pPr>
      <w:r>
        <w:rPr>
          <w:rFonts w:hint="default" w:ascii="Times New Roman" w:hAnsi="Times New Roman" w:cs="Times New Roman"/>
          <w:b/>
          <w:bCs/>
          <w:color w:val="000000"/>
          <w:kern w:val="0"/>
          <w:lang w:val="en-US" w:eastAsia="zh-CN"/>
        </w:rPr>
        <w:t>2.项目支出自评概况</w:t>
      </w:r>
    </w:p>
    <w:p w14:paraId="3D5E8DB8">
      <w:pPr>
        <w:keepNext w:val="0"/>
        <w:keepLines w:val="0"/>
        <w:pageBreakBefore w:val="0"/>
        <w:widowControl/>
        <w:kinsoku/>
        <w:overflowPunct/>
        <w:topLinePunct w:val="0"/>
        <w:autoSpaceDE/>
        <w:autoSpaceDN/>
        <w:bidi w:val="0"/>
        <w:adjustRightInd w:val="0"/>
        <w:snapToGrid w:val="0"/>
        <w:spacing w:line="560" w:lineRule="exact"/>
        <w:ind w:firstLine="632" w:firstLineChars="200"/>
        <w:jc w:val="left"/>
        <w:textAlignment w:val="auto"/>
        <w:rPr>
          <w:rFonts w:hint="default" w:ascii="Times New Roman" w:hAnsi="Times New Roman" w:cs="Times New Roman"/>
          <w:color w:val="000000"/>
          <w:kern w:val="0"/>
          <w:lang w:val="en-US" w:eastAsia="zh-CN"/>
        </w:rPr>
      </w:pPr>
      <w:r>
        <w:rPr>
          <w:rFonts w:hint="eastAsia" w:ascii="Times New Roman" w:hAnsi="Times New Roman" w:cs="Times New Roman"/>
          <w:color w:val="000000"/>
          <w:kern w:val="0"/>
          <w:lang w:val="en-US" w:eastAsia="zh-CN"/>
        </w:rPr>
        <w:t>根据2023年决算材料，2023年项目共有20个。其中：</w:t>
      </w:r>
      <w:r>
        <w:rPr>
          <w:rFonts w:hint="default" w:ascii="Times New Roman" w:hAnsi="Times New Roman" w:cs="Times New Roman"/>
          <w:color w:val="000000"/>
          <w:kern w:val="0"/>
          <w:lang w:val="en-US" w:eastAsia="zh-CN"/>
        </w:rPr>
        <w:t>区级项目</w:t>
      </w:r>
      <w:r>
        <w:rPr>
          <w:rFonts w:hint="eastAsia" w:ascii="Times New Roman" w:hAnsi="Times New Roman" w:cs="Times New Roman"/>
          <w:color w:val="000000"/>
          <w:kern w:val="0"/>
          <w:lang w:val="en-US" w:eastAsia="zh-CN"/>
        </w:rPr>
        <w:t>5</w:t>
      </w:r>
      <w:r>
        <w:rPr>
          <w:rFonts w:hint="default" w:ascii="Times New Roman" w:hAnsi="Times New Roman" w:cs="Times New Roman"/>
          <w:color w:val="000000"/>
          <w:kern w:val="0"/>
          <w:lang w:val="en-US" w:eastAsia="zh-CN"/>
        </w:rPr>
        <w:t>个，上级转移支付项目</w:t>
      </w:r>
      <w:r>
        <w:rPr>
          <w:rFonts w:hint="eastAsia" w:ascii="Times New Roman" w:hAnsi="Times New Roman" w:cs="Times New Roman"/>
          <w:color w:val="000000"/>
          <w:kern w:val="0"/>
          <w:lang w:val="en-US" w:eastAsia="zh-CN"/>
        </w:rPr>
        <w:t>6</w:t>
      </w:r>
      <w:r>
        <w:rPr>
          <w:rFonts w:hint="default" w:ascii="Times New Roman" w:hAnsi="Times New Roman" w:cs="Times New Roman"/>
          <w:color w:val="000000"/>
          <w:kern w:val="0"/>
          <w:lang w:val="en-US" w:eastAsia="zh-CN"/>
        </w:rPr>
        <w:t>个</w:t>
      </w:r>
      <w:r>
        <w:rPr>
          <w:rFonts w:hint="eastAsia" w:ascii="Times New Roman" w:hAnsi="Times New Roman" w:cs="Times New Roman"/>
          <w:color w:val="000000"/>
          <w:kern w:val="0"/>
          <w:lang w:val="en-US" w:eastAsia="zh-CN"/>
        </w:rPr>
        <w:t>，其他资金项目9个</w:t>
      </w:r>
      <w:r>
        <w:rPr>
          <w:rFonts w:hint="default" w:ascii="Times New Roman" w:hAnsi="Times New Roman" w:cs="Times New Roman"/>
          <w:color w:val="000000"/>
          <w:kern w:val="0"/>
          <w:lang w:val="en-US" w:eastAsia="zh-CN"/>
        </w:rPr>
        <w:t>。</w:t>
      </w:r>
      <w:r>
        <w:rPr>
          <w:rFonts w:hint="default" w:ascii="Times New Roman" w:hAnsi="Times New Roman" w:cs="Times New Roman"/>
          <w:color w:val="000000"/>
          <w:kern w:val="0"/>
          <w:lang w:eastAsia="zh-CN"/>
        </w:rPr>
        <w:t>自评金额</w:t>
      </w:r>
      <w:r>
        <w:rPr>
          <w:rFonts w:hint="default" w:ascii="Times New Roman" w:hAnsi="Times New Roman" w:cs="Times New Roman"/>
          <w:color w:val="000000"/>
          <w:kern w:val="0"/>
          <w:lang w:val="en-US" w:eastAsia="zh-CN"/>
        </w:rPr>
        <w:t>2,119.99万元。其中：</w:t>
      </w:r>
      <w:r>
        <w:rPr>
          <w:rFonts w:hint="eastAsia" w:ascii="Times New Roman" w:hAnsi="Times New Roman" w:cs="Times New Roman"/>
          <w:color w:val="000000"/>
          <w:kern w:val="0"/>
          <w:lang w:val="en-US" w:eastAsia="zh-CN"/>
        </w:rPr>
        <w:t>财政</w:t>
      </w:r>
      <w:r>
        <w:rPr>
          <w:rFonts w:hint="default" w:ascii="Times New Roman" w:hAnsi="Times New Roman" w:cs="Times New Roman"/>
          <w:color w:val="000000"/>
          <w:kern w:val="0"/>
          <w:lang w:val="en-US" w:eastAsia="zh-CN"/>
        </w:rPr>
        <w:t>资金</w:t>
      </w:r>
      <w:r>
        <w:rPr>
          <w:rFonts w:hint="eastAsia" w:ascii="Times New Roman" w:hAnsi="Times New Roman" w:cs="Times New Roman"/>
          <w:color w:val="000000"/>
          <w:kern w:val="0"/>
          <w:lang w:val="en-US" w:eastAsia="zh-CN"/>
        </w:rPr>
        <w:t>2,028.59万</w:t>
      </w:r>
      <w:r>
        <w:rPr>
          <w:rFonts w:hint="default" w:ascii="Times New Roman" w:hAnsi="Times New Roman" w:cs="Times New Roman"/>
          <w:color w:val="000000"/>
          <w:kern w:val="0"/>
          <w:lang w:val="en-US" w:eastAsia="zh-CN"/>
        </w:rPr>
        <w:t>元，</w:t>
      </w:r>
      <w:r>
        <w:rPr>
          <w:rFonts w:hint="eastAsia" w:ascii="Times New Roman" w:hAnsi="Times New Roman" w:cs="Times New Roman"/>
          <w:color w:val="000000"/>
          <w:kern w:val="0"/>
          <w:lang w:val="en-US" w:eastAsia="zh-CN"/>
        </w:rPr>
        <w:t>其他资金91.40</w:t>
      </w:r>
      <w:r>
        <w:rPr>
          <w:rFonts w:hint="default" w:ascii="Times New Roman" w:hAnsi="Times New Roman" w:cs="Times New Roman"/>
          <w:color w:val="000000"/>
          <w:kern w:val="0"/>
          <w:lang w:val="en-US" w:eastAsia="zh-CN"/>
        </w:rPr>
        <w:t>万元。</w:t>
      </w:r>
      <w:r>
        <w:rPr>
          <w:rFonts w:hint="eastAsia" w:ascii="Times New Roman" w:hAnsi="Times New Roman" w:cs="Times New Roman"/>
          <w:color w:val="000000"/>
          <w:kern w:val="0"/>
          <w:lang w:val="en-US" w:eastAsia="zh-CN"/>
        </w:rPr>
        <w:t>因按照账务处理及2023年决算相关要求，“2023年财政资金拨款偿还经费”项目以往来款处理账务，故决算中未能体现该项目。但该项目已在财政一体化系统中建库，且项目执行率为100%，并在财政一体化系统中开展了绩效监控，故决算项目支出金额与录入财政一体化系统并开展绩效自评的项目金额不一致。</w:t>
      </w:r>
    </w:p>
    <w:p w14:paraId="1CE719EA">
      <w:pPr>
        <w:keepNext w:val="0"/>
        <w:keepLines w:val="0"/>
        <w:pageBreakBefore w:val="0"/>
        <w:widowControl/>
        <w:kinsoku/>
        <w:overflowPunct/>
        <w:topLinePunct w:val="0"/>
        <w:autoSpaceDE/>
        <w:autoSpaceDN/>
        <w:bidi w:val="0"/>
        <w:adjustRightInd w:val="0"/>
        <w:snapToGrid w:val="0"/>
        <w:spacing w:line="560" w:lineRule="exact"/>
        <w:ind w:firstLine="632" w:firstLineChars="200"/>
        <w:jc w:val="left"/>
        <w:textAlignment w:val="auto"/>
        <w:rPr>
          <w:rFonts w:hint="default" w:ascii="Times New Roman" w:hAnsi="Times New Roman" w:cs="Times New Roman"/>
          <w:color w:val="000000"/>
          <w:kern w:val="0"/>
          <w:lang w:val="en-US" w:eastAsia="zh-CN"/>
        </w:rPr>
      </w:pPr>
      <w:r>
        <w:rPr>
          <w:rFonts w:hint="default" w:ascii="Times New Roman" w:hAnsi="Times New Roman" w:cs="Times New Roman"/>
          <w:b/>
          <w:bCs/>
          <w:color w:val="000000"/>
          <w:kern w:val="0"/>
          <w:lang w:val="en-US" w:eastAsia="zh-CN"/>
        </w:rPr>
        <w:t>3.绩效自评全覆盖情况</w:t>
      </w:r>
    </w:p>
    <w:p w14:paraId="4595CC35">
      <w:pPr>
        <w:keepNext w:val="0"/>
        <w:keepLines w:val="0"/>
        <w:pageBreakBefore w:val="0"/>
        <w:widowControl/>
        <w:kinsoku/>
        <w:overflowPunct/>
        <w:topLinePunct w:val="0"/>
        <w:autoSpaceDE/>
        <w:autoSpaceDN/>
        <w:bidi w:val="0"/>
        <w:adjustRightInd w:val="0"/>
        <w:snapToGrid w:val="0"/>
        <w:spacing w:line="560" w:lineRule="exact"/>
        <w:ind w:firstLine="632" w:firstLineChars="200"/>
        <w:jc w:val="left"/>
        <w:textAlignment w:val="auto"/>
        <w:rPr>
          <w:rFonts w:hint="default" w:ascii="Times New Roman" w:hAnsi="Times New Roman" w:cs="Times New Roman"/>
          <w:color w:val="000000"/>
          <w:kern w:val="0"/>
          <w:lang w:val="en-US" w:eastAsia="zh-CN"/>
        </w:rPr>
      </w:pPr>
      <w:r>
        <w:rPr>
          <w:rFonts w:hint="default" w:ascii="Times New Roman" w:hAnsi="Times New Roman" w:cs="Times New Roman"/>
          <w:color w:val="000000"/>
          <w:kern w:val="0"/>
          <w:lang w:val="en-US" w:eastAsia="zh-CN"/>
        </w:rPr>
        <w:t>2023年四季度开展绩效运行监控项目11个，监控预算资金2,861.06万元，本次开展绩效自评项目11个，自评金额为2,474.71万元，已实现绩效自评全覆盖。</w:t>
      </w:r>
    </w:p>
    <w:p w14:paraId="0BC3980B">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二、评价结果</w:t>
      </w:r>
    </w:p>
    <w:p w14:paraId="4FA1DF39">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default" w:ascii="Times New Roman" w:hAnsi="Times New Roman" w:eastAsia="楷体_GB2312" w:cs="Times New Roman"/>
        </w:rPr>
      </w:pPr>
      <w:r>
        <w:rPr>
          <w:rFonts w:hint="default" w:ascii="Times New Roman" w:hAnsi="Times New Roman" w:eastAsia="楷体_GB2312" w:cs="Times New Roman"/>
        </w:rPr>
        <w:t>（一）部门整体支出</w:t>
      </w:r>
    </w:p>
    <w:p w14:paraId="27C0FF2B">
      <w:pPr>
        <w:keepNext w:val="0"/>
        <w:keepLines w:val="0"/>
        <w:pageBreakBefore w:val="0"/>
        <w:widowControl/>
        <w:kinsoku/>
        <w:overflowPunct/>
        <w:topLinePunct w:val="0"/>
        <w:autoSpaceDE/>
        <w:autoSpaceDN/>
        <w:bidi w:val="0"/>
        <w:adjustRightInd w:val="0"/>
        <w:snapToGrid w:val="0"/>
        <w:spacing w:line="560" w:lineRule="exact"/>
        <w:ind w:firstLine="632" w:firstLineChars="200"/>
        <w:jc w:val="left"/>
        <w:textAlignment w:val="auto"/>
        <w:rPr>
          <w:rFonts w:hint="default" w:ascii="Times New Roman" w:hAnsi="Times New Roman" w:cs="Times New Roman"/>
          <w:color w:val="000000"/>
          <w:kern w:val="0"/>
          <w:lang w:val="en-US" w:eastAsia="zh-CN"/>
        </w:rPr>
      </w:pPr>
      <w:r>
        <w:rPr>
          <w:rFonts w:hint="default" w:ascii="Times New Roman" w:hAnsi="Times New Roman" w:cs="Times New Roman"/>
          <w:color w:val="000000"/>
          <w:kern w:val="0"/>
          <w:lang w:val="en-US" w:eastAsia="zh-CN"/>
        </w:rPr>
        <w:t>本次评分依据的指标评价体系和评分标准经过了充分研究、讨论和论证。结合设定的具体评价指标实际，采取了现场核查、问卷调查、访谈等多种方式获取数据，合理保证了绩效自评依据充分、真实全面、分析深入、客观公正。通过开展上述工作，区发改局2023年部门整体支出自评得分为90.15分，自评等级为“优”。</w:t>
      </w:r>
    </w:p>
    <w:p w14:paraId="3BAC9D4D">
      <w:pPr>
        <w:keepNext w:val="0"/>
        <w:keepLines w:val="0"/>
        <w:pageBreakBefore w:val="0"/>
        <w:widowControl w:val="0"/>
        <w:kinsoku/>
        <w:wordWrap/>
        <w:overflowPunct/>
        <w:topLinePunct w:val="0"/>
        <w:autoSpaceDE/>
        <w:autoSpaceDN/>
        <w:bidi w:val="0"/>
        <w:adjustRightInd w:val="0"/>
        <w:snapToGrid w:val="0"/>
        <w:spacing w:line="560" w:lineRule="exact"/>
        <w:ind w:firstLine="660"/>
        <w:textAlignment w:val="auto"/>
        <w:rPr>
          <w:rFonts w:hint="default" w:ascii="Times New Roman" w:hAnsi="Times New Roman" w:eastAsia="楷体_GB2312" w:cs="Times New Roman"/>
        </w:rPr>
      </w:pPr>
      <w:r>
        <w:rPr>
          <w:rFonts w:hint="default" w:ascii="Times New Roman" w:hAnsi="Times New Roman" w:eastAsia="楷体_GB2312" w:cs="Times New Roman"/>
        </w:rPr>
        <w:t>（二）项目支出</w:t>
      </w:r>
    </w:p>
    <w:p w14:paraId="56C627EC">
      <w:pPr>
        <w:keepNext w:val="0"/>
        <w:keepLines w:val="0"/>
        <w:pageBreakBefore w:val="0"/>
        <w:widowControl w:val="0"/>
        <w:kinsoku/>
        <w:wordWrap/>
        <w:overflowPunct/>
        <w:topLinePunct w:val="0"/>
        <w:autoSpaceDE/>
        <w:autoSpaceDN/>
        <w:bidi w:val="0"/>
        <w:adjustRightInd/>
        <w:snapToGrid/>
        <w:spacing w:line="600" w:lineRule="exact"/>
        <w:ind w:firstLine="552" w:firstLineChars="200"/>
        <w:jc w:val="center"/>
        <w:textAlignment w:val="auto"/>
        <w:rPr>
          <w:rFonts w:hint="default" w:ascii="Times New Roman" w:hAnsi="Times New Roman" w:cs="Times New Roman"/>
          <w:color w:val="000000"/>
          <w:kern w:val="0"/>
          <w:lang w:val="en-US" w:eastAsia="zh-CN"/>
        </w:rPr>
      </w:pPr>
      <w:r>
        <w:rPr>
          <w:rFonts w:hint="default" w:ascii="Times New Roman" w:hAnsi="Times New Roman" w:cs="Times New Roman"/>
          <w:b/>
          <w:bCs/>
          <w:color w:val="000000"/>
          <w:kern w:val="0"/>
          <w:sz w:val="28"/>
          <w:szCs w:val="21"/>
          <w:lang w:val="en-US" w:eastAsia="zh-CN"/>
        </w:rPr>
        <w:t>表1  项目绩效自评结果汇总表</w:t>
      </w:r>
    </w:p>
    <w:tbl>
      <w:tblPr>
        <w:tblStyle w:val="9"/>
        <w:tblW w:w="94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88"/>
        <w:gridCol w:w="4443"/>
        <w:gridCol w:w="991"/>
        <w:gridCol w:w="870"/>
        <w:gridCol w:w="855"/>
        <w:gridCol w:w="825"/>
        <w:gridCol w:w="765"/>
      </w:tblGrid>
      <w:tr w14:paraId="5B22C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4" w:hRule="atLeast"/>
          <w:tblHeader/>
        </w:trPr>
        <w:tc>
          <w:tcPr>
            <w:tcW w:w="688" w:type="dxa"/>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FAE8BE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序号</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8106">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项目名称</w:t>
            </w:r>
          </w:p>
        </w:tc>
        <w:tc>
          <w:tcPr>
            <w:tcW w:w="991" w:type="dxa"/>
            <w:tcBorders>
              <w:top w:val="single" w:color="000000" w:sz="4" w:space="0"/>
              <w:left w:val="single" w:color="000000" w:sz="4" w:space="0"/>
              <w:right w:val="single" w:color="000000" w:sz="4" w:space="0"/>
            </w:tcBorders>
            <w:shd w:val="clear" w:color="auto" w:fill="auto"/>
            <w:vAlign w:val="center"/>
          </w:tcPr>
          <w:p w14:paraId="6353A4B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预算数</w:t>
            </w:r>
          </w:p>
        </w:tc>
        <w:tc>
          <w:tcPr>
            <w:tcW w:w="870" w:type="dxa"/>
            <w:tcBorders>
              <w:top w:val="single" w:color="000000" w:sz="4" w:space="0"/>
              <w:left w:val="single" w:color="000000" w:sz="4" w:space="0"/>
              <w:right w:val="single" w:color="000000" w:sz="4" w:space="0"/>
            </w:tcBorders>
            <w:shd w:val="clear" w:color="auto" w:fill="auto"/>
            <w:vAlign w:val="center"/>
          </w:tcPr>
          <w:p w14:paraId="435001B5">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执行数</w:t>
            </w:r>
          </w:p>
        </w:tc>
        <w:tc>
          <w:tcPr>
            <w:tcW w:w="855" w:type="dxa"/>
            <w:tcBorders>
              <w:top w:val="single" w:color="000000" w:sz="4" w:space="0"/>
              <w:left w:val="single" w:color="000000" w:sz="4" w:space="0"/>
              <w:bottom w:val="single" w:color="000000" w:sz="4" w:space="0"/>
            </w:tcBorders>
            <w:shd w:val="clear" w:color="auto" w:fill="auto"/>
            <w:vAlign w:val="center"/>
          </w:tcPr>
          <w:p w14:paraId="2530CFA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结余情况</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0DF4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自评分数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45C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自评等级</w:t>
            </w:r>
          </w:p>
        </w:tc>
      </w:tr>
      <w:tr w14:paraId="647E1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B95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1</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C736F">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应急物资采购储备经费</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D6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27.10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5CF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27.10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74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E2B9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100.00 </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F2E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优 </w:t>
            </w:r>
          </w:p>
        </w:tc>
      </w:tr>
      <w:tr w14:paraId="01BEC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D9B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2</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79E37">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储备粮油补贴专项资金</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213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1,598.86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950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1,598.86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79E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4422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100.00 </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2A39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优 </w:t>
            </w:r>
          </w:p>
        </w:tc>
      </w:tr>
      <w:tr w14:paraId="4BF04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6AE8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3</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E0579">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粮食管理工作专项经费</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D37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0.87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D5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0.87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72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F26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100.00 </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9FE5">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优 </w:t>
            </w:r>
          </w:p>
        </w:tc>
      </w:tr>
      <w:tr w14:paraId="6766A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D74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4</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39294">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国民经济发展综合工作专项资金</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F4C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53.88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E8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53.88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281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99A26">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95.00 </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C76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优 </w:t>
            </w:r>
          </w:p>
        </w:tc>
      </w:tr>
      <w:tr w14:paraId="111C7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7AA6">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5</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75B83">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政府投资项目管理及重点项目推进专项资金</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75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12.33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73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12.33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F66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E00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100.00 </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37C3">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优 </w:t>
            </w:r>
          </w:p>
        </w:tc>
      </w:tr>
      <w:tr w14:paraId="65B01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0AA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6</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E6871">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2022年省级新型基础设施建设（区块链方向）专项资金</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158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90.00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F7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90.00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EE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8C4C">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100.00 </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7F53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优 </w:t>
            </w:r>
          </w:p>
        </w:tc>
      </w:tr>
      <w:tr w14:paraId="49C14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C45C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7</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A81CC">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2022年云南省数字应用典型案例建设补助资金</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3A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200.00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39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200.00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E9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11B6C">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100.00 </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2AB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优 </w:t>
            </w:r>
          </w:p>
        </w:tc>
      </w:tr>
      <w:tr w14:paraId="1E1D0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CF8F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8</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4C4C">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节能降耗专项资金</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03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6.00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CF7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6.00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99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D79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100.00 </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00B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优 </w:t>
            </w:r>
          </w:p>
        </w:tc>
      </w:tr>
      <w:tr w14:paraId="45471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4C63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9</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FA96E">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公共充换电基础设施建设中央补助资金</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61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30.00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4B7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30.00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290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CEAB6">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92.50 </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A38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优 </w:t>
            </w:r>
          </w:p>
        </w:tc>
      </w:tr>
      <w:tr w14:paraId="046C8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5C0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10</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F8E9">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涉案物品鉴定工作经费</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2F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8.61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E27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8.61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52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098E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100.00 </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C336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优 </w:t>
            </w:r>
          </w:p>
        </w:tc>
      </w:tr>
      <w:tr w14:paraId="1FCA7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C2A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11</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C28F">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应急物资采购经费</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E33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0.95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14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0.50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6B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0.45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F4C3">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100.00 </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EB1C">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优 </w:t>
            </w:r>
          </w:p>
        </w:tc>
      </w:tr>
      <w:tr w14:paraId="62CCF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3565">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12</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4558F">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2019年涉案财务价格鉴证工作专项经费</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721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15.18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6BA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7.92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FD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7.25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B70E2">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73C1">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r>
      <w:tr w14:paraId="334A4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6C6F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13</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42AE">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昆明市公安局五华分局拨工作经费</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9C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12.38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63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9.19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D7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3.19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1247">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1311">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r>
      <w:tr w14:paraId="133A6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98"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8191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14</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36BC5">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昆明市发展和改革委员会拨付的2021年度价格监测和应急价格监测补助经费</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D5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1.30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91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1.30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A19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3362A">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0A030">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r>
      <w:tr w14:paraId="084B2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360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15</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71925">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涉案财务价格鉴证工作专项经费</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58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20.00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55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0.42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6A6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19.58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6C09">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41EFF">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r>
      <w:tr w14:paraId="60FAE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55F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16</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46830">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老运梁河河道改造工程款经费</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67A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20.00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6B9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79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20.00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9392E">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8080">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r>
      <w:tr w14:paraId="00F78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ED07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17</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23BF5">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昆明市发展和改革委员会拨付的专项债券项目前期经费</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BF2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12.00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84A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08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12.00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2F63">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93DF">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r>
      <w:tr w14:paraId="57ED8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60A56">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18</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F20B">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离退休干部春、秋游活动经费</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A9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0.02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B3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18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0.02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0D7C">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4DC3F">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r>
      <w:tr w14:paraId="733FB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BC74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19</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1EEB3">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涉案财务价格鉴证工作专项经费</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11B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10.00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B9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B22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10.00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FD9F">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4F3C">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r>
      <w:tr w14:paraId="7A5FD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57E8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20</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0162C">
            <w:pPr>
              <w:keepNext w:val="0"/>
              <w:keepLines w:val="0"/>
              <w:pageBreakBefore w:val="0"/>
              <w:widowControl/>
              <w:suppressLineNumbers w:val="0"/>
              <w:kinsoku/>
              <w:wordWrap/>
              <w:overflowPunct/>
              <w:topLinePunct w:val="0"/>
              <w:autoSpaceDE/>
              <w:autoSpaceDN/>
              <w:bidi w:val="0"/>
              <w:adjustRightInd/>
              <w:snapToGrid/>
              <w:jc w:val="left"/>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供需平衡调查补助和市场监测直报点信息经费</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9D3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0.52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F33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DD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0.52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74EBE">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971FA">
            <w:pPr>
              <w:keepNext w:val="0"/>
              <w:keepLines w:val="0"/>
              <w:pageBreakBefore w:val="0"/>
              <w:widowControl/>
              <w:kinsoku/>
              <w:wordWrap/>
              <w:overflowPunct/>
              <w:topLinePunct w:val="0"/>
              <w:autoSpaceDE/>
              <w:autoSpaceDN/>
              <w:bidi w:val="0"/>
              <w:adjustRightInd/>
              <w:snapToGrid/>
              <w:jc w:val="center"/>
              <w:outlineLvl w:val="9"/>
              <w:rPr>
                <w:rFonts w:hint="default" w:ascii="Times New Roman" w:hAnsi="Times New Roman" w:eastAsia="宋体" w:cs="Times New Roman"/>
                <w:i w:val="0"/>
                <w:color w:val="000000"/>
                <w:sz w:val="18"/>
                <w:szCs w:val="18"/>
                <w:u w:val="none"/>
              </w:rPr>
            </w:pPr>
          </w:p>
        </w:tc>
      </w:tr>
      <w:tr w14:paraId="2BC3B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6" w:hRule="atLeast"/>
        </w:trPr>
        <w:tc>
          <w:tcPr>
            <w:tcW w:w="5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021B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总    计</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934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2,119.99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974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2,046.97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E0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73.02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25DE">
            <w:pPr>
              <w:keepNext w:val="0"/>
              <w:keepLines w:val="0"/>
              <w:pageBreakBefore w:val="0"/>
              <w:widowControl/>
              <w:kinsoku/>
              <w:wordWrap/>
              <w:overflowPunct/>
              <w:topLinePunct w:val="0"/>
              <w:autoSpaceDE/>
              <w:autoSpaceDN/>
              <w:bidi w:val="0"/>
              <w:adjustRightInd/>
              <w:snapToGrid/>
              <w:outlineLvl w:val="9"/>
              <w:rPr>
                <w:rFonts w:hint="default" w:ascii="Times New Roman" w:hAnsi="Times New Roman" w:eastAsia="宋体" w:cs="Times New Roman"/>
                <w:b/>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9FA8">
            <w:pPr>
              <w:keepNext w:val="0"/>
              <w:keepLines w:val="0"/>
              <w:pageBreakBefore w:val="0"/>
              <w:widowControl/>
              <w:kinsoku/>
              <w:wordWrap/>
              <w:overflowPunct/>
              <w:topLinePunct w:val="0"/>
              <w:autoSpaceDE/>
              <w:autoSpaceDN/>
              <w:bidi w:val="0"/>
              <w:adjustRightInd/>
              <w:snapToGrid/>
              <w:outlineLvl w:val="9"/>
              <w:rPr>
                <w:rFonts w:hint="default" w:ascii="Times New Roman" w:hAnsi="Times New Roman" w:eastAsia="宋体" w:cs="Times New Roman"/>
                <w:b/>
                <w:i w:val="0"/>
                <w:color w:val="000000"/>
                <w:sz w:val="18"/>
                <w:szCs w:val="18"/>
                <w:u w:val="none"/>
              </w:rPr>
            </w:pPr>
          </w:p>
        </w:tc>
      </w:tr>
    </w:tbl>
    <w:p w14:paraId="143DD614">
      <w:pPr>
        <w:keepNext w:val="0"/>
        <w:keepLines w:val="0"/>
        <w:pageBreakBefore w:val="0"/>
        <w:widowControl w:val="0"/>
        <w:kinsoku/>
        <w:wordWrap/>
        <w:overflowPunct/>
        <w:topLinePunct w:val="0"/>
        <w:autoSpaceDE/>
        <w:autoSpaceDN/>
        <w:bidi w:val="0"/>
        <w:adjustRightInd/>
        <w:snapToGrid/>
        <w:spacing w:line="560" w:lineRule="exact"/>
        <w:ind w:firstLine="620" w:firstLineChars="196"/>
        <w:textAlignment w:val="auto"/>
        <w:rPr>
          <w:rFonts w:hint="default" w:ascii="Times New Roman" w:hAnsi="Times New Roman" w:eastAsia="黑体" w:cs="Times New Roman"/>
          <w:color w:val="000000"/>
          <w:kern w:val="0"/>
        </w:rPr>
      </w:pPr>
      <w:r>
        <w:rPr>
          <w:rFonts w:hint="default" w:ascii="Times New Roman" w:hAnsi="Times New Roman" w:eastAsia="黑体" w:cs="Times New Roman"/>
          <w:color w:val="000000"/>
          <w:kern w:val="0"/>
        </w:rPr>
        <w:t>三、存在</w:t>
      </w:r>
      <w:r>
        <w:rPr>
          <w:rFonts w:hint="default" w:ascii="Times New Roman" w:hAnsi="Times New Roman" w:eastAsia="黑体" w:cs="Times New Roman"/>
          <w:color w:val="000000"/>
          <w:kern w:val="0"/>
          <w:lang w:eastAsia="zh-CN"/>
        </w:rPr>
        <w:t>的</w:t>
      </w:r>
      <w:r>
        <w:rPr>
          <w:rFonts w:hint="default" w:ascii="Times New Roman" w:hAnsi="Times New Roman" w:eastAsia="黑体" w:cs="Times New Roman"/>
          <w:color w:val="000000"/>
          <w:kern w:val="0"/>
        </w:rPr>
        <w:t>主要问题</w:t>
      </w:r>
    </w:p>
    <w:p w14:paraId="692FB99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楷体_GB2312" w:cs="Times New Roman"/>
        </w:rPr>
      </w:pPr>
      <w:r>
        <w:rPr>
          <w:rFonts w:hint="default" w:ascii="Times New Roman" w:hAnsi="Times New Roman" w:eastAsia="楷体_GB2312" w:cs="Times New Roman"/>
        </w:rPr>
        <w:t>（一）部门整体支出</w:t>
      </w:r>
    </w:p>
    <w:p w14:paraId="4717EC8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楷体_GB2312" w:cs="Times New Roman"/>
        </w:rPr>
      </w:pPr>
      <w:r>
        <w:rPr>
          <w:rFonts w:hint="default" w:ascii="Times New Roman" w:hAnsi="Times New Roman" w:cs="Times New Roman"/>
          <w:color w:val="000000"/>
          <w:kern w:val="0"/>
          <w:lang w:eastAsia="zh-CN"/>
        </w:rPr>
        <w:t>部门预算绩效目标较为概括、个别效益指标自评佐证材料收集存在难度，绩效管理科学化和规范化水平仍有提升空间。主要原因如下：</w:t>
      </w:r>
      <w:r>
        <w:rPr>
          <w:rFonts w:hint="default" w:ascii="Times New Roman" w:hAnsi="Times New Roman" w:cs="Times New Roman"/>
          <w:color w:val="000000"/>
          <w:kern w:val="0"/>
          <w:lang w:val="en-US" w:eastAsia="zh-CN"/>
        </w:rPr>
        <w:t>一</w:t>
      </w:r>
      <w:r>
        <w:rPr>
          <w:rFonts w:hint="default" w:ascii="Times New Roman" w:hAnsi="Times New Roman" w:cs="Times New Roman"/>
          <w:color w:val="000000"/>
          <w:kern w:val="0"/>
          <w:lang w:eastAsia="zh-CN"/>
        </w:rPr>
        <w:t>是因财政一体化系统对部门预算绩效目标填报有字数限制，导致在填写时表述较为概述，难以展开和细化；</w:t>
      </w:r>
      <w:r>
        <w:rPr>
          <w:rFonts w:hint="default" w:ascii="Times New Roman" w:hAnsi="Times New Roman" w:cs="Times New Roman"/>
          <w:color w:val="000000"/>
          <w:kern w:val="0"/>
          <w:lang w:val="en-US" w:eastAsia="zh-CN"/>
        </w:rPr>
        <w:t>二是部分重点任务属于较为宏观、长期的综合性工作，如产业集群打造、推动经济高质量发展等，短期内较难获得充分且可量化的数据、信息作为佐证依据。</w:t>
      </w:r>
    </w:p>
    <w:p w14:paraId="4D37D73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楷体_GB2312" w:cs="Times New Roman"/>
        </w:rPr>
      </w:pPr>
      <w:r>
        <w:rPr>
          <w:rFonts w:hint="default" w:ascii="Times New Roman" w:hAnsi="Times New Roman" w:eastAsia="楷体_GB2312" w:cs="Times New Roman"/>
        </w:rPr>
        <w:t>（二）项目支出</w:t>
      </w:r>
    </w:p>
    <w:p w14:paraId="1E8B8C0E">
      <w:pPr>
        <w:keepNext w:val="0"/>
        <w:keepLines w:val="0"/>
        <w:pageBreakBefore w:val="0"/>
        <w:widowControl/>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黑体" w:cs="Times New Roman"/>
        </w:rPr>
      </w:pPr>
      <w:r>
        <w:rPr>
          <w:rFonts w:hint="default" w:ascii="Times New Roman" w:hAnsi="Times New Roman" w:cs="Times New Roman"/>
          <w:color w:val="000000"/>
          <w:kern w:val="0"/>
          <w:lang w:val="en-US" w:eastAsia="zh-Hans"/>
        </w:rPr>
        <w:t>项目</w:t>
      </w:r>
      <w:r>
        <w:rPr>
          <w:rFonts w:hint="default" w:ascii="Times New Roman" w:hAnsi="Times New Roman" w:cs="Times New Roman"/>
          <w:color w:val="000000"/>
          <w:kern w:val="0"/>
          <w:lang w:val="en-US" w:eastAsia="zh-CN"/>
        </w:rPr>
        <w:t>经费</w:t>
      </w:r>
      <w:r>
        <w:rPr>
          <w:rFonts w:hint="default" w:ascii="Times New Roman" w:hAnsi="Times New Roman" w:cs="Times New Roman"/>
          <w:color w:val="000000"/>
          <w:kern w:val="0"/>
          <w:lang w:val="en-US" w:eastAsia="zh-Hans"/>
        </w:rPr>
        <w:t>年初预算</w:t>
      </w:r>
      <w:r>
        <w:rPr>
          <w:rFonts w:hint="default" w:ascii="Times New Roman" w:hAnsi="Times New Roman" w:cs="Times New Roman"/>
          <w:color w:val="000000"/>
          <w:kern w:val="0"/>
          <w:lang w:val="en-US" w:eastAsia="zh-CN"/>
        </w:rPr>
        <w:t>情况</w:t>
      </w:r>
      <w:r>
        <w:rPr>
          <w:rFonts w:hint="default" w:ascii="Times New Roman" w:hAnsi="Times New Roman" w:cs="Times New Roman"/>
          <w:color w:val="000000"/>
          <w:kern w:val="0"/>
          <w:lang w:val="en-US" w:eastAsia="zh-Hans"/>
        </w:rPr>
        <w:t>与实际支出情况有</w:t>
      </w:r>
      <w:r>
        <w:rPr>
          <w:rFonts w:hint="default" w:ascii="Times New Roman" w:hAnsi="Times New Roman" w:cs="Times New Roman"/>
          <w:color w:val="000000"/>
          <w:kern w:val="0"/>
          <w:lang w:val="en-US" w:eastAsia="zh-CN"/>
        </w:rPr>
        <w:t>一定</w:t>
      </w:r>
      <w:r>
        <w:rPr>
          <w:rFonts w:hint="default" w:ascii="Times New Roman" w:hAnsi="Times New Roman" w:cs="Times New Roman"/>
          <w:color w:val="000000"/>
          <w:kern w:val="0"/>
          <w:lang w:val="en-US" w:eastAsia="zh-Hans"/>
        </w:rPr>
        <w:t>偏离。</w:t>
      </w:r>
      <w:r>
        <w:rPr>
          <w:rFonts w:hint="default" w:ascii="Times New Roman" w:hAnsi="Times New Roman" w:cs="Times New Roman"/>
          <w:color w:val="000000"/>
          <w:kern w:val="0"/>
          <w:lang w:val="en-US" w:eastAsia="zh-CN"/>
        </w:rPr>
        <w:t>主要原因如下：一</w:t>
      </w:r>
      <w:r>
        <w:rPr>
          <w:rFonts w:hint="default" w:ascii="Times New Roman" w:hAnsi="Times New Roman" w:cs="Times New Roman"/>
          <w:color w:val="000000"/>
          <w:kern w:val="0"/>
          <w:lang w:val="en-US" w:eastAsia="zh-Hans"/>
        </w:rPr>
        <w:t>是</w:t>
      </w:r>
      <w:r>
        <w:rPr>
          <w:rFonts w:hint="default" w:ascii="Times New Roman" w:hAnsi="Times New Roman" w:cs="Times New Roman"/>
          <w:color w:val="000000"/>
          <w:kern w:val="0"/>
          <w:lang w:val="en-US" w:eastAsia="zh-CN"/>
        </w:rPr>
        <w:t>根据省、市、区相关部署，部分业务工作在年度内进行了调整，在项目立项时合理预期的难度较大</w:t>
      </w:r>
      <w:r>
        <w:rPr>
          <w:rFonts w:hint="default" w:ascii="Times New Roman" w:hAnsi="Times New Roman" w:cs="Times New Roman"/>
          <w:color w:val="000000"/>
          <w:kern w:val="0"/>
          <w:lang w:val="en-US" w:eastAsia="zh-Hans"/>
        </w:rPr>
        <w:t>，</w:t>
      </w:r>
      <w:r>
        <w:rPr>
          <w:rFonts w:hint="default" w:ascii="Times New Roman" w:hAnsi="Times New Roman" w:cs="Times New Roman"/>
          <w:color w:val="000000"/>
          <w:kern w:val="0"/>
          <w:lang w:val="en-US" w:eastAsia="zh-CN"/>
        </w:rPr>
        <w:t>对预算资金预计和测算存在一定偏差；二是受财政收支压力等因素影响，2023年部分项目经费未能下达，导致部分工作未按照计划实施。</w:t>
      </w:r>
    </w:p>
    <w:p w14:paraId="4CE0D77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lang w:eastAsia="zh-CN"/>
        </w:rPr>
      </w:pPr>
      <w:r>
        <w:rPr>
          <w:rFonts w:hint="default" w:ascii="Times New Roman" w:hAnsi="Times New Roman" w:eastAsia="黑体" w:cs="Times New Roman"/>
        </w:rPr>
        <w:t>四、整改</w:t>
      </w:r>
      <w:r>
        <w:rPr>
          <w:rFonts w:hint="default" w:ascii="Times New Roman" w:hAnsi="Times New Roman" w:eastAsia="黑体" w:cs="Times New Roman"/>
          <w:lang w:eastAsia="zh-CN"/>
        </w:rPr>
        <w:t>措施</w:t>
      </w:r>
    </w:p>
    <w:p w14:paraId="20186DDA">
      <w:pPr>
        <w:keepNext w:val="0"/>
        <w:keepLines w:val="0"/>
        <w:pageBreakBefore w:val="0"/>
        <w:widowControl/>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cs="Times New Roman"/>
          <w:color w:val="000000"/>
          <w:kern w:val="0"/>
          <w:lang w:val="en-US" w:eastAsia="zh-CN"/>
        </w:rPr>
      </w:pPr>
      <w:r>
        <w:rPr>
          <w:rFonts w:hint="default" w:ascii="Times New Roman" w:hAnsi="Times New Roman" w:eastAsia="楷体_GB2312" w:cs="Times New Roman"/>
          <w:color w:val="000000"/>
          <w:kern w:val="0"/>
          <w:lang w:val="en-US" w:eastAsia="zh-CN"/>
        </w:rPr>
        <w:t>一是坚持问题导向，扎实推动问题整改。</w:t>
      </w:r>
      <w:r>
        <w:rPr>
          <w:rFonts w:hint="default" w:ascii="Times New Roman" w:hAnsi="Times New Roman" w:cs="Times New Roman"/>
          <w:color w:val="000000"/>
          <w:kern w:val="0"/>
          <w:lang w:val="en-US" w:eastAsia="zh-CN"/>
        </w:rPr>
        <w:t xml:space="preserve"> 在填报预算绩效目标时，加强分析研究，尽可能在覆盖年度重点工作的同时，做到简洁明了、易于评价；在设置绩效指标时进行充分的调查、研究、论证，同时加强与上级部门及其他区级单位的对接，提高项目绩效指标设置的合理性、项目资金测算的准确性，确保项目绩效目标与预算资金高度匹配，以提高项目预算执行率。</w:t>
      </w:r>
    </w:p>
    <w:p w14:paraId="3B56692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楷体_GB2312" w:cs="Times New Roman"/>
          <w:color w:val="000000"/>
          <w:kern w:val="0"/>
          <w:lang w:val="en-US" w:eastAsia="zh-CN"/>
        </w:rPr>
        <w:t>二是增强绩效管理理念，促进提升绩效管理实效。</w:t>
      </w:r>
      <w:r>
        <w:rPr>
          <w:rFonts w:hint="default" w:ascii="Times New Roman" w:hAnsi="Times New Roman" w:cs="Times New Roman"/>
          <w:color w:val="000000"/>
          <w:kern w:val="0"/>
          <w:lang w:val="en-US" w:eastAsia="zh-CN"/>
        </w:rPr>
        <w:t>在设定绩效评价指标时将更加注重与年度工作目标的衔接，增强其在评判重点任务推进及完成情况的适用性；注重资料台账的收集整理工作，确保指标评价真实准确、依据充分，充分发挥绩效跟踪“晴雨表”作用；强化绩效评价监督功能，达到绩效管理质量与履职效能同步提升的良好效果。</w:t>
      </w:r>
      <w:r>
        <w:rPr>
          <w:rFonts w:hint="default" w:ascii="Times New Roman" w:hAnsi="Times New Roman" w:eastAsia="楷体_GB2312" w:cs="Times New Roman"/>
          <w:lang w:val="en-US" w:eastAsia="zh-CN"/>
        </w:rPr>
        <w:t xml:space="preserve"> </w:t>
      </w:r>
      <w:r>
        <w:rPr>
          <w:rFonts w:hint="default" w:ascii="Times New Roman" w:hAnsi="Times New Roman" w:cs="Times New Roman"/>
          <w:color w:val="000000"/>
          <w:kern w:val="0"/>
          <w:lang w:val="en-US" w:eastAsia="zh-CN"/>
        </w:rPr>
        <w:t xml:space="preserve"> </w:t>
      </w:r>
    </w:p>
    <w:p w14:paraId="7E0A39F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0"/>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五、其他需要说明的问题</w:t>
      </w:r>
    </w:p>
    <w:p w14:paraId="16E22B3E">
      <w:pPr>
        <w:keepNext w:val="0"/>
        <w:keepLines w:val="0"/>
        <w:pageBreakBefore w:val="0"/>
        <w:widowControl/>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cs="Times New Roman"/>
          <w:color w:val="000000"/>
          <w:kern w:val="0"/>
          <w:lang w:val="en-US" w:eastAsia="zh-CN"/>
        </w:rPr>
      </w:pPr>
      <w:r>
        <w:rPr>
          <w:rFonts w:hint="default" w:ascii="Times New Roman" w:hAnsi="Times New Roman" w:cs="Times New Roman"/>
          <w:color w:val="000000"/>
          <w:kern w:val="0"/>
          <w:lang w:val="en-US" w:eastAsia="zh-CN"/>
        </w:rPr>
        <w:t>2023年度无其他需要说明的问题。</w:t>
      </w:r>
    </w:p>
    <w:p w14:paraId="64B2D1E7">
      <w:pPr>
        <w:pStyle w:val="6"/>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p w14:paraId="39D403CE">
      <w:pPr>
        <w:pStyle w:val="6"/>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p w14:paraId="27F4FEBD">
      <w:pPr>
        <w:pStyle w:val="6"/>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p w14:paraId="69595B88">
      <w:pPr>
        <w:keepNext w:val="0"/>
        <w:keepLines w:val="0"/>
        <w:pageBreakBefore w:val="0"/>
        <w:widowControl w:val="0"/>
        <w:kinsoku/>
        <w:wordWrap/>
        <w:overflowPunct/>
        <w:topLinePunct w:val="0"/>
        <w:autoSpaceDE/>
        <w:autoSpaceDN/>
        <w:bidi w:val="0"/>
        <w:adjustRightInd/>
        <w:snapToGrid/>
        <w:spacing w:line="560" w:lineRule="exact"/>
        <w:ind w:firstLine="4740" w:firstLineChars="1500"/>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五华区发展和改革局</w:t>
      </w:r>
    </w:p>
    <w:p w14:paraId="07773FBE">
      <w:pPr>
        <w:pStyle w:val="6"/>
        <w:keepNext w:val="0"/>
        <w:keepLines w:val="0"/>
        <w:pageBreakBefore w:val="0"/>
        <w:kinsoku/>
        <w:wordWrap/>
        <w:overflowPunct/>
        <w:topLinePunct w:val="0"/>
        <w:autoSpaceDE/>
        <w:autoSpaceDN/>
        <w:bidi w:val="0"/>
        <w:adjustRightInd/>
        <w:snapToGrid/>
        <w:spacing w:line="560" w:lineRule="exact"/>
        <w:ind w:firstLine="5372" w:firstLineChars="1700"/>
        <w:jc w:val="right"/>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color w:val="auto"/>
          <w:sz w:val="32"/>
          <w:szCs w:val="32"/>
          <w:lang w:val="en-US" w:eastAsia="zh-CN"/>
        </w:rPr>
        <w:t>2024年</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月</w:t>
      </w:r>
      <w:r>
        <w:rPr>
          <w:rFonts w:hint="default" w:ascii="Times New Roman" w:hAnsi="Times New Roman" w:cs="Times New Roman"/>
          <w:color w:val="auto"/>
          <w:sz w:val="32"/>
          <w:szCs w:val="32"/>
          <w:lang w:val="en-US" w:eastAsia="zh-CN"/>
        </w:rPr>
        <w:t>29</w:t>
      </w:r>
      <w:r>
        <w:rPr>
          <w:rFonts w:hint="default" w:ascii="Times New Roman" w:hAnsi="Times New Roman" w:eastAsia="仿宋_GB2312" w:cs="Times New Roman"/>
          <w:color w:val="auto"/>
          <w:sz w:val="32"/>
          <w:szCs w:val="32"/>
          <w:lang w:val="en-US" w:eastAsia="zh-CN"/>
        </w:rPr>
        <w:t>日</w:t>
      </w:r>
    </w:p>
    <w:sectPr>
      <w:footerReference r:id="rId3" w:type="default"/>
      <w:footerReference r:id="rId4" w:type="even"/>
      <w:pgSz w:w="11906" w:h="16838"/>
      <w:pgMar w:top="2098" w:right="1474" w:bottom="1984" w:left="1587" w:header="1361" w:footer="1418"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CDC70">
    <w:pPr>
      <w:pStyle w:val="7"/>
      <w:ind w:firstLine="7560" w:firstLineChars="2700"/>
      <w:rPr>
        <w:rFonts w:ascii="宋体" w:hAnsi="宋体" w:eastAsia="宋体"/>
        <w:sz w:val="28"/>
        <w:szCs w:val="28"/>
      </w:rPr>
    </w:pPr>
    <w:r>
      <w:rPr>
        <w:rStyle w:val="11"/>
        <w:rFonts w:ascii="宋体" w:hAnsi="宋体" w:eastAsia="宋体"/>
        <w:sz w:val="28"/>
        <w:szCs w:val="28"/>
      </w:rPr>
      <w:t>—</w:t>
    </w:r>
    <w:r>
      <w:rPr>
        <w:rStyle w:val="11"/>
        <w:rFonts w:ascii="宋体" w:hAnsi="宋体" w:eastAsia="宋体"/>
        <w:sz w:val="28"/>
        <w:szCs w:val="28"/>
      </w:rPr>
      <w:fldChar w:fldCharType="begin"/>
    </w:r>
    <w:r>
      <w:rPr>
        <w:rStyle w:val="11"/>
        <w:rFonts w:ascii="宋体" w:hAnsi="宋体" w:eastAsia="宋体"/>
        <w:sz w:val="28"/>
        <w:szCs w:val="28"/>
      </w:rPr>
      <w:instrText xml:space="preserve"> PAGE </w:instrText>
    </w:r>
    <w:r>
      <w:rPr>
        <w:rStyle w:val="11"/>
        <w:rFonts w:ascii="宋体" w:hAnsi="宋体" w:eastAsia="宋体"/>
        <w:sz w:val="28"/>
        <w:szCs w:val="28"/>
      </w:rPr>
      <w:fldChar w:fldCharType="separate"/>
    </w:r>
    <w:r>
      <w:rPr>
        <w:rStyle w:val="11"/>
        <w:rFonts w:ascii="宋体" w:hAnsi="宋体" w:eastAsia="宋体"/>
        <w:sz w:val="28"/>
        <w:szCs w:val="28"/>
      </w:rPr>
      <w:t>1</w:t>
    </w:r>
    <w:r>
      <w:rPr>
        <w:rStyle w:val="11"/>
        <w:rFonts w:ascii="宋体" w:hAnsi="宋体" w:eastAsia="宋体"/>
        <w:sz w:val="28"/>
        <w:szCs w:val="28"/>
      </w:rPr>
      <w:fldChar w:fldCharType="end"/>
    </w:r>
    <w:r>
      <w:rPr>
        <w:rStyle w:val="11"/>
        <w:rFonts w:ascii="宋体" w:hAnsi="宋体" w:eastAsia="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003A0">
    <w:pPr>
      <w:pStyle w:val="7"/>
      <w:ind w:firstLine="280" w:firstLineChars="100"/>
      <w:rPr>
        <w:rFonts w:ascii="宋体" w:hAnsi="宋体" w:eastAsia="宋体"/>
        <w:sz w:val="28"/>
        <w:szCs w:val="28"/>
      </w:rPr>
    </w:pPr>
    <w:r>
      <w:rPr>
        <w:rStyle w:val="11"/>
        <w:rFonts w:ascii="宋体" w:hAnsi="宋体" w:eastAsia="宋体"/>
        <w:sz w:val="28"/>
        <w:szCs w:val="28"/>
      </w:rPr>
      <w:t>—</w:t>
    </w:r>
    <w:r>
      <w:rPr>
        <w:rStyle w:val="11"/>
        <w:rFonts w:ascii="宋体" w:hAnsi="宋体" w:eastAsia="宋体"/>
        <w:sz w:val="28"/>
        <w:szCs w:val="28"/>
      </w:rPr>
      <w:fldChar w:fldCharType="begin"/>
    </w:r>
    <w:r>
      <w:rPr>
        <w:rStyle w:val="11"/>
        <w:rFonts w:ascii="宋体" w:hAnsi="宋体" w:eastAsia="宋体"/>
        <w:sz w:val="28"/>
        <w:szCs w:val="28"/>
      </w:rPr>
      <w:instrText xml:space="preserve"> PAGE </w:instrText>
    </w:r>
    <w:r>
      <w:rPr>
        <w:rStyle w:val="11"/>
        <w:rFonts w:ascii="宋体" w:hAnsi="宋体" w:eastAsia="宋体"/>
        <w:sz w:val="28"/>
        <w:szCs w:val="28"/>
      </w:rPr>
      <w:fldChar w:fldCharType="separate"/>
    </w:r>
    <w:r>
      <w:rPr>
        <w:rStyle w:val="11"/>
        <w:rFonts w:ascii="宋体" w:hAnsi="宋体" w:eastAsia="宋体"/>
        <w:sz w:val="28"/>
        <w:szCs w:val="28"/>
      </w:rPr>
      <w:t>16</w:t>
    </w:r>
    <w:r>
      <w:rPr>
        <w:rStyle w:val="11"/>
        <w:rFonts w:ascii="宋体" w:hAnsi="宋体" w:eastAsia="宋体"/>
        <w:sz w:val="28"/>
        <w:szCs w:val="28"/>
      </w:rPr>
      <w:fldChar w:fldCharType="end"/>
    </w:r>
    <w:r>
      <w:rPr>
        <w:rStyle w:val="11"/>
        <w:rFonts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0ZDgwZjMwMWQ2YjEwYmE3MWU0NTkwNTRjNThlNjcifQ=="/>
  </w:docVars>
  <w:rsids>
    <w:rsidRoot w:val="0D080DA5"/>
    <w:rsid w:val="02584695"/>
    <w:rsid w:val="03C020B7"/>
    <w:rsid w:val="03FC54E3"/>
    <w:rsid w:val="04A647CA"/>
    <w:rsid w:val="04CE5ACF"/>
    <w:rsid w:val="08832E42"/>
    <w:rsid w:val="0BAF0656"/>
    <w:rsid w:val="0D080DA5"/>
    <w:rsid w:val="0D2C5A88"/>
    <w:rsid w:val="0DBD45F4"/>
    <w:rsid w:val="0E3C06F2"/>
    <w:rsid w:val="0F7A0D2D"/>
    <w:rsid w:val="0F841BAC"/>
    <w:rsid w:val="11D503B1"/>
    <w:rsid w:val="15C93601"/>
    <w:rsid w:val="1A74272B"/>
    <w:rsid w:val="1F6D0207"/>
    <w:rsid w:val="20C75336"/>
    <w:rsid w:val="216B2749"/>
    <w:rsid w:val="219E192C"/>
    <w:rsid w:val="280671AA"/>
    <w:rsid w:val="294C715E"/>
    <w:rsid w:val="309B06AC"/>
    <w:rsid w:val="36DB1727"/>
    <w:rsid w:val="37C335E4"/>
    <w:rsid w:val="3A1026FE"/>
    <w:rsid w:val="3B2856FD"/>
    <w:rsid w:val="3DE24912"/>
    <w:rsid w:val="490E5B2A"/>
    <w:rsid w:val="4E1D064C"/>
    <w:rsid w:val="51AC51CB"/>
    <w:rsid w:val="59975605"/>
    <w:rsid w:val="5A134327"/>
    <w:rsid w:val="5E9B459D"/>
    <w:rsid w:val="5F61762A"/>
    <w:rsid w:val="61B228B8"/>
    <w:rsid w:val="66BF5BA5"/>
    <w:rsid w:val="690C08EF"/>
    <w:rsid w:val="6C3C05E0"/>
    <w:rsid w:val="6F5F4271"/>
    <w:rsid w:val="718F191D"/>
    <w:rsid w:val="7AFF5D34"/>
    <w:rsid w:val="7C8E5F03"/>
    <w:rsid w:val="7E1150D6"/>
    <w:rsid w:val="7F615596"/>
    <w:rsid w:val="7F7A3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2"/>
      <w:lang w:val="en-US" w:eastAsia="zh-CN" w:bidi="ar-SA"/>
    </w:rPr>
  </w:style>
  <w:style w:type="paragraph" w:styleId="4">
    <w:name w:val="heading 1"/>
    <w:basedOn w:val="5"/>
    <w:next w:val="1"/>
    <w:autoRedefine/>
    <w:qFormat/>
    <w:uiPriority w:val="0"/>
    <w:pPr>
      <w:keepNext/>
      <w:keepLines/>
      <w:spacing w:line="576" w:lineRule="auto"/>
      <w:outlineLvl w:val="0"/>
    </w:pPr>
    <w:rPr>
      <w:kern w:val="44"/>
      <w:sz w:val="44"/>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customStyle="1" w:styleId="2">
    <w:name w:val="Default"/>
    <w:basedOn w:val="3"/>
    <w:next w:val="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
    <w:name w:val="正文1"/>
    <w:autoRedefine/>
    <w:qFormat/>
    <w:uiPriority w:val="0"/>
    <w:rPr>
      <w:rFonts w:ascii="Times New Roman" w:hAnsi="Times New Roman" w:eastAsia="宋体" w:cs="Times New Roman"/>
      <w:lang w:val="en-US" w:eastAsia="zh-CN" w:bidi="ar-SA"/>
    </w:rPr>
  </w:style>
  <w:style w:type="paragraph" w:styleId="5">
    <w:name w:val="Title"/>
    <w:basedOn w:val="1"/>
    <w:next w:val="1"/>
    <w:qFormat/>
    <w:uiPriority w:val="10"/>
    <w:pPr>
      <w:spacing w:before="240" w:after="60"/>
      <w:jc w:val="center"/>
      <w:outlineLvl w:val="0"/>
    </w:pPr>
    <w:rPr>
      <w:rFonts w:ascii="Arial" w:hAnsi="Arial" w:cs="Arial"/>
      <w:b/>
      <w:bCs/>
    </w:rPr>
  </w:style>
  <w:style w:type="paragraph" w:styleId="6">
    <w:name w:val="Normal Indent"/>
    <w:basedOn w:val="1"/>
    <w:autoRedefine/>
    <w:qFormat/>
    <w:uiPriority w:val="0"/>
    <w:pPr>
      <w:ind w:firstLine="420" w:firstLineChars="200"/>
    </w:pPr>
  </w:style>
  <w:style w:type="paragraph" w:styleId="7">
    <w:name w:val="footer"/>
    <w:basedOn w:val="1"/>
    <w:autoRedefine/>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1">
    <w:name w:val="page number"/>
    <w:qFormat/>
    <w:uiPriority w:val="0"/>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6</Pages>
  <Words>2293</Words>
  <Characters>2692</Characters>
  <Lines>0</Lines>
  <Paragraphs>0</Paragraphs>
  <TotalTime>11</TotalTime>
  <ScaleCrop>false</ScaleCrop>
  <LinksUpToDate>false</LinksUpToDate>
  <CharactersWithSpaces>2903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2024-01-15T06:00:00Z</dcterms:created>
  <dc:creator>尤粉华</dc:creator>
  <cp:lastModifiedBy>春風~~say bye again~</cp:lastModifiedBy>
  <dcterms:modified xsi:type="dcterms:W3CDTF">2024-08-20T04:40:54Z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C43C18E2EBD349D0A88FE6089825682E_13</vt:lpwstr>
  </property>
</Properties>
</file>