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663B2">
      <w:pPr>
        <w:spacing w:line="640" w:lineRule="exact"/>
        <w:jc w:val="both"/>
        <w:rPr>
          <w:rFonts w:hint="eastAsia"/>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w:t>
      </w:r>
    </w:p>
    <w:p w14:paraId="7A174C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五华区区级预算支出部门评价表</w:t>
      </w:r>
    </w:p>
    <w:p w14:paraId="6BCDF5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 xml:space="preserve">  2023  </w:t>
      </w:r>
      <w:r>
        <w:rPr>
          <w:rFonts w:hint="eastAsia" w:ascii="方正小标宋简体" w:hAnsi="黑体" w:eastAsia="方正小标宋简体" w:cs="Times New Roman"/>
          <w:color w:val="000000"/>
          <w:sz w:val="32"/>
          <w:szCs w:val="32"/>
          <w:lang w:eastAsia="zh-CN"/>
        </w:rPr>
        <w:t>）年度</w:t>
      </w:r>
    </w:p>
    <w:tbl>
      <w:tblPr>
        <w:tblStyle w:val="18"/>
        <w:tblpPr w:leftFromText="180" w:rightFromText="180" w:vertAnchor="text" w:horzAnchor="page" w:tblpXSpec="center" w:tblpY="25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305"/>
        <w:gridCol w:w="1334"/>
        <w:gridCol w:w="790"/>
      </w:tblGrid>
      <w:tr w14:paraId="31B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28449B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232" w:type="dxa"/>
            <w:gridSpan w:val="9"/>
            <w:noWrap w:val="0"/>
            <w:vAlign w:val="center"/>
          </w:tcPr>
          <w:p w14:paraId="3F6324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rPr>
            </w:pPr>
            <w:r>
              <w:rPr>
                <w:rFonts w:hint="eastAsia" w:ascii="宋体" w:hAnsi="宋体" w:eastAsia="宋体"/>
                <w:sz w:val="18"/>
                <w:szCs w:val="18"/>
              </w:rPr>
              <w:t>非公有制经济和非公有制经济人士工作经费</w:t>
            </w:r>
          </w:p>
        </w:tc>
      </w:tr>
      <w:tr w14:paraId="4CAC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5C1FBAE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72DC4287">
            <w:pPr>
              <w:spacing w:line="300" w:lineRule="exact"/>
              <w:ind w:left="0" w:leftChars="0" w:right="0" w:rightChars="0" w:firstLine="0" w:firstLineChars="0"/>
              <w:jc w:val="left"/>
              <w:rPr>
                <w:rFonts w:hint="default" w:ascii="宋体" w:hAnsi="宋体" w:eastAsia="宋体"/>
                <w:sz w:val="18"/>
                <w:szCs w:val="18"/>
                <w:lang w:val="en-US" w:eastAsia="zh-CN"/>
              </w:rPr>
            </w:pPr>
            <w:r>
              <w:rPr>
                <w:rFonts w:hint="eastAsia" w:ascii="宋体" w:hAnsi="宋体"/>
                <w:sz w:val="18"/>
                <w:szCs w:val="18"/>
                <w:lang w:val="en-US" w:eastAsia="zh-CN"/>
              </w:rPr>
              <w:t>昆明市五华区财政局</w:t>
            </w:r>
          </w:p>
        </w:tc>
        <w:tc>
          <w:tcPr>
            <w:tcW w:w="2069" w:type="dxa"/>
            <w:gridSpan w:val="3"/>
            <w:noWrap w:val="0"/>
            <w:vAlign w:val="center"/>
          </w:tcPr>
          <w:p w14:paraId="2FE7A2E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124" w:type="dxa"/>
            <w:gridSpan w:val="2"/>
            <w:noWrap w:val="0"/>
            <w:vAlign w:val="center"/>
          </w:tcPr>
          <w:p w14:paraId="3CB2058F">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昆明市五华区工商业联合会</w:t>
            </w:r>
          </w:p>
        </w:tc>
      </w:tr>
      <w:tr w14:paraId="735E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2A52DE9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2669AA86">
            <w:pPr>
              <w:spacing w:line="300" w:lineRule="exact"/>
              <w:ind w:left="0" w:leftChars="0" w:right="0" w:rightChars="0" w:firstLine="0" w:firstLineChars="0"/>
              <w:jc w:val="both"/>
              <w:rPr>
                <w:rFonts w:hint="default" w:ascii="宋体" w:hAnsi="宋体" w:eastAsia="宋体"/>
                <w:sz w:val="18"/>
                <w:szCs w:val="18"/>
                <w:lang w:val="en-US" w:eastAsia="zh-CN"/>
              </w:rPr>
            </w:pPr>
            <w:r>
              <w:rPr>
                <w:rFonts w:hint="eastAsia"/>
              </w:rPr>
              <w:t>王耀</w:t>
            </w:r>
          </w:p>
        </w:tc>
        <w:tc>
          <w:tcPr>
            <w:tcW w:w="2069" w:type="dxa"/>
            <w:gridSpan w:val="3"/>
            <w:noWrap w:val="0"/>
            <w:vAlign w:val="center"/>
          </w:tcPr>
          <w:p w14:paraId="57B7E5C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124" w:type="dxa"/>
            <w:gridSpan w:val="2"/>
            <w:noWrap w:val="0"/>
            <w:vAlign w:val="center"/>
          </w:tcPr>
          <w:p w14:paraId="2C4311E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63634860</w:t>
            </w:r>
          </w:p>
        </w:tc>
      </w:tr>
      <w:tr w14:paraId="10EE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8045FA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232" w:type="dxa"/>
            <w:gridSpan w:val="9"/>
            <w:noWrap w:val="0"/>
            <w:vAlign w:val="center"/>
          </w:tcPr>
          <w:p w14:paraId="0D85535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 xml:space="preserve">经常性项目（ </w:t>
            </w:r>
            <w:r>
              <w:rPr>
                <w:rFonts w:hint="default" w:ascii="Arial" w:hAnsi="Arial" w:eastAsia="宋体" w:cs="Arial"/>
                <w:sz w:val="18"/>
                <w:szCs w:val="18"/>
              </w:rPr>
              <w:t>√</w:t>
            </w:r>
            <w:r>
              <w:rPr>
                <w:rFonts w:hint="eastAsia" w:ascii="宋体" w:hAnsi="宋体" w:eastAsia="宋体"/>
                <w:sz w:val="18"/>
                <w:szCs w:val="18"/>
              </w:rPr>
              <w:t xml:space="preserve">  ）       一次性项目（  ）</w:t>
            </w:r>
          </w:p>
        </w:tc>
      </w:tr>
      <w:tr w14:paraId="0F4A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188E1E2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59DCD41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7D91C72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523" w:type="dxa"/>
            <w:gridSpan w:val="2"/>
            <w:noWrap w:val="0"/>
            <w:vAlign w:val="center"/>
          </w:tcPr>
          <w:p w14:paraId="404DBA9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4" w:type="dxa"/>
            <w:noWrap w:val="0"/>
            <w:vAlign w:val="center"/>
          </w:tcPr>
          <w:p w14:paraId="3942816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90" w:type="dxa"/>
            <w:noWrap w:val="0"/>
            <w:vAlign w:val="center"/>
          </w:tcPr>
          <w:p w14:paraId="54C4F62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2558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48E570B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2804696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left"/>
              <w:textAlignment w:val="auto"/>
              <w:outlineLvl w:val="9"/>
              <w:rPr>
                <w:rFonts w:hint="default" w:ascii="宋体" w:hAnsi="宋体" w:eastAsia="宋体"/>
                <w:sz w:val="18"/>
                <w:szCs w:val="18"/>
                <w:lang w:val="en-US" w:eastAsia="zh-CN"/>
              </w:rPr>
            </w:pPr>
            <w:r>
              <w:rPr>
                <w:rFonts w:hint="eastAsia" w:ascii="宋体" w:hAnsi="宋体" w:eastAsia="宋体"/>
                <w:sz w:val="18"/>
                <w:szCs w:val="18"/>
              </w:rPr>
              <w:t>非公有制经济和非公有制经济人士</w:t>
            </w:r>
            <w:r>
              <w:rPr>
                <w:rFonts w:hint="eastAsia" w:ascii="宋体" w:hAnsi="宋体"/>
                <w:sz w:val="18"/>
                <w:szCs w:val="18"/>
                <w:lang w:val="en-US" w:eastAsia="zh-CN"/>
              </w:rPr>
              <w:t>的办公费</w:t>
            </w:r>
          </w:p>
        </w:tc>
        <w:tc>
          <w:tcPr>
            <w:tcW w:w="1614" w:type="dxa"/>
            <w:gridSpan w:val="3"/>
            <w:noWrap w:val="0"/>
            <w:vAlign w:val="center"/>
          </w:tcPr>
          <w:p w14:paraId="2BCC962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5.00</w:t>
            </w:r>
          </w:p>
        </w:tc>
        <w:tc>
          <w:tcPr>
            <w:tcW w:w="1523" w:type="dxa"/>
            <w:gridSpan w:val="2"/>
            <w:noWrap w:val="0"/>
            <w:vAlign w:val="center"/>
          </w:tcPr>
          <w:p w14:paraId="10D548EF">
            <w:pPr>
              <w:keepNext w:val="0"/>
              <w:keepLines w:val="0"/>
              <w:pageBreakBefore w:val="0"/>
              <w:widowControl w:val="0"/>
              <w:tabs>
                <w:tab w:val="center" w:pos="676"/>
              </w:tabs>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0</w:t>
            </w:r>
          </w:p>
        </w:tc>
        <w:tc>
          <w:tcPr>
            <w:tcW w:w="1334" w:type="dxa"/>
            <w:noWrap w:val="0"/>
            <w:vAlign w:val="center"/>
          </w:tcPr>
          <w:p w14:paraId="5EA16A7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0</w:t>
            </w:r>
          </w:p>
        </w:tc>
        <w:tc>
          <w:tcPr>
            <w:tcW w:w="790" w:type="dxa"/>
            <w:noWrap w:val="0"/>
            <w:vAlign w:val="center"/>
          </w:tcPr>
          <w:p w14:paraId="0C6A084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0%</w:t>
            </w:r>
          </w:p>
        </w:tc>
      </w:tr>
      <w:tr w14:paraId="32B6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1077070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63A95F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1E63871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3FFAE68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218EDA5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1DBF9C9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73E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CAD7C6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5EEC56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720A066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2E620E1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00EC342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7D59792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227C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6B545F9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3BB304C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54E8E6E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16E07FB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508B12D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40FC040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685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451C446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4FBA459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3BCBAC7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2356055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5CACCD8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1F5B340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9E9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5ED79FB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w:t>
            </w:r>
            <w:r>
              <w:rPr>
                <w:rFonts w:hint="eastAsia" w:ascii="宋体" w:hAnsi="宋体"/>
                <w:b/>
                <w:bCs/>
                <w:sz w:val="18"/>
                <w:szCs w:val="18"/>
                <w:lang w:val="en-US" w:eastAsia="zh-CN"/>
              </w:rPr>
              <w:t xml:space="preserve">      </w:t>
            </w:r>
            <w:r>
              <w:rPr>
                <w:rFonts w:hint="eastAsia" w:ascii="宋体" w:hAnsi="宋体"/>
                <w:b/>
                <w:bCs/>
                <w:sz w:val="18"/>
                <w:szCs w:val="18"/>
                <w:lang w:eastAsia="zh-CN"/>
              </w:rPr>
              <w:t>计</w:t>
            </w:r>
          </w:p>
        </w:tc>
        <w:tc>
          <w:tcPr>
            <w:tcW w:w="1614" w:type="dxa"/>
            <w:gridSpan w:val="3"/>
            <w:noWrap w:val="0"/>
            <w:vAlign w:val="center"/>
          </w:tcPr>
          <w:p w14:paraId="3257476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1523" w:type="dxa"/>
            <w:gridSpan w:val="2"/>
            <w:noWrap w:val="0"/>
            <w:vAlign w:val="center"/>
          </w:tcPr>
          <w:p w14:paraId="1E7BCB0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1334" w:type="dxa"/>
            <w:noWrap w:val="0"/>
            <w:vAlign w:val="center"/>
          </w:tcPr>
          <w:p w14:paraId="52474B5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790" w:type="dxa"/>
            <w:noWrap w:val="0"/>
            <w:vAlign w:val="center"/>
          </w:tcPr>
          <w:p w14:paraId="2654BFC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r>
      <w:tr w14:paraId="3B87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3758" w:type="dxa"/>
            <w:gridSpan w:val="5"/>
            <w:noWrap w:val="0"/>
            <w:vAlign w:val="center"/>
          </w:tcPr>
          <w:p w14:paraId="039A36F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rPr>
              <w:t>其中：中央财政</w:t>
            </w:r>
          </w:p>
        </w:tc>
        <w:tc>
          <w:tcPr>
            <w:tcW w:w="1614" w:type="dxa"/>
            <w:gridSpan w:val="3"/>
            <w:noWrap w:val="0"/>
            <w:vAlign w:val="center"/>
          </w:tcPr>
          <w:p w14:paraId="506DE8EA">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3F655620">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08017C85">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397C0F70">
            <w:pPr>
              <w:spacing w:line="300" w:lineRule="exact"/>
              <w:ind w:left="0" w:leftChars="0" w:right="0" w:rightChars="0" w:firstLine="0" w:firstLineChars="0"/>
              <w:jc w:val="center"/>
              <w:rPr>
                <w:rFonts w:hint="eastAsia" w:ascii="宋体" w:hAnsi="宋体" w:eastAsia="宋体"/>
                <w:sz w:val="18"/>
                <w:szCs w:val="18"/>
              </w:rPr>
            </w:pPr>
          </w:p>
        </w:tc>
      </w:tr>
      <w:tr w14:paraId="29D1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2DDB618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114315C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55BAB8D0">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0CB15286">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086EA7A1">
            <w:pPr>
              <w:spacing w:line="300" w:lineRule="exact"/>
              <w:ind w:left="0" w:leftChars="0" w:right="0" w:rightChars="0" w:firstLine="0" w:firstLineChars="0"/>
              <w:jc w:val="center"/>
              <w:rPr>
                <w:rFonts w:hint="eastAsia" w:ascii="宋体" w:hAnsi="宋体" w:eastAsia="宋体"/>
                <w:sz w:val="18"/>
                <w:szCs w:val="18"/>
              </w:rPr>
            </w:pPr>
          </w:p>
        </w:tc>
      </w:tr>
      <w:tr w14:paraId="09E9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2BCEFC6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66CCA30E">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4A66F7F5">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1DBF0400">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3D7DC36F">
            <w:pPr>
              <w:spacing w:line="300" w:lineRule="exact"/>
              <w:ind w:left="0" w:leftChars="0" w:right="0" w:rightChars="0" w:firstLine="0" w:firstLineChars="0"/>
              <w:jc w:val="center"/>
              <w:rPr>
                <w:rFonts w:hint="eastAsia" w:ascii="宋体" w:hAnsi="宋体" w:eastAsia="宋体"/>
                <w:sz w:val="18"/>
                <w:szCs w:val="18"/>
              </w:rPr>
            </w:pPr>
          </w:p>
        </w:tc>
      </w:tr>
      <w:tr w14:paraId="1EFB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0F2EF473">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 xml:space="preserve">                      区级财政</w:t>
            </w:r>
          </w:p>
        </w:tc>
        <w:tc>
          <w:tcPr>
            <w:tcW w:w="1614" w:type="dxa"/>
            <w:gridSpan w:val="3"/>
            <w:noWrap w:val="0"/>
            <w:vAlign w:val="center"/>
          </w:tcPr>
          <w:p w14:paraId="1766967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5.00</w:t>
            </w:r>
          </w:p>
        </w:tc>
        <w:tc>
          <w:tcPr>
            <w:tcW w:w="1523" w:type="dxa"/>
            <w:gridSpan w:val="2"/>
            <w:noWrap w:val="0"/>
            <w:vAlign w:val="center"/>
          </w:tcPr>
          <w:p w14:paraId="410B3FD1">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0</w:t>
            </w:r>
          </w:p>
        </w:tc>
        <w:tc>
          <w:tcPr>
            <w:tcW w:w="1334" w:type="dxa"/>
            <w:noWrap w:val="0"/>
            <w:vAlign w:val="center"/>
          </w:tcPr>
          <w:p w14:paraId="1BF68D61">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0</w:t>
            </w:r>
          </w:p>
        </w:tc>
        <w:tc>
          <w:tcPr>
            <w:tcW w:w="790" w:type="dxa"/>
            <w:noWrap w:val="0"/>
            <w:vAlign w:val="center"/>
          </w:tcPr>
          <w:p w14:paraId="46805CBA">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0%</w:t>
            </w:r>
          </w:p>
        </w:tc>
      </w:tr>
      <w:tr w14:paraId="2948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01E2973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其他</w:t>
            </w:r>
          </w:p>
        </w:tc>
        <w:tc>
          <w:tcPr>
            <w:tcW w:w="1614" w:type="dxa"/>
            <w:gridSpan w:val="3"/>
            <w:noWrap w:val="0"/>
            <w:vAlign w:val="center"/>
          </w:tcPr>
          <w:p w14:paraId="1CE92795">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170914E3">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39C1E6F2">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3A19885F">
            <w:pPr>
              <w:spacing w:line="300" w:lineRule="exact"/>
              <w:ind w:left="0" w:leftChars="0" w:right="0" w:rightChars="0" w:firstLine="0" w:firstLineChars="0"/>
              <w:jc w:val="center"/>
              <w:rPr>
                <w:rFonts w:hint="eastAsia" w:ascii="宋体" w:hAnsi="宋体" w:eastAsia="宋体"/>
                <w:sz w:val="18"/>
                <w:szCs w:val="18"/>
              </w:rPr>
            </w:pPr>
          </w:p>
        </w:tc>
      </w:tr>
      <w:tr w14:paraId="3301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5750608A">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5033B1D4">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647" w:type="dxa"/>
            <w:gridSpan w:val="4"/>
            <w:noWrap w:val="0"/>
            <w:vAlign w:val="center"/>
          </w:tcPr>
          <w:p w14:paraId="7CC47393">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49D8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019" w:hRule="atLeast"/>
          <w:jc w:val="center"/>
        </w:trPr>
        <w:tc>
          <w:tcPr>
            <w:tcW w:w="1787" w:type="dxa"/>
            <w:gridSpan w:val="3"/>
            <w:vMerge w:val="continue"/>
            <w:noWrap w:val="0"/>
            <w:vAlign w:val="center"/>
          </w:tcPr>
          <w:p w14:paraId="66CFA015">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3B42679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left"/>
              <w:textAlignment w:val="auto"/>
              <w:outlineLvl w:val="9"/>
              <w:rPr>
                <w:rFonts w:hint="eastAsia" w:ascii="宋体" w:hAnsi="宋体" w:eastAsia="宋体"/>
                <w:sz w:val="18"/>
                <w:szCs w:val="18"/>
              </w:rPr>
            </w:pPr>
            <w:r>
              <w:rPr>
                <w:rFonts w:hint="default" w:ascii="宋体" w:hAnsi="宋体" w:eastAsia="宋体"/>
                <w:sz w:val="18"/>
                <w:szCs w:val="18"/>
                <w:lang w:val="en-US" w:eastAsia="zh-CN"/>
              </w:rPr>
              <w:t>1.组织非公经济人士深入学习党的十九大和习近平新时代中国特色社会主义思想、中央及省市区党委、纪委全会、经济工作会、招商引资工作会、统战工作会精神。传达贯彻习近平总书记在参加全国政协十二届四次会议民建、工商联界委员联组会时重要讲话精神、党的十九大及习近平总书记关于民营经济的重要论述、全国工商联十二大部署精神，把握时代精神</w:t>
            </w:r>
            <w:r>
              <w:rPr>
                <w:rFonts w:hint="eastAsia" w:ascii="宋体" w:hAnsi="宋体"/>
                <w:sz w:val="18"/>
                <w:szCs w:val="18"/>
                <w:lang w:val="en-US" w:eastAsia="zh-CN"/>
              </w:rPr>
              <w:t>，</w:t>
            </w:r>
            <w:r>
              <w:rPr>
                <w:rFonts w:hint="default" w:ascii="宋体" w:hAnsi="宋体" w:eastAsia="宋体"/>
                <w:sz w:val="18"/>
                <w:szCs w:val="18"/>
                <w:lang w:val="en-US" w:eastAsia="zh-CN"/>
              </w:rPr>
              <w:t>绷紧思想主线</w:t>
            </w:r>
            <w:r>
              <w:rPr>
                <w:rFonts w:hint="eastAsia" w:ascii="宋体" w:hAnsi="宋体"/>
                <w:sz w:val="18"/>
                <w:szCs w:val="18"/>
                <w:lang w:val="en-US" w:eastAsia="zh-CN"/>
              </w:rPr>
              <w:t>。</w:t>
            </w:r>
            <w:r>
              <w:rPr>
                <w:rFonts w:hint="default" w:ascii="宋体" w:hAnsi="宋体" w:eastAsia="宋体"/>
                <w:sz w:val="18"/>
                <w:szCs w:val="18"/>
                <w:lang w:val="en-US" w:eastAsia="zh-CN"/>
              </w:rPr>
              <w:t>2.深入开展非公经济人士理想信念教育实践活动，践行"两个健康"使命，注重成果转化，作为促进非公经济健康发展，非公经济人士健康成长的重要目标和主要途径。3.积极推荐非公经济先进典型参加省、市、区评优评先，全面展示非公经济发展成就和非公经济人士风采。4.加强非公有制企业的认同感、归属感和责任感，体现党委、政府对非公经济代表人士的人文关怀和政治待遇，年内组织有贡献民营企业家代表体检1次。5.深化对非公经济代表人士的教育培训工程，组织举办非公经济代表人士培训班，配合上级部门组织完成年轻一代民营企业家入会建库工作，组织民营企业家赴国内知名高校参加各类专题培训等。</w:t>
            </w:r>
          </w:p>
        </w:tc>
        <w:tc>
          <w:tcPr>
            <w:tcW w:w="3647" w:type="dxa"/>
            <w:gridSpan w:val="4"/>
            <w:noWrap w:val="0"/>
            <w:vAlign w:val="center"/>
          </w:tcPr>
          <w:p w14:paraId="70513EF3">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非公经济人士教育培训期数达到3期；“两个健康”使命实践活动次数完成2次；非公企业代表体检人数应达到30人，实际完成15人；非公经济先进典型推荐数量已完成；培训出勤率及体检完成率均达到95%；全年预算执行进度未达到95%；培训师资费标准已做到每人1500元；政策知晓率达到85%；非公企业满意度达到95%。</w:t>
            </w:r>
          </w:p>
        </w:tc>
      </w:tr>
      <w:tr w14:paraId="22F7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019" w:type="dxa"/>
            <w:gridSpan w:val="12"/>
            <w:noWrap w:val="0"/>
            <w:vAlign w:val="center"/>
          </w:tcPr>
          <w:p w14:paraId="13E4146C">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绩效评价指标评分（参考）</w:t>
            </w:r>
          </w:p>
        </w:tc>
      </w:tr>
      <w:tr w14:paraId="35CD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24BB7140">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14FB71D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7D5579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38DE05A">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C07C21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069256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BBF6A2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5457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03D6AF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1DD37BC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restart"/>
            <w:tcBorders>
              <w:top w:val="single" w:color="000000" w:sz="4" w:space="0"/>
              <w:left w:val="single" w:color="000000" w:sz="4" w:space="0"/>
              <w:right w:val="single" w:color="000000" w:sz="4" w:space="0"/>
            </w:tcBorders>
            <w:noWrap w:val="0"/>
            <w:vAlign w:val="center"/>
          </w:tcPr>
          <w:p w14:paraId="4ED7397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71858A9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4D6A5C1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BFED3E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87BCB6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23E4D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0BE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AB44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54F724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7F74FE5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9C0B41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922489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E67082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D54813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18A5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FBC4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2150DC1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5DCD491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067D070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F0FECD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3FAC31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0CAA68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E56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885CD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0AC2CE8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5742103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02FEAF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69CE86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FA02E2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446D22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5DF5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9F36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6769EE35">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BA60E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15862B83">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3947F1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AB972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3CD84A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5BCD8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4F9B67D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57D3AAEA">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CBDB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F4BF8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9DBC51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3ACAAA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9F70C0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0</w:t>
            </w:r>
          </w:p>
        </w:tc>
      </w:tr>
      <w:tr w14:paraId="0A06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0883E0A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5A874BE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42F3CFA4">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053CF0D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9ABDED5">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6853B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29D6E6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0</w:t>
            </w:r>
          </w:p>
        </w:tc>
      </w:tr>
      <w:tr w14:paraId="09C48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895B9">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4690809A">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DFFC2">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206521">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C25CAC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CD06DF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3A306F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0</w:t>
            </w:r>
          </w:p>
        </w:tc>
      </w:tr>
      <w:tr w14:paraId="3C86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6E40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559C381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0EA5294">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4BB826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93B866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2220EA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946EE2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4BAED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A40D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29FB1D32">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61818711">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5AFED277">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47225B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077BE4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AD8E2B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9E42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48F556">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53574E76">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25A8990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auto" w:sz="4" w:space="0"/>
              <w:right w:val="single" w:color="000000" w:sz="4" w:space="0"/>
            </w:tcBorders>
            <w:noWrap w:val="0"/>
            <w:vAlign w:val="center"/>
          </w:tcPr>
          <w:p w14:paraId="534A6AD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auto" w:sz="4" w:space="0"/>
              <w:right w:val="single" w:color="000000" w:sz="4" w:space="0"/>
            </w:tcBorders>
            <w:noWrap w:val="0"/>
            <w:vAlign w:val="center"/>
          </w:tcPr>
          <w:p w14:paraId="75BA064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752627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B8FEF2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A8D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0E654A5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05D755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013D97F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restart"/>
            <w:tcBorders>
              <w:top w:val="single" w:color="auto" w:sz="4" w:space="0"/>
              <w:left w:val="single" w:color="auto" w:sz="4" w:space="0"/>
              <w:right w:val="single" w:color="auto" w:sz="4" w:space="0"/>
            </w:tcBorders>
            <w:noWrap w:val="0"/>
            <w:vAlign w:val="center"/>
          </w:tcPr>
          <w:p w14:paraId="3552E1E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16</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6FCB82E">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sz w:val="18"/>
                <w:szCs w:val="18"/>
                <w:lang w:val="en-US" w:eastAsia="zh-CN"/>
              </w:rPr>
              <w:t>非公经济人士教育培训期数</w:t>
            </w:r>
          </w:p>
        </w:tc>
        <w:tc>
          <w:tcPr>
            <w:tcW w:w="1334" w:type="dxa"/>
            <w:tcBorders>
              <w:top w:val="single" w:color="000000" w:sz="4" w:space="0"/>
              <w:left w:val="single" w:color="auto" w:sz="4" w:space="0"/>
              <w:bottom w:val="single" w:color="auto" w:sz="4" w:space="0"/>
              <w:right w:val="single" w:color="000000" w:sz="4" w:space="0"/>
            </w:tcBorders>
            <w:noWrap w:val="0"/>
            <w:vAlign w:val="center"/>
          </w:tcPr>
          <w:p w14:paraId="2824DE2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auto" w:sz="4" w:space="0"/>
              <w:right w:val="single" w:color="000000" w:sz="4" w:space="0"/>
            </w:tcBorders>
            <w:noWrap w:val="0"/>
            <w:vAlign w:val="center"/>
          </w:tcPr>
          <w:p w14:paraId="30B00C7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F18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A88F2A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6C4983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33D5D70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3A66953D">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E320C6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sz w:val="18"/>
                <w:szCs w:val="18"/>
                <w:lang w:val="en-US" w:eastAsia="zh-CN"/>
              </w:rPr>
              <w:t>“两个健康”使命实践活动次数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245C25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D6324A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0C36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5D17A1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3719341">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63EA4A8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1041CB35">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2BEC33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sz w:val="18"/>
                <w:szCs w:val="18"/>
                <w:lang w:val="en-US" w:eastAsia="zh-CN"/>
              </w:rPr>
              <w:t>非公企业代表体检人数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2788F8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60679B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r>
      <w:tr w14:paraId="3E131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6C5C77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B1FC926">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25B50A3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22557E0E">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751034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sz w:val="18"/>
                <w:szCs w:val="18"/>
                <w:lang w:val="en-US" w:eastAsia="zh-CN"/>
              </w:rPr>
              <w:t>非公经济先进典型推荐数量</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6B98FE96">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E245B6B">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r>
      <w:tr w14:paraId="26D36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6A80BC9">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CBC25E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40E26C7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restart"/>
            <w:tcBorders>
              <w:top w:val="single" w:color="auto" w:sz="4" w:space="0"/>
              <w:left w:val="single" w:color="auto" w:sz="4" w:space="0"/>
              <w:right w:val="single" w:color="auto" w:sz="4" w:space="0"/>
            </w:tcBorders>
            <w:noWrap w:val="0"/>
            <w:vAlign w:val="center"/>
          </w:tcPr>
          <w:p w14:paraId="48E48305">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BE5446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培训</w:t>
            </w:r>
            <w:r>
              <w:rPr>
                <w:rFonts w:hint="eastAsia" w:ascii="宋体" w:hAnsi="宋体"/>
                <w:color w:val="000000"/>
                <w:sz w:val="18"/>
                <w:szCs w:val="18"/>
                <w:lang w:val="en-US" w:eastAsia="zh-CN"/>
              </w:rPr>
              <w:t>出勤</w:t>
            </w:r>
            <w:r>
              <w:rPr>
                <w:rFonts w:hint="eastAsia" w:ascii="宋体" w:hAnsi="宋体" w:eastAsia="宋体"/>
                <w:color w:val="000000"/>
                <w:sz w:val="18"/>
                <w:szCs w:val="18"/>
              </w:rPr>
              <w:t>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627F83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51539A3">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7F029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FF34C16">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F78CB2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3BD5BCB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continue"/>
            <w:tcBorders>
              <w:left w:val="single" w:color="auto" w:sz="4" w:space="0"/>
              <w:right w:val="single" w:color="auto" w:sz="4" w:space="0"/>
            </w:tcBorders>
            <w:noWrap w:val="0"/>
            <w:vAlign w:val="center"/>
          </w:tcPr>
          <w:p w14:paraId="78D59BF2">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1E3F5F2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体检完成率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6AFD91D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E66AC43">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62131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7D8B9B1">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AF5141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5BBDFD2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时效</w:t>
            </w:r>
          </w:p>
        </w:tc>
        <w:tc>
          <w:tcPr>
            <w:tcW w:w="621" w:type="dxa"/>
            <w:tcBorders>
              <w:top w:val="single" w:color="auto" w:sz="4" w:space="0"/>
              <w:left w:val="single" w:color="auto" w:sz="4" w:space="0"/>
              <w:right w:val="single" w:color="auto" w:sz="4" w:space="0"/>
            </w:tcBorders>
            <w:noWrap w:val="0"/>
            <w:vAlign w:val="center"/>
          </w:tcPr>
          <w:p w14:paraId="11EF9AEA">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351FEB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全年预算执行进度</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D6ED8B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A1C599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0</w:t>
            </w:r>
          </w:p>
        </w:tc>
      </w:tr>
      <w:tr w14:paraId="6DC7C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656FD0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D7B870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5B146B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auto" w:sz="4" w:space="0"/>
              <w:left w:val="single" w:color="auto" w:sz="4" w:space="0"/>
              <w:bottom w:val="single" w:color="auto" w:sz="4" w:space="0"/>
              <w:right w:val="single" w:color="auto" w:sz="4" w:space="0"/>
            </w:tcBorders>
            <w:noWrap w:val="0"/>
            <w:vAlign w:val="center"/>
          </w:tcPr>
          <w:p w14:paraId="723E9B40">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19AA04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培训师资费标准</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D179CE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97571F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1AAF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7BA06A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09DAF7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EDC87A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经济效益</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2B75657B">
            <w:pPr>
              <w:autoSpaceDN w:val="0"/>
              <w:spacing w:line="300" w:lineRule="exact"/>
              <w:ind w:left="0" w:leftChars="0" w:right="0" w:rightChars="0" w:firstLine="0" w:firstLineChars="0"/>
              <w:jc w:val="center"/>
              <w:textAlignment w:val="center"/>
              <w:rPr>
                <w:rFonts w:hint="eastAsia"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32059BEB">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不涉及</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5D0FBA6F">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1E8D8DDC">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r>
      <w:tr w14:paraId="0581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C8F2D8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D1E5C0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0DFDB71">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社会效益</w:t>
            </w:r>
          </w:p>
        </w:tc>
        <w:tc>
          <w:tcPr>
            <w:tcW w:w="621" w:type="dxa"/>
            <w:tcBorders>
              <w:top w:val="single" w:color="auto" w:sz="4" w:space="0"/>
              <w:left w:val="single" w:color="000000" w:sz="4" w:space="0"/>
              <w:right w:val="single" w:color="000000" w:sz="4" w:space="0"/>
            </w:tcBorders>
            <w:noWrap w:val="0"/>
            <w:vAlign w:val="center"/>
          </w:tcPr>
          <w:p w14:paraId="79CF1C40">
            <w:pPr>
              <w:autoSpaceDN w:val="0"/>
              <w:spacing w:line="300" w:lineRule="exact"/>
              <w:ind w:left="0" w:leftChars="0" w:right="0" w:rightChars="0" w:firstLine="0" w:firstLineChars="0"/>
              <w:jc w:val="center"/>
              <w:textAlignment w:val="center"/>
              <w:rPr>
                <w:rFonts w:hint="default" w:ascii="宋体" w:hAnsi="宋体"/>
                <w:sz w:val="18"/>
                <w:szCs w:val="18"/>
                <w:lang w:val="en-US" w:eastAsia="zh-CN"/>
              </w:rPr>
            </w:pPr>
            <w:r>
              <w:rPr>
                <w:rFonts w:hint="eastAsia" w:ascii="宋体" w:hAnsi="宋体"/>
                <w:sz w:val="18"/>
                <w:szCs w:val="18"/>
                <w:lang w:val="en-US" w:eastAsia="zh-CN"/>
              </w:rPr>
              <w:t>16</w:t>
            </w: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16A05A0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政策知晓率</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7EE85160">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16</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41AC76E8">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16</w:t>
            </w:r>
          </w:p>
        </w:tc>
      </w:tr>
      <w:tr w14:paraId="1CA2D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D987B83">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F8A036A">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77C660C">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环境效益</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365A4218">
            <w:pPr>
              <w:autoSpaceDN w:val="0"/>
              <w:spacing w:line="300" w:lineRule="exact"/>
              <w:ind w:left="0" w:leftChars="0" w:right="0" w:rightChars="0" w:firstLine="0" w:firstLineChars="0"/>
              <w:jc w:val="center"/>
              <w:textAlignment w:val="center"/>
              <w:rPr>
                <w:rFonts w:hint="eastAsia"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229720F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不涉及</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26859CE3">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0989CFE8">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r>
      <w:tr w14:paraId="37B8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E8424F1">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0EAF812">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BFF289A">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可持续影响</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5C8D2896">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69EA1B8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不涉及</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7CCA9C5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18A0CE0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p>
        </w:tc>
      </w:tr>
      <w:tr w14:paraId="2A25A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7CCF13B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AD9F639">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0DF844C">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F7B34FD">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BAFF260">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非公企业满意度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FB12D3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A44883B">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r>
      <w:tr w14:paraId="6DA4B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736B57F3">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487FC36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8E806B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650ED9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A37E0C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909EAC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EA7537E">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81</w:t>
            </w:r>
          </w:p>
        </w:tc>
      </w:tr>
      <w:tr w14:paraId="6116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7303A65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11"/>
            <w:noWrap w:val="0"/>
            <w:vAlign w:val="center"/>
          </w:tcPr>
          <w:p w14:paraId="144ED76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A3"/>
            </w:r>
            <w:r>
              <w:rPr>
                <w:rFonts w:hint="eastAsia" w:ascii="宋体" w:hAnsi="宋体" w:eastAsia="宋体" w:cs="宋体"/>
                <w:color w:val="000000"/>
                <w:kern w:val="0"/>
                <w:sz w:val="18"/>
                <w:szCs w:val="18"/>
              </w:rPr>
              <w:t xml:space="preserve">        良</w:t>
            </w:r>
            <w:r>
              <w:rPr>
                <w:rFonts w:hint="eastAsia" w:ascii="宋体" w:hAnsi="宋体" w:cs="宋体"/>
                <w:color w:val="000000"/>
                <w:kern w:val="0"/>
                <w:sz w:val="18"/>
                <w:szCs w:val="18"/>
                <w:lang w:eastAsia="zh-CN"/>
              </w:rPr>
              <w:t>☑</w:t>
            </w:r>
            <w:r>
              <w:rPr>
                <w:rFonts w:hint="eastAsia" w:ascii="宋体" w:hAnsi="宋体" w:eastAsia="宋体" w:cs="宋体"/>
                <w:color w:val="000000"/>
                <w:kern w:val="0"/>
                <w:sz w:val="18"/>
                <w:szCs w:val="18"/>
              </w:rPr>
              <w:t xml:space="preserve">       中 </w:t>
            </w:r>
            <w:r>
              <w:rPr>
                <w:rFonts w:hint="eastAsia" w:ascii="宋体" w:hAnsi="宋体" w:cs="宋体"/>
                <w:color w:val="000000"/>
                <w:kern w:val="0"/>
                <w:sz w:val="18"/>
                <w:szCs w:val="18"/>
                <w:lang w:eastAsia="zh-CN"/>
              </w:rPr>
              <w:t>□</w:t>
            </w:r>
            <w:r>
              <w:rPr>
                <w:rFonts w:hint="eastAsia" w:ascii="宋体" w:hAnsi="宋体" w:eastAsia="宋体" w:cs="宋体"/>
                <w:color w:val="000000"/>
                <w:kern w:val="0"/>
                <w:sz w:val="18"/>
                <w:szCs w:val="18"/>
              </w:rPr>
              <w:t xml:space="preserve">       差□</w:t>
            </w:r>
          </w:p>
        </w:tc>
      </w:tr>
      <w:tr w14:paraId="30DE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49F14121">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11"/>
            <w:noWrap w:val="0"/>
            <w:vAlign w:val="center"/>
          </w:tcPr>
          <w:p w14:paraId="4F659EC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115F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413" w:type="dxa"/>
            <w:noWrap w:val="0"/>
            <w:vAlign w:val="center"/>
          </w:tcPr>
          <w:p w14:paraId="4EAE24BD">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问题和建议</w:t>
            </w:r>
          </w:p>
        </w:tc>
        <w:tc>
          <w:tcPr>
            <w:tcW w:w="7606" w:type="dxa"/>
            <w:gridSpan w:val="11"/>
            <w:noWrap w:val="0"/>
            <w:vAlign w:val="top"/>
          </w:tcPr>
          <w:p w14:paraId="36B56479">
            <w:pPr>
              <w:pStyle w:val="16"/>
              <w:ind w:left="0" w:leftChars="0" w:firstLine="0" w:firstLineChars="0"/>
              <w:rPr>
                <w:rFonts w:hint="eastAsia" w:ascii="宋体" w:hAnsi="宋体" w:eastAsia="宋体" w:cs="宋体"/>
                <w:color w:val="000000"/>
                <w:kern w:val="0"/>
                <w:sz w:val="18"/>
                <w:szCs w:val="18"/>
                <w:lang w:val="en-US" w:eastAsia="zh-CN"/>
              </w:rPr>
            </w:pPr>
          </w:p>
          <w:p w14:paraId="11B1485E">
            <w:pPr>
              <w:pStyle w:val="16"/>
              <w:ind w:firstLine="0" w:firstLineChars="0"/>
              <w:jc w:val="both"/>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问题：绩效管理认识不够，资金使用不到位</w:t>
            </w:r>
          </w:p>
          <w:p w14:paraId="333A1659">
            <w:pPr>
              <w:pStyle w:val="16"/>
              <w:ind w:firstLine="0" w:firstLineChars="0"/>
              <w:jc w:val="both"/>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建议：</w:t>
            </w:r>
            <w:r>
              <w:rPr>
                <w:rFonts w:hint="eastAsia" w:ascii="宋体" w:hAnsi="宋体" w:eastAsia="宋体" w:cs="宋体"/>
                <w:color w:val="000000"/>
                <w:kern w:val="0"/>
                <w:sz w:val="18"/>
                <w:szCs w:val="18"/>
                <w:lang w:val="en-US" w:eastAsia="zh-CN"/>
              </w:rPr>
              <w:t>进一步加强对预算绩效人才队伍的培养</w:t>
            </w:r>
            <w:r>
              <w:rPr>
                <w:rFonts w:hint="eastAsia" w:ascii="宋体" w:hAnsi="宋体" w:cs="宋体"/>
                <w:color w:val="000000"/>
                <w:kern w:val="0"/>
                <w:sz w:val="18"/>
                <w:szCs w:val="18"/>
                <w:lang w:val="en-US" w:eastAsia="zh-CN"/>
              </w:rPr>
              <w:t>，加强资金管理及使用。</w:t>
            </w:r>
          </w:p>
        </w:tc>
      </w:tr>
      <w:tr w14:paraId="407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19" w:type="dxa"/>
            <w:gridSpan w:val="12"/>
            <w:noWrap w:val="0"/>
            <w:vAlign w:val="center"/>
          </w:tcPr>
          <w:p w14:paraId="27F1F8C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745B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46CFD18C">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59717975">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735B5A1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429" w:type="dxa"/>
            <w:gridSpan w:val="3"/>
            <w:noWrap w:val="0"/>
            <w:vAlign w:val="center"/>
          </w:tcPr>
          <w:p w14:paraId="6F94F7B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1E32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top"/>
          </w:tcPr>
          <w:p w14:paraId="6F021A41">
            <w:pPr>
              <w:pStyle w:val="36"/>
              <w:spacing w:before="92" w:line="219" w:lineRule="auto"/>
              <w:ind w:left="604" w:leftChars="0"/>
              <w:rPr>
                <w:rFonts w:hint="eastAsia" w:ascii="宋体" w:hAnsi="宋体" w:eastAsia="宋体" w:cs="宋体"/>
                <w:kern w:val="2"/>
                <w:sz w:val="18"/>
                <w:szCs w:val="18"/>
                <w:lang w:val="en-US" w:eastAsia="zh-CN" w:bidi="ar-SA"/>
              </w:rPr>
            </w:pPr>
            <w:r>
              <w:rPr>
                <w:spacing w:val="-2"/>
              </w:rPr>
              <w:t>段敏</w:t>
            </w:r>
          </w:p>
        </w:tc>
        <w:tc>
          <w:tcPr>
            <w:tcW w:w="2159" w:type="dxa"/>
            <w:gridSpan w:val="3"/>
            <w:noWrap w:val="0"/>
            <w:vAlign w:val="top"/>
          </w:tcPr>
          <w:p w14:paraId="194CCCBB">
            <w:pPr>
              <w:pStyle w:val="36"/>
              <w:spacing w:before="91" w:line="219" w:lineRule="auto"/>
              <w:ind w:left="712" w:leftChars="0"/>
              <w:rPr>
                <w:rFonts w:hint="eastAsia" w:ascii="宋体" w:hAnsi="宋体" w:eastAsia="宋体" w:cs="宋体"/>
                <w:kern w:val="2"/>
                <w:sz w:val="18"/>
                <w:szCs w:val="18"/>
                <w:lang w:val="en-US" w:eastAsia="zh-CN" w:bidi="ar-SA"/>
              </w:rPr>
            </w:pPr>
            <w:r>
              <w:rPr>
                <w:spacing w:val="-2"/>
              </w:rPr>
              <w:t>党组书记</w:t>
            </w:r>
          </w:p>
        </w:tc>
        <w:tc>
          <w:tcPr>
            <w:tcW w:w="2832" w:type="dxa"/>
            <w:gridSpan w:val="4"/>
            <w:noWrap w:val="0"/>
            <w:vAlign w:val="top"/>
          </w:tcPr>
          <w:p w14:paraId="57BF4F17">
            <w:pPr>
              <w:pStyle w:val="36"/>
              <w:spacing w:before="91" w:line="219" w:lineRule="auto"/>
              <w:ind w:left="595" w:leftChars="0"/>
              <w:rPr>
                <w:rFonts w:hint="eastAsia" w:ascii="宋体" w:hAnsi="宋体" w:eastAsia="宋体" w:cs="宋体"/>
                <w:kern w:val="2"/>
                <w:sz w:val="18"/>
                <w:szCs w:val="18"/>
                <w:lang w:val="en-US" w:eastAsia="zh-CN" w:bidi="ar-SA"/>
              </w:rPr>
            </w:pPr>
            <w:r>
              <w:rPr>
                <w:spacing w:val="-1"/>
              </w:rPr>
              <w:t>五华区工商业联合会</w:t>
            </w:r>
          </w:p>
        </w:tc>
        <w:tc>
          <w:tcPr>
            <w:tcW w:w="2429" w:type="dxa"/>
            <w:gridSpan w:val="3"/>
            <w:noWrap w:val="0"/>
            <w:vAlign w:val="top"/>
          </w:tcPr>
          <w:p w14:paraId="713F6EBF">
            <w:pPr>
              <w:rPr>
                <w:rFonts w:hint="eastAsia" w:ascii="Arial" w:hAnsi="Calibri" w:eastAsia="宋体" w:cs="Times New Roman"/>
                <w:kern w:val="2"/>
                <w:sz w:val="21"/>
                <w:szCs w:val="22"/>
                <w:lang w:val="en-US" w:eastAsia="zh-CN" w:bidi="ar-SA"/>
              </w:rPr>
            </w:pPr>
            <w:r>
              <w:drawing>
                <wp:anchor distT="0" distB="0" distL="0" distR="0" simplePos="0" relativeHeight="251660288" behindDoc="0" locked="0" layoutInCell="1" allowOverlap="1">
                  <wp:simplePos x="0" y="0"/>
                  <wp:positionH relativeFrom="rightMargin">
                    <wp:posOffset>-1097280</wp:posOffset>
                  </wp:positionH>
                  <wp:positionV relativeFrom="topMargin">
                    <wp:posOffset>232410</wp:posOffset>
                  </wp:positionV>
                  <wp:extent cx="546100" cy="298450"/>
                  <wp:effectExtent l="0" t="0" r="0" b="6350"/>
                  <wp:wrapNone/>
                  <wp:docPr id="3" name="IM 4"/>
                  <wp:cNvGraphicFramePr/>
                  <a:graphic xmlns:a="http://schemas.openxmlformats.org/drawingml/2006/main">
                    <a:graphicData uri="http://schemas.openxmlformats.org/drawingml/2006/picture">
                      <pic:pic xmlns:pic="http://schemas.openxmlformats.org/drawingml/2006/picture">
                        <pic:nvPicPr>
                          <pic:cNvPr id="3" name="IM 4"/>
                          <pic:cNvPicPr/>
                        </pic:nvPicPr>
                        <pic:blipFill>
                          <a:blip r:embed="rId5"/>
                          <a:stretch>
                            <a:fillRect/>
                          </a:stretch>
                        </pic:blipFill>
                        <pic:spPr>
                          <a:xfrm>
                            <a:off x="0" y="0"/>
                            <a:ext cx="546108" cy="298525"/>
                          </a:xfrm>
                          <a:prstGeom prst="rect">
                            <a:avLst/>
                          </a:prstGeom>
                        </pic:spPr>
                      </pic:pic>
                    </a:graphicData>
                  </a:graphic>
                </wp:anchor>
              </w:drawing>
            </w:r>
            <w:r>
              <w:drawing>
                <wp:anchor distT="0" distB="0" distL="0" distR="0" simplePos="0" relativeHeight="251659264" behindDoc="0" locked="0" layoutInCell="1" allowOverlap="1">
                  <wp:simplePos x="0" y="0"/>
                  <wp:positionH relativeFrom="rightMargin">
                    <wp:posOffset>-1038225</wp:posOffset>
                  </wp:positionH>
                  <wp:positionV relativeFrom="topMargin">
                    <wp:posOffset>-59690</wp:posOffset>
                  </wp:positionV>
                  <wp:extent cx="560070" cy="298450"/>
                  <wp:effectExtent l="0" t="0" r="11430" b="6350"/>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6"/>
                          <a:stretch>
                            <a:fillRect/>
                          </a:stretch>
                        </pic:blipFill>
                        <pic:spPr>
                          <a:xfrm>
                            <a:off x="0" y="0"/>
                            <a:ext cx="560049" cy="298418"/>
                          </a:xfrm>
                          <a:prstGeom prst="rect">
                            <a:avLst/>
                          </a:prstGeom>
                        </pic:spPr>
                      </pic:pic>
                    </a:graphicData>
                  </a:graphic>
                </wp:anchor>
              </w:drawing>
            </w:r>
          </w:p>
        </w:tc>
      </w:tr>
      <w:tr w14:paraId="765D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top"/>
          </w:tcPr>
          <w:p w14:paraId="5CDE64D9">
            <w:pPr>
              <w:pStyle w:val="36"/>
              <w:spacing w:before="103" w:line="220" w:lineRule="auto"/>
              <w:ind w:left="604" w:leftChars="0"/>
              <w:rPr>
                <w:rFonts w:hint="eastAsia" w:ascii="宋体" w:hAnsi="宋体" w:eastAsia="宋体" w:cs="宋体"/>
                <w:kern w:val="2"/>
                <w:sz w:val="18"/>
                <w:szCs w:val="18"/>
                <w:lang w:val="en-US" w:eastAsia="zh-CN" w:bidi="ar-SA"/>
              </w:rPr>
            </w:pPr>
            <w:r>
              <w:rPr>
                <w:spacing w:val="5"/>
              </w:rPr>
              <w:t>马俊</w:t>
            </w:r>
          </w:p>
        </w:tc>
        <w:tc>
          <w:tcPr>
            <w:tcW w:w="2159" w:type="dxa"/>
            <w:gridSpan w:val="3"/>
            <w:noWrap w:val="0"/>
            <w:vAlign w:val="top"/>
          </w:tcPr>
          <w:p w14:paraId="2858D9C0">
            <w:pPr>
              <w:pStyle w:val="36"/>
              <w:spacing w:before="103" w:line="219" w:lineRule="auto"/>
              <w:ind w:left="801" w:leftChars="0"/>
              <w:rPr>
                <w:rFonts w:hint="eastAsia" w:ascii="宋体" w:hAnsi="宋体" w:eastAsia="宋体" w:cs="宋体"/>
                <w:kern w:val="2"/>
                <w:sz w:val="18"/>
                <w:szCs w:val="18"/>
                <w:lang w:val="en-US" w:eastAsia="zh-CN" w:bidi="ar-SA"/>
              </w:rPr>
            </w:pPr>
            <w:r>
              <w:rPr>
                <w:spacing w:val="3"/>
              </w:rPr>
              <w:t>副主席</w:t>
            </w:r>
          </w:p>
        </w:tc>
        <w:tc>
          <w:tcPr>
            <w:tcW w:w="2832" w:type="dxa"/>
            <w:gridSpan w:val="4"/>
            <w:noWrap w:val="0"/>
            <w:vAlign w:val="top"/>
          </w:tcPr>
          <w:p w14:paraId="3E64DC6C">
            <w:pPr>
              <w:pStyle w:val="36"/>
              <w:spacing w:before="102" w:line="219" w:lineRule="auto"/>
              <w:ind w:left="595" w:leftChars="0"/>
              <w:rPr>
                <w:rFonts w:hint="eastAsia" w:ascii="宋体" w:hAnsi="宋体" w:eastAsia="宋体" w:cs="宋体"/>
                <w:kern w:val="2"/>
                <w:sz w:val="18"/>
                <w:szCs w:val="18"/>
                <w:lang w:val="en-US" w:eastAsia="zh-CN" w:bidi="ar-SA"/>
              </w:rPr>
            </w:pPr>
            <w:r>
              <w:rPr>
                <w:spacing w:val="-1"/>
              </w:rPr>
              <w:t>五华区工商业联合会</w:t>
            </w:r>
          </w:p>
        </w:tc>
        <w:tc>
          <w:tcPr>
            <w:tcW w:w="2429" w:type="dxa"/>
            <w:gridSpan w:val="3"/>
            <w:noWrap w:val="0"/>
            <w:vAlign w:val="top"/>
          </w:tcPr>
          <w:p w14:paraId="0CE9D951">
            <w:pPr>
              <w:rPr>
                <w:rFonts w:hint="eastAsia" w:ascii="Arial" w:hAnsi="Calibri" w:eastAsia="宋体" w:cs="Times New Roman"/>
                <w:kern w:val="2"/>
                <w:sz w:val="21"/>
                <w:szCs w:val="22"/>
                <w:lang w:val="en-US" w:eastAsia="zh-CN" w:bidi="ar-SA"/>
              </w:rPr>
            </w:pPr>
            <w:r>
              <w:drawing>
                <wp:anchor distT="0" distB="0" distL="0" distR="0" simplePos="0" relativeHeight="251661312" behindDoc="0" locked="0" layoutInCell="1" allowOverlap="1">
                  <wp:simplePos x="0" y="0"/>
                  <wp:positionH relativeFrom="rightMargin">
                    <wp:posOffset>-1113155</wp:posOffset>
                  </wp:positionH>
                  <wp:positionV relativeFrom="topMargin">
                    <wp:posOffset>214630</wp:posOffset>
                  </wp:positionV>
                  <wp:extent cx="648335" cy="374650"/>
                  <wp:effectExtent l="0" t="0" r="12065" b="6350"/>
                  <wp:wrapNone/>
                  <wp:docPr id="5" name="IM 6"/>
                  <wp:cNvGraphicFramePr/>
                  <a:graphic xmlns:a="http://schemas.openxmlformats.org/drawingml/2006/main">
                    <a:graphicData uri="http://schemas.openxmlformats.org/drawingml/2006/picture">
                      <pic:pic xmlns:pic="http://schemas.openxmlformats.org/drawingml/2006/picture">
                        <pic:nvPicPr>
                          <pic:cNvPr id="5" name="IM 6"/>
                          <pic:cNvPicPr/>
                        </pic:nvPicPr>
                        <pic:blipFill>
                          <a:blip r:embed="rId7"/>
                          <a:stretch>
                            <a:fillRect/>
                          </a:stretch>
                        </pic:blipFill>
                        <pic:spPr>
                          <a:xfrm>
                            <a:off x="0" y="0"/>
                            <a:ext cx="648628" cy="374678"/>
                          </a:xfrm>
                          <a:prstGeom prst="rect">
                            <a:avLst/>
                          </a:prstGeom>
                        </pic:spPr>
                      </pic:pic>
                    </a:graphicData>
                  </a:graphic>
                </wp:anchor>
              </w:drawing>
            </w:r>
          </w:p>
        </w:tc>
      </w:tr>
      <w:tr w14:paraId="15E3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top"/>
          </w:tcPr>
          <w:p w14:paraId="297AF2BA">
            <w:pPr>
              <w:pStyle w:val="36"/>
              <w:spacing w:before="94" w:line="219" w:lineRule="auto"/>
              <w:ind w:left="515" w:leftChars="0"/>
              <w:rPr>
                <w:rFonts w:hint="eastAsia" w:ascii="宋体" w:hAnsi="宋体" w:eastAsia="宋体" w:cs="宋体"/>
                <w:kern w:val="2"/>
                <w:sz w:val="18"/>
                <w:szCs w:val="18"/>
                <w:lang w:val="en-US" w:eastAsia="zh-CN" w:bidi="ar-SA"/>
              </w:rPr>
            </w:pPr>
            <w:r>
              <w:rPr>
                <w:spacing w:val="3"/>
              </w:rPr>
              <w:t>翟云霞</w:t>
            </w:r>
          </w:p>
        </w:tc>
        <w:tc>
          <w:tcPr>
            <w:tcW w:w="2159" w:type="dxa"/>
            <w:gridSpan w:val="3"/>
            <w:noWrap w:val="0"/>
            <w:vAlign w:val="top"/>
          </w:tcPr>
          <w:p w14:paraId="14E930DB">
            <w:pPr>
              <w:pStyle w:val="36"/>
              <w:spacing w:before="93" w:line="219" w:lineRule="auto"/>
              <w:ind w:left="801" w:leftChars="0"/>
              <w:rPr>
                <w:rFonts w:hint="eastAsia" w:ascii="宋体" w:hAnsi="宋体" w:eastAsia="宋体" w:cs="宋体"/>
                <w:kern w:val="2"/>
                <w:sz w:val="18"/>
                <w:szCs w:val="18"/>
                <w:lang w:val="en-US" w:eastAsia="zh-CN" w:bidi="ar-SA"/>
              </w:rPr>
            </w:pPr>
            <w:r>
              <w:drawing>
                <wp:anchor distT="0" distB="0" distL="0" distR="0" simplePos="0" relativeHeight="251664384" behindDoc="0" locked="0" layoutInCell="1" allowOverlap="1">
                  <wp:simplePos x="0" y="0"/>
                  <wp:positionH relativeFrom="column">
                    <wp:posOffset>831215</wp:posOffset>
                  </wp:positionH>
                  <wp:positionV relativeFrom="paragraph">
                    <wp:posOffset>178435</wp:posOffset>
                  </wp:positionV>
                  <wp:extent cx="2495550" cy="1473200"/>
                  <wp:effectExtent l="0" t="0" r="635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2495550" cy="1473200"/>
                          </a:xfrm>
                          <a:prstGeom prst="rect">
                            <a:avLst/>
                          </a:prstGeom>
                        </pic:spPr>
                      </pic:pic>
                    </a:graphicData>
                  </a:graphic>
                </wp:anchor>
              </w:drawing>
            </w:r>
            <w:r>
              <w:rPr>
                <w:spacing w:val="-2"/>
              </w:rPr>
              <w:t>秘书长</w:t>
            </w:r>
          </w:p>
        </w:tc>
        <w:tc>
          <w:tcPr>
            <w:tcW w:w="2832" w:type="dxa"/>
            <w:gridSpan w:val="4"/>
            <w:noWrap w:val="0"/>
            <w:vAlign w:val="top"/>
          </w:tcPr>
          <w:p w14:paraId="6F5CE98A">
            <w:pPr>
              <w:pStyle w:val="36"/>
              <w:spacing w:before="93" w:line="219" w:lineRule="auto"/>
              <w:ind w:left="595" w:leftChars="0"/>
              <w:rPr>
                <w:rFonts w:hint="eastAsia" w:ascii="宋体" w:hAnsi="宋体" w:eastAsia="宋体" w:cs="宋体"/>
                <w:kern w:val="2"/>
                <w:sz w:val="18"/>
                <w:szCs w:val="18"/>
                <w:lang w:val="en-US" w:eastAsia="zh-CN" w:bidi="ar-SA"/>
              </w:rPr>
            </w:pPr>
            <w:r>
              <w:rPr>
                <w:spacing w:val="-1"/>
              </w:rPr>
              <w:t>五华区工商业联合会</w:t>
            </w:r>
          </w:p>
        </w:tc>
        <w:tc>
          <w:tcPr>
            <w:tcW w:w="2429" w:type="dxa"/>
            <w:gridSpan w:val="3"/>
            <w:noWrap w:val="0"/>
            <w:vAlign w:val="top"/>
          </w:tcPr>
          <w:p w14:paraId="0B30056A">
            <w:pPr>
              <w:rPr>
                <w:rFonts w:hint="eastAsia" w:ascii="Arial" w:hAnsi="Calibri" w:eastAsia="宋体" w:cs="Times New Roman"/>
                <w:kern w:val="2"/>
                <w:sz w:val="21"/>
                <w:szCs w:val="22"/>
                <w:lang w:val="en-US" w:eastAsia="zh-CN" w:bidi="ar-SA"/>
              </w:rPr>
            </w:pPr>
          </w:p>
        </w:tc>
      </w:tr>
      <w:tr w14:paraId="19E6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0202237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585F7BC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1FC58D4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5F723DD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1034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019" w:type="dxa"/>
            <w:gridSpan w:val="12"/>
            <w:noWrap w:val="0"/>
            <w:vAlign w:val="center"/>
          </w:tcPr>
          <w:p w14:paraId="73CC4523">
            <w:pPr>
              <w:spacing w:line="400" w:lineRule="exact"/>
            </w:pPr>
            <w:r>
              <w:drawing>
                <wp:anchor distT="0" distB="0" distL="0" distR="0" simplePos="0" relativeHeight="251663360" behindDoc="0" locked="0" layoutInCell="1" allowOverlap="1">
                  <wp:simplePos x="0" y="0"/>
                  <wp:positionH relativeFrom="column">
                    <wp:posOffset>1264285</wp:posOffset>
                  </wp:positionH>
                  <wp:positionV relativeFrom="paragraph">
                    <wp:posOffset>244475</wp:posOffset>
                  </wp:positionV>
                  <wp:extent cx="514350" cy="273050"/>
                  <wp:effectExtent l="0" t="0" r="6350" b="635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
                          <a:stretch>
                            <a:fillRect/>
                          </a:stretch>
                        </pic:blipFill>
                        <pic:spPr>
                          <a:xfrm>
                            <a:off x="0" y="0"/>
                            <a:ext cx="514350" cy="273050"/>
                          </a:xfrm>
                          <a:prstGeom prst="rect">
                            <a:avLst/>
                          </a:prstGeom>
                        </pic:spPr>
                      </pic:pic>
                    </a:graphicData>
                  </a:graphic>
                </wp:anchor>
              </w:drawing>
            </w:r>
            <w:r>
              <w:drawing>
                <wp:anchor distT="0" distB="0" distL="0" distR="0" simplePos="0" relativeHeight="251662336" behindDoc="0" locked="0" layoutInCell="1" allowOverlap="1">
                  <wp:simplePos x="0" y="0"/>
                  <wp:positionH relativeFrom="column">
                    <wp:posOffset>999490</wp:posOffset>
                  </wp:positionH>
                  <wp:positionV relativeFrom="paragraph">
                    <wp:posOffset>2540</wp:posOffset>
                  </wp:positionV>
                  <wp:extent cx="577850" cy="254000"/>
                  <wp:effectExtent l="0" t="0" r="635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
                          <a:stretch>
                            <a:fillRect/>
                          </a:stretch>
                        </pic:blipFill>
                        <pic:spPr>
                          <a:xfrm>
                            <a:off x="0" y="0"/>
                            <a:ext cx="577850" cy="254000"/>
                          </a:xfrm>
                          <a:prstGeom prst="rect">
                            <a:avLst/>
                          </a:prstGeom>
                        </pic:spPr>
                      </pic:pic>
                    </a:graphicData>
                  </a:graphic>
                </wp:anchor>
              </w:drawing>
            </w:r>
            <w:r>
              <w:rPr>
                <w:rFonts w:hint="eastAsia"/>
              </w:rPr>
              <w:t xml:space="preserve">填报人（签字）：                                  </w:t>
            </w:r>
            <w:r>
              <w:rPr>
                <w:rFonts w:hint="eastAsia"/>
                <w:lang w:val="en-US" w:eastAsia="zh-CN"/>
              </w:rPr>
              <w:t xml:space="preserve">    </w:t>
            </w:r>
            <w:r>
              <w:rPr>
                <w:rFonts w:hint="eastAsia"/>
              </w:rPr>
              <w:t xml:space="preserve">                                      </w:t>
            </w:r>
          </w:p>
          <w:p w14:paraId="282F8CE5">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 xml:space="preserve">评价组组长（签字）：       </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p>
          <w:p w14:paraId="520D0870">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 xml:space="preserve">价部门负责人（签字并盖章）：                       </w:t>
            </w:r>
          </w:p>
        </w:tc>
      </w:tr>
    </w:tbl>
    <w:p w14:paraId="0305F0B9">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216F7E2E">
      <w:pPr>
        <w:rPr>
          <w:rFonts w:hint="eastAsia" w:ascii="仿宋_GB2312" w:hAnsi="仿宋_GB2312" w:eastAsia="仿宋_GB2312" w:cs="仿宋_GB2312"/>
          <w:b/>
          <w:bCs/>
          <w:sz w:val="21"/>
          <w:szCs w:val="24"/>
          <w:lang w:val="en-US" w:eastAsia="zh-CN"/>
        </w:rPr>
      </w:pPr>
    </w:p>
    <w:p w14:paraId="55B58F0D">
      <w:pPr>
        <w:rPr>
          <w:rFonts w:hint="eastAsia" w:ascii="仿宋_GB2312" w:hAnsi="仿宋_GB2312" w:eastAsia="仿宋_GB2312" w:cs="仿宋_GB2312"/>
          <w:b/>
          <w:bCs/>
          <w:sz w:val="21"/>
          <w:szCs w:val="24"/>
          <w:lang w:val="en-US" w:eastAsia="zh-CN"/>
        </w:rPr>
      </w:pPr>
    </w:p>
    <w:p w14:paraId="0812DCB8">
      <w:pPr>
        <w:rPr>
          <w:rFonts w:hint="eastAsia" w:ascii="仿宋_GB2312" w:hAnsi="仿宋_GB2312" w:eastAsia="仿宋_GB2312" w:cs="仿宋_GB2312"/>
          <w:b/>
          <w:bCs/>
          <w:sz w:val="21"/>
          <w:szCs w:val="24"/>
          <w:lang w:val="en-US" w:eastAsia="zh-CN"/>
        </w:rPr>
      </w:pPr>
      <w:bookmarkStart w:id="0" w:name="_GoBack"/>
      <w:bookmarkEnd w:id="0"/>
    </w:p>
    <w:p w14:paraId="39E9DCDC">
      <w:pPr>
        <w:rPr>
          <w:rFonts w:hint="eastAsia" w:ascii="仿宋_GB2312" w:hAnsi="仿宋_GB2312" w:eastAsia="仿宋_GB2312" w:cs="仿宋_GB2312"/>
          <w:b/>
          <w:bCs/>
          <w:sz w:val="21"/>
          <w:szCs w:val="24"/>
          <w:lang w:val="en-US" w:eastAsia="zh-CN"/>
        </w:rPr>
      </w:pPr>
    </w:p>
    <w:p w14:paraId="4FF8D25F">
      <w:pPr>
        <w:rPr>
          <w:rFonts w:hint="eastAsia" w:ascii="仿宋_GB2312" w:hAnsi="仿宋_GB2312" w:eastAsia="仿宋_GB2312" w:cs="仿宋_GB2312"/>
          <w:b/>
          <w:bCs/>
          <w:sz w:val="21"/>
          <w:szCs w:val="24"/>
          <w:lang w:val="en-US" w:eastAsia="zh-CN"/>
        </w:rPr>
      </w:pPr>
    </w:p>
    <w:p w14:paraId="08FEFD8E">
      <w:pPr>
        <w:rPr>
          <w:rFonts w:hint="eastAsia" w:ascii="仿宋_GB2312" w:hAnsi="仿宋_GB2312" w:eastAsia="仿宋_GB2312" w:cs="仿宋_GB2312"/>
          <w:b/>
          <w:bCs/>
          <w:sz w:val="21"/>
          <w:szCs w:val="24"/>
          <w:lang w:val="en-US" w:eastAsia="zh-CN"/>
        </w:rPr>
      </w:pPr>
    </w:p>
    <w:p w14:paraId="316AA79E">
      <w:pPr>
        <w:rPr>
          <w:rFonts w:hint="eastAsia" w:ascii="仿宋_GB2312" w:hAnsi="仿宋_GB2312" w:eastAsia="仿宋_GB2312" w:cs="仿宋_GB2312"/>
          <w:b/>
          <w:bCs/>
          <w:sz w:val="21"/>
          <w:szCs w:val="24"/>
          <w:lang w:val="en-US" w:eastAsia="zh-CN"/>
        </w:rPr>
      </w:pPr>
    </w:p>
    <w:p w14:paraId="1B987EBB">
      <w:pPr>
        <w:rPr>
          <w:rFonts w:hint="eastAsia" w:ascii="仿宋_GB2312" w:hAnsi="仿宋_GB2312" w:eastAsia="仿宋_GB2312" w:cs="仿宋_GB2312"/>
          <w:b/>
          <w:bCs/>
          <w:sz w:val="21"/>
          <w:szCs w:val="24"/>
          <w:lang w:val="en-US" w:eastAsia="zh-CN"/>
        </w:rPr>
      </w:pPr>
    </w:p>
    <w:p w14:paraId="59A22EAC">
      <w:pPr>
        <w:rPr>
          <w:rFonts w:hint="eastAsia" w:ascii="仿宋_GB2312" w:hAnsi="仿宋_GB2312" w:eastAsia="仿宋_GB2312" w:cs="仿宋_GB2312"/>
          <w:b/>
          <w:bCs/>
          <w:sz w:val="21"/>
          <w:szCs w:val="24"/>
          <w:lang w:val="en-US" w:eastAsia="zh-CN"/>
        </w:rPr>
      </w:pPr>
    </w:p>
    <w:p w14:paraId="3D900548">
      <w:pPr>
        <w:rPr>
          <w:rFonts w:hint="eastAsia" w:ascii="仿宋_GB2312" w:hAnsi="仿宋_GB2312" w:eastAsia="仿宋_GB2312" w:cs="仿宋_GB2312"/>
          <w:b/>
          <w:bCs/>
          <w:sz w:val="21"/>
          <w:szCs w:val="24"/>
          <w:lang w:val="en-US" w:eastAsia="zh-CN"/>
        </w:rPr>
      </w:pPr>
    </w:p>
    <w:p w14:paraId="1EC1DA91">
      <w:pPr>
        <w:rPr>
          <w:rFonts w:hint="eastAsia" w:ascii="仿宋_GB2312" w:hAnsi="仿宋_GB2312" w:eastAsia="仿宋_GB2312" w:cs="仿宋_GB2312"/>
          <w:b/>
          <w:bCs/>
          <w:sz w:val="21"/>
          <w:szCs w:val="24"/>
          <w:lang w:val="en-US" w:eastAsia="zh-CN"/>
        </w:rPr>
      </w:pPr>
    </w:p>
    <w:p w14:paraId="0CB5C52C">
      <w:pPr>
        <w:rPr>
          <w:rFonts w:hint="eastAsia" w:ascii="仿宋_GB2312" w:hAnsi="仿宋_GB2312" w:eastAsia="仿宋_GB2312" w:cs="仿宋_GB2312"/>
          <w:b/>
          <w:bCs/>
          <w:sz w:val="21"/>
          <w:szCs w:val="24"/>
          <w:lang w:val="en-US" w:eastAsia="zh-CN"/>
        </w:rPr>
      </w:pPr>
    </w:p>
    <w:p w14:paraId="4ED8FA23">
      <w:pPr>
        <w:rPr>
          <w:rFonts w:hint="eastAsia" w:ascii="仿宋_GB2312" w:hAnsi="仿宋_GB2312" w:eastAsia="仿宋_GB2312" w:cs="仿宋_GB2312"/>
          <w:b/>
          <w:bCs/>
          <w:sz w:val="21"/>
          <w:szCs w:val="24"/>
          <w:lang w:val="en-US" w:eastAsia="zh-CN"/>
        </w:rPr>
      </w:pPr>
    </w:p>
    <w:p w14:paraId="37D9A7EF">
      <w:pPr>
        <w:rPr>
          <w:rFonts w:hint="eastAsia" w:ascii="仿宋_GB2312" w:hAnsi="仿宋_GB2312" w:eastAsia="仿宋_GB2312" w:cs="仿宋_GB2312"/>
          <w:b/>
          <w:bCs/>
          <w:sz w:val="21"/>
          <w:szCs w:val="24"/>
          <w:lang w:val="en-US" w:eastAsia="zh-CN"/>
        </w:rPr>
      </w:pPr>
    </w:p>
    <w:p w14:paraId="5C1ABB1A">
      <w:pPr>
        <w:rPr>
          <w:rFonts w:hint="eastAsia" w:ascii="仿宋_GB2312" w:hAnsi="仿宋_GB2312" w:eastAsia="仿宋_GB2312" w:cs="仿宋_GB2312"/>
          <w:b/>
          <w:bCs/>
          <w:sz w:val="21"/>
          <w:szCs w:val="24"/>
          <w:lang w:val="en-US" w:eastAsia="zh-CN"/>
        </w:rPr>
      </w:pPr>
    </w:p>
    <w:p w14:paraId="7484B60D">
      <w:pPr>
        <w:rPr>
          <w:rFonts w:hint="eastAsia" w:ascii="仿宋_GB2312" w:hAnsi="仿宋_GB2312" w:eastAsia="仿宋_GB2312" w:cs="仿宋_GB2312"/>
          <w:b/>
          <w:bCs/>
          <w:sz w:val="21"/>
          <w:szCs w:val="24"/>
          <w:lang w:val="en-US" w:eastAsia="zh-CN"/>
        </w:rPr>
      </w:pPr>
    </w:p>
    <w:p w14:paraId="0F7301D9">
      <w:pPr>
        <w:rPr>
          <w:rFonts w:hint="eastAsia" w:ascii="仿宋_GB2312" w:hAnsi="仿宋_GB2312" w:eastAsia="仿宋_GB2312" w:cs="仿宋_GB2312"/>
          <w:b/>
          <w:bCs/>
          <w:sz w:val="21"/>
          <w:szCs w:val="24"/>
          <w:lang w:val="en-US" w:eastAsia="zh-CN"/>
        </w:rPr>
      </w:pPr>
    </w:p>
    <w:p w14:paraId="021F4105">
      <w:pPr>
        <w:rPr>
          <w:rFonts w:hint="eastAsia" w:ascii="仿宋_GB2312" w:hAnsi="仿宋_GB2312" w:eastAsia="仿宋_GB2312" w:cs="仿宋_GB2312"/>
          <w:b/>
          <w:bCs/>
          <w:sz w:val="21"/>
          <w:szCs w:val="24"/>
          <w:lang w:val="en-US" w:eastAsia="zh-CN"/>
        </w:rPr>
      </w:pPr>
    </w:p>
    <w:p w14:paraId="5DE0F933">
      <w:pPr>
        <w:rPr>
          <w:rFonts w:hint="eastAsia" w:ascii="仿宋_GB2312" w:hAnsi="仿宋_GB2312" w:eastAsia="仿宋_GB2312" w:cs="仿宋_GB2312"/>
          <w:b/>
          <w:bCs/>
          <w:sz w:val="21"/>
          <w:szCs w:val="24"/>
          <w:lang w:val="en-US" w:eastAsia="zh-CN"/>
        </w:rPr>
      </w:pPr>
    </w:p>
    <w:p w14:paraId="5C717393">
      <w:pPr>
        <w:rPr>
          <w:rFonts w:hint="eastAsia" w:ascii="仿宋_GB2312" w:hAnsi="仿宋_GB2312" w:eastAsia="仿宋_GB2312" w:cs="仿宋_GB2312"/>
          <w:b/>
          <w:bCs/>
          <w:sz w:val="21"/>
          <w:szCs w:val="24"/>
          <w:lang w:val="en-US" w:eastAsia="zh-CN"/>
        </w:rPr>
      </w:pPr>
    </w:p>
    <w:p w14:paraId="5B8E21EC">
      <w:pPr>
        <w:rPr>
          <w:rFonts w:hint="eastAsia" w:ascii="仿宋_GB2312" w:hAnsi="仿宋_GB2312" w:eastAsia="仿宋_GB2312" w:cs="仿宋_GB2312"/>
          <w:b/>
          <w:bCs/>
          <w:sz w:val="21"/>
          <w:szCs w:val="24"/>
          <w:lang w:val="en-US" w:eastAsia="zh-CN"/>
        </w:rPr>
      </w:pPr>
    </w:p>
    <w:p w14:paraId="5CA16130">
      <w:pPr>
        <w:rPr>
          <w:rFonts w:hint="eastAsia" w:ascii="仿宋_GB2312" w:hAnsi="仿宋_GB2312" w:eastAsia="仿宋_GB2312" w:cs="仿宋_GB2312"/>
          <w:b/>
          <w:bCs/>
          <w:sz w:val="21"/>
          <w:szCs w:val="24"/>
          <w:lang w:val="en-US" w:eastAsia="zh-CN"/>
        </w:rPr>
      </w:pPr>
    </w:p>
    <w:p w14:paraId="2A008F36">
      <w:pPr>
        <w:pStyle w:val="4"/>
        <w:rPr>
          <w:rFonts w:hint="eastAsia" w:ascii="仿宋_GB2312" w:hAnsi="仿宋_GB2312" w:eastAsia="仿宋_GB2312" w:cs="仿宋_GB2312"/>
          <w:b/>
          <w:bCs/>
          <w:sz w:val="21"/>
          <w:szCs w:val="24"/>
          <w:lang w:val="en-US" w:eastAsia="zh-CN"/>
        </w:rPr>
      </w:pPr>
    </w:p>
    <w:p w14:paraId="36576361">
      <w:pPr>
        <w:pStyle w:val="4"/>
        <w:rPr>
          <w:rFonts w:hint="eastAsia" w:ascii="仿宋_GB2312" w:hAnsi="仿宋_GB2312" w:eastAsia="仿宋_GB2312" w:cs="仿宋_GB2312"/>
          <w:b/>
          <w:bCs/>
          <w:sz w:val="21"/>
          <w:szCs w:val="24"/>
          <w:lang w:val="en-US" w:eastAsia="zh-CN"/>
        </w:rPr>
      </w:pPr>
    </w:p>
    <w:p w14:paraId="45E921D8">
      <w:pPr>
        <w:rPr>
          <w:rFonts w:hint="eastAsia" w:ascii="仿宋_GB2312" w:hAnsi="仿宋_GB2312" w:eastAsia="仿宋_GB2312" w:cs="仿宋_GB2312"/>
          <w:b/>
          <w:bCs/>
          <w:sz w:val="21"/>
          <w:szCs w:val="24"/>
          <w:lang w:val="en-US" w:eastAsia="zh-CN"/>
        </w:rPr>
      </w:pPr>
    </w:p>
    <w:p w14:paraId="4BD5DF55">
      <w:pPr>
        <w:rPr>
          <w:rFonts w:hint="eastAsia" w:ascii="仿宋_GB2312" w:hAnsi="仿宋_GB2312" w:eastAsia="仿宋_GB2312" w:cs="仿宋_GB2312"/>
          <w:b/>
          <w:bCs/>
          <w:sz w:val="21"/>
          <w:szCs w:val="24"/>
          <w:lang w:val="en-US" w:eastAsia="zh-CN"/>
        </w:rPr>
      </w:pPr>
    </w:p>
    <w:p w14:paraId="2E2698D9">
      <w:pPr>
        <w:rPr>
          <w:rFonts w:hint="eastAsia" w:ascii="仿宋_GB2312" w:hAnsi="仿宋_GB2312" w:eastAsia="仿宋_GB2312" w:cs="仿宋_GB2312"/>
          <w:b/>
          <w:bCs/>
          <w:sz w:val="21"/>
          <w:szCs w:val="24"/>
          <w:lang w:val="en-US" w:eastAsia="zh-CN"/>
        </w:rPr>
      </w:pPr>
    </w:p>
    <w:p w14:paraId="2D729A5F">
      <w:pPr>
        <w:rPr>
          <w:rFonts w:hint="eastAsia" w:ascii="仿宋_GB2312" w:hAnsi="仿宋_GB2312" w:eastAsia="仿宋_GB2312" w:cs="仿宋_GB2312"/>
          <w:b/>
          <w:bCs/>
          <w:sz w:val="21"/>
          <w:szCs w:val="24"/>
          <w:lang w:val="en-US" w:eastAsia="zh-CN"/>
        </w:rPr>
      </w:pPr>
    </w:p>
    <w:p w14:paraId="36682332">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p>
    <w:p w14:paraId="7C15E82D">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72B277A7">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7CC1E397">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0A01598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6342EA30">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（一）项目概况</w:t>
      </w:r>
    </w:p>
    <w:p w14:paraId="3EB484CB">
      <w:pPr>
        <w:spacing w:line="580" w:lineRule="exact"/>
        <w:ind w:firstLine="627" w:firstLineChars="196"/>
        <w:rPr>
          <w:rFonts w:hint="eastAsia"/>
        </w:rPr>
      </w:pPr>
      <w:r>
        <w:rPr>
          <w:rFonts w:hint="eastAsia" w:ascii="仿宋_GB2312" w:eastAsia="仿宋_GB2312"/>
          <w:sz w:val="32"/>
          <w:szCs w:val="32"/>
          <w:lang w:val="en-US" w:eastAsia="zh-CN"/>
        </w:rPr>
        <w:t>充分认识加强和改进新形势下工商联工作的重要意义；正确把握新形势下工商联工作的基本要求；突出工作重点，充分发挥工商联职能作用。</w:t>
      </w:r>
    </w:p>
    <w:p w14:paraId="4C722A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eastAsia="仿宋_GB2312"/>
          <w:sz w:val="32"/>
          <w:szCs w:val="32"/>
        </w:rPr>
        <w:t>经费</w:t>
      </w:r>
      <w:r>
        <w:rPr>
          <w:rFonts w:hint="eastAsia" w:ascii="仿宋_GB2312" w:hAnsi="仿宋_GB2312" w:eastAsia="仿宋_GB2312" w:cs="仿宋_GB2312"/>
          <w:sz w:val="32"/>
          <w:szCs w:val="32"/>
        </w:rPr>
        <w:t>来源于财政资金，全年预算数</w:t>
      </w:r>
      <w:r>
        <w:rPr>
          <w:rFonts w:hint="eastAsia" w:ascii="仿宋_GB2312" w:hAnsi="仿宋_GB2312" w:eastAsia="仿宋_GB2312" w:cs="仿宋_GB2312"/>
          <w:sz w:val="32"/>
          <w:szCs w:val="32"/>
          <w:lang w:val="en-US" w:eastAsia="zh-CN"/>
        </w:rPr>
        <w:t>为5.00</w:t>
      </w:r>
      <w:r>
        <w:rPr>
          <w:rFonts w:hint="eastAsia" w:ascii="仿宋_GB2312" w:hAnsi="仿宋_GB2312" w:eastAsia="仿宋_GB2312" w:cs="仿宋_GB2312"/>
          <w:sz w:val="32"/>
          <w:szCs w:val="32"/>
        </w:rPr>
        <w:t>万元，全年执行数为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万元，执行率为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%。资金使用具有安全性、规范性及有效性，支付标准、支付进度、支付依据合规合法、与预算相符。</w:t>
      </w:r>
      <w:r>
        <w:rPr>
          <w:rFonts w:hint="eastAsia" w:ascii="仿宋_GB2312" w:eastAsia="仿宋_GB2312"/>
          <w:sz w:val="32"/>
          <w:szCs w:val="32"/>
        </w:rPr>
        <w:t>经费</w:t>
      </w:r>
      <w:r>
        <w:rPr>
          <w:rFonts w:hint="eastAsia" w:ascii="仿宋_GB2312" w:hAnsi="仿宋_GB2312" w:eastAsia="仿宋_GB2312" w:cs="仿宋_GB2312"/>
          <w:sz w:val="32"/>
          <w:szCs w:val="32"/>
        </w:rPr>
        <w:t>到位数为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万元、及时性</w:t>
      </w:r>
      <w:r>
        <w:rPr>
          <w:rFonts w:hint="eastAsia" w:ascii="仿宋_GB2312" w:hAnsi="仿宋_GB2312" w:eastAsia="仿宋_GB2312" w:cs="仿宋_GB2312"/>
          <w:sz w:val="32"/>
          <w:szCs w:val="32"/>
          <w:lang w:val="en-US" w:eastAsia="zh-CN"/>
        </w:rPr>
        <w:t>低</w:t>
      </w:r>
      <w:r>
        <w:rPr>
          <w:rFonts w:hint="eastAsia" w:ascii="仿宋_GB2312" w:hAnsi="仿宋_GB2312" w:eastAsia="仿宋_GB2312" w:cs="仿宋_GB2312"/>
          <w:sz w:val="32"/>
          <w:szCs w:val="32"/>
        </w:rPr>
        <w:t>、到位率为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61BA98DD">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 w:hAnsi="仿宋" w:eastAsia="仿宋" w:cs="仿宋"/>
          <w:color w:val="000000"/>
          <w:kern w:val="0"/>
          <w:sz w:val="30"/>
          <w:szCs w:val="30"/>
        </w:rPr>
      </w:pPr>
      <w:r>
        <w:rPr>
          <w:rFonts w:hint="eastAsia" w:ascii="仿宋_GB2312" w:hAnsi="仿宋_GB2312" w:eastAsia="仿宋_GB2312" w:cs="仿宋_GB2312"/>
          <w:b w:val="0"/>
          <w:bCs w:val="0"/>
          <w:color w:val="auto"/>
          <w:sz w:val="32"/>
          <w:szCs w:val="32"/>
        </w:rPr>
        <w:t>项目绩效目标</w:t>
      </w:r>
      <w:r>
        <w:rPr>
          <w:rFonts w:hint="eastAsia" w:ascii="仿宋" w:hAnsi="仿宋" w:eastAsia="仿宋" w:cs="仿宋"/>
          <w:color w:val="000000"/>
          <w:kern w:val="0"/>
          <w:sz w:val="30"/>
          <w:szCs w:val="30"/>
        </w:rPr>
        <w:t xml:space="preserve"> </w:t>
      </w:r>
    </w:p>
    <w:p w14:paraId="677B8BC6">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 xml:space="preserve">    </w:t>
      </w:r>
      <w:r>
        <w:rPr>
          <w:rFonts w:hint="eastAsia" w:ascii="仿宋_GB2312" w:eastAsia="仿宋_GB2312" w:cs="Times New Roman"/>
          <w:sz w:val="32"/>
          <w:szCs w:val="32"/>
          <w:lang w:val="en-US" w:eastAsia="zh-CN"/>
        </w:rPr>
        <w:t xml:space="preserve"> 1.总体目标</w:t>
      </w:r>
    </w:p>
    <w:p w14:paraId="2B282A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组织非公经济人士深入学习党的十九大和习近平新时代中国特色社会主义思想、中央及省市区党委、纪委全会、经济工作会、招商引资工作会、统战工作会精神。传达贯彻习近平总书记在参加全国政协十二届四次会议民建、工商联界委员联组会时重要讲话精神、党的十九大及习近平总书记关于民营经济的重要论述、全国工商联十二大部署精神，把握时代精神</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绷紧思想主线</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深入开展非公经济人士理想信念教育实践活动，践行"两个健康"使命，注重成果转化，作为促进非公经济健康发展，非公经济人士健康成长的重要目标和主要途径。</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积极推荐非公经济先进典型参加省、市、区评优评先，全面展示非公经济发展成就和非公经济人士风采。</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加强非公有制企业的认同感、归属感和责任感，体现党委、政府对非公经济代表人士的人文关怀和政治待遇，年内组织有贡献民营企业家代表体检1次。</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深化对非公经济代表人士的教育培训工程，组织举办非公经济代表人士培训班，配合上级部门组织完成年轻一代民营企业家入会建库工作，组织民营企业家赴国内知名高校参加各类专题培训等。</w:t>
      </w:r>
      <w:r>
        <w:rPr>
          <w:rFonts w:hint="eastAsia" w:ascii="仿宋_GB2312" w:hAnsi="仿宋_GB2312" w:eastAsia="仿宋_GB2312" w:cs="仿宋_GB2312"/>
          <w:sz w:val="32"/>
          <w:szCs w:val="32"/>
        </w:rPr>
        <w:t xml:space="preserve"> </w:t>
      </w:r>
    </w:p>
    <w:p w14:paraId="6E8732A0">
      <w:pPr>
        <w:spacing w:line="580" w:lineRule="exact"/>
        <w:ind w:firstLine="615"/>
        <w:rPr>
          <w:rFonts w:hint="eastAsia" w:ascii="仿宋_GB2312" w:hAnsi="仿宋" w:eastAsia="仿宋_GB2312" w:cs="Times New Roman"/>
          <w:sz w:val="32"/>
          <w:szCs w:val="32"/>
          <w:lang w:val="en-US" w:eastAsia="zh-CN"/>
        </w:rPr>
      </w:pPr>
      <w:r>
        <w:rPr>
          <w:rFonts w:hint="eastAsia" w:ascii="仿宋_GB2312" w:eastAsia="仿宋_GB2312" w:cs="Times New Roman"/>
          <w:sz w:val="32"/>
          <w:szCs w:val="32"/>
          <w:lang w:val="en-US" w:eastAsia="zh-CN"/>
        </w:rPr>
        <w:t>2.具体目标</w:t>
      </w:r>
    </w:p>
    <w:p w14:paraId="74A96AF8">
      <w:pPr>
        <w:spacing w:line="580" w:lineRule="exact"/>
        <w:ind w:firstLine="615"/>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为加强非公有制企业的认同感、归属感和责任感，体现党委、政府对非公经济代表人士的人文关怀和政治待遇，年内组织有贡献民营企业家代表体检</w:t>
      </w:r>
      <w:r>
        <w:rPr>
          <w:rFonts w:hint="eastAsia" w:ascii="仿宋_GB2312" w:hAnsi="仿宋" w:eastAsia="仿宋_GB2312" w:cs="Times New Roman"/>
          <w:sz w:val="32"/>
          <w:szCs w:val="32"/>
          <w:lang w:val="en-US" w:eastAsia="zh-CN"/>
        </w:rPr>
        <w:t>人数达到30人，体检完成率做到100%；</w:t>
      </w:r>
    </w:p>
    <w:p w14:paraId="1B21A32A">
      <w:pPr>
        <w:spacing w:line="580" w:lineRule="exact"/>
        <w:ind w:firstLine="615"/>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为</w:t>
      </w:r>
      <w:r>
        <w:rPr>
          <w:rFonts w:hint="eastAsia" w:ascii="仿宋_GB2312" w:hAnsi="仿宋" w:eastAsia="仿宋_GB2312" w:cs="Times New Roman"/>
          <w:sz w:val="32"/>
          <w:szCs w:val="32"/>
        </w:rPr>
        <w:t>深化对非公经济代表人士的教育培训工程，组织举办非公经济代表人士培训班</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配合上级部门组织完成年轻一代民营企业家入会建库工作，组织民营企业家赴国内知名高校参加各类专题培训</w:t>
      </w:r>
      <w:r>
        <w:rPr>
          <w:rFonts w:hint="eastAsia" w:ascii="仿宋_GB2312" w:hAnsi="仿宋" w:eastAsia="仿宋_GB2312" w:cs="Times New Roman"/>
          <w:sz w:val="32"/>
          <w:szCs w:val="32"/>
          <w:lang w:val="en-US" w:eastAsia="zh-CN"/>
        </w:rPr>
        <w:t>期数达到3期，培训出勤率超过95%；</w:t>
      </w:r>
    </w:p>
    <w:p w14:paraId="20A33FD1">
      <w:pPr>
        <w:spacing w:line="580" w:lineRule="exact"/>
        <w:ind w:firstLine="615"/>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lang w:eastAsia="zh-CN"/>
        </w:rPr>
        <w:t>）通过商会调解室及民营企业投诉中心，开展非公经济人士及小微企业维权工作等。</w:t>
      </w:r>
      <w:r>
        <w:rPr>
          <w:rFonts w:hint="eastAsia" w:ascii="仿宋_GB2312" w:hAnsi="仿宋" w:eastAsia="仿宋_GB2312" w:cs="Times New Roman"/>
          <w:sz w:val="32"/>
          <w:szCs w:val="32"/>
          <w:lang w:val="en-US" w:eastAsia="zh-CN"/>
        </w:rPr>
        <w:t>使非公企业满意度达到95%；</w:t>
      </w:r>
    </w:p>
    <w:p w14:paraId="64F3112B">
      <w:pPr>
        <w:spacing w:line="580" w:lineRule="exact"/>
        <w:ind w:firstLine="615"/>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4</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培训或服务对象的相关政策的知晓情况政策知晓率</w:t>
      </w:r>
      <w:r>
        <w:rPr>
          <w:rFonts w:hint="eastAsia" w:ascii="仿宋_GB2312" w:hAnsi="仿宋" w:eastAsia="仿宋_GB2312" w:cs="Times New Roman"/>
          <w:sz w:val="32"/>
          <w:szCs w:val="32"/>
          <w:lang w:val="en-US" w:eastAsia="zh-CN"/>
        </w:rPr>
        <w:t>达到85%；</w:t>
      </w:r>
    </w:p>
    <w:p w14:paraId="78CC2325">
      <w:pPr>
        <w:spacing w:line="580" w:lineRule="exact"/>
        <w:ind w:firstLine="615"/>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5</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开展"两个健康"使命实践活动次数</w:t>
      </w:r>
      <w:r>
        <w:rPr>
          <w:rFonts w:hint="eastAsia" w:ascii="仿宋_GB2312" w:hAnsi="仿宋" w:eastAsia="仿宋_GB2312" w:cs="Times New Roman"/>
          <w:sz w:val="32"/>
          <w:szCs w:val="32"/>
          <w:lang w:val="en-US" w:eastAsia="zh-CN"/>
        </w:rPr>
        <w:t>2次。</w:t>
      </w:r>
    </w:p>
    <w:p w14:paraId="284C2348">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6</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推荐非公经济先进典型参加省、市、区评优数量</w:t>
      </w:r>
      <w:r>
        <w:rPr>
          <w:rFonts w:hint="eastAsia" w:ascii="仿宋_GB2312" w:hAnsi="仿宋" w:eastAsia="仿宋_GB2312" w:cs="Times New Roman"/>
          <w:sz w:val="32"/>
          <w:szCs w:val="32"/>
          <w:lang w:val="en-US" w:eastAsia="zh-CN"/>
        </w:rPr>
        <w:t>达到2个</w:t>
      </w:r>
      <w:r>
        <w:rPr>
          <w:rFonts w:hint="eastAsia" w:ascii="仿宋_GB2312" w:hAnsi="仿宋" w:eastAsia="仿宋_GB2312" w:cs="Times New Roman"/>
          <w:sz w:val="32"/>
          <w:szCs w:val="32"/>
        </w:rPr>
        <w:t>；</w:t>
      </w:r>
    </w:p>
    <w:p w14:paraId="3A5DACD6">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7</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培训师资费标准</w:t>
      </w:r>
      <w:r>
        <w:rPr>
          <w:rFonts w:hint="eastAsia" w:ascii="仿宋_GB2312" w:hAnsi="仿宋" w:eastAsia="仿宋_GB2312" w:cs="Times New Roman"/>
          <w:sz w:val="32"/>
          <w:szCs w:val="32"/>
          <w:lang w:val="en-US" w:eastAsia="zh-CN"/>
        </w:rPr>
        <w:t>不</w:t>
      </w:r>
      <w:r>
        <w:rPr>
          <w:rFonts w:hint="eastAsia" w:ascii="仿宋_GB2312" w:hAnsi="仿宋" w:eastAsia="仿宋_GB2312" w:cs="Times New Roman"/>
          <w:sz w:val="32"/>
          <w:szCs w:val="32"/>
        </w:rPr>
        <w:t>超出</w:t>
      </w:r>
      <w:r>
        <w:rPr>
          <w:rFonts w:hint="eastAsia" w:ascii="仿宋_GB2312" w:hAnsi="仿宋" w:eastAsia="仿宋_GB2312" w:cs="Times New Roman"/>
          <w:sz w:val="32"/>
          <w:szCs w:val="32"/>
          <w:lang w:val="en-US" w:eastAsia="zh-CN"/>
        </w:rPr>
        <w:t>每人1500元的</w:t>
      </w:r>
      <w:r>
        <w:rPr>
          <w:rFonts w:hint="eastAsia" w:ascii="仿宋_GB2312" w:hAnsi="仿宋" w:eastAsia="仿宋_GB2312" w:cs="Times New Roman"/>
          <w:sz w:val="32"/>
          <w:szCs w:val="32"/>
        </w:rPr>
        <w:t>预算标准</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 xml:space="preserve">      </w:t>
      </w:r>
    </w:p>
    <w:p w14:paraId="77EF5168">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（三）项目组织管理情况</w:t>
      </w:r>
    </w:p>
    <w:p w14:paraId="3FD1B1D9">
      <w:pPr>
        <w:spacing w:line="580" w:lineRule="exact"/>
        <w:ind w:firstLine="615"/>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1.制度建设</w:t>
      </w:r>
    </w:p>
    <w:p w14:paraId="480A01A1">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为加强项目资金的管理，制定了《财务管理制度》《资金管理办法》《内部控制制度》财务管理制度健全具体，能够确保财政资金有效、合规的使用。严守财经纪律，按照量入为出、保障重点、规范运作的原则，严格控制各项开支，提高经费的使用效率。按照财政下达的年度预算和专项经费划拨需要，合理安排经费开支，保证专款专用。项目资金使用监督岗由部办公室履行监督职责，对项目实施过程进行检查和跟踪，发现问题及时提出改进意见和处理措施，并督促执行科室纠正。</w:t>
      </w:r>
    </w:p>
    <w:p w14:paraId="1EE696B9">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2. 管理流程</w:t>
      </w:r>
    </w:p>
    <w:p w14:paraId="1F523503">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为保障工作的有序推进,高质量完成此项工作,成立项目领导小组，由局主要领导任组长，分管领导任副组长，相关科室（中心）负责人为成员，负责专项工作整体方案的制定、组织管理、统筹协调、检查监督、考核验收和绩效管理评价。</w:t>
      </w:r>
    </w:p>
    <w:p w14:paraId="26D72285">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3.组织实施</w:t>
      </w:r>
    </w:p>
    <w:p w14:paraId="52B11998">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为保障项目的实施</w:t>
      </w:r>
      <w:r>
        <w:rPr>
          <w:rFonts w:hint="eastAsia" w:ascii="仿宋_GB2312" w:hAnsi="仿宋" w:eastAsia="仿宋_GB2312" w:cs="Times New Roman"/>
          <w:sz w:val="32"/>
          <w:szCs w:val="32"/>
          <w:lang w:eastAsia="zh-CN"/>
        </w:rPr>
        <w:t>昆明市五华区工商业联合会</w:t>
      </w:r>
      <w:r>
        <w:rPr>
          <w:rFonts w:hint="eastAsia" w:ascii="仿宋_GB2312" w:hAnsi="仿宋" w:eastAsia="仿宋_GB2312" w:cs="Times New Roman"/>
          <w:sz w:val="32"/>
          <w:szCs w:val="32"/>
        </w:rPr>
        <w:t>细化项目明细，严格控制成本，通过每季度绩效跟踪的办法加强绩效管理，提高绩效认识。</w:t>
      </w:r>
    </w:p>
    <w:p w14:paraId="68941BE3">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二、绩效评价工作开展情况</w:t>
      </w:r>
    </w:p>
    <w:p w14:paraId="6C71054A">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（一）绩效评价目的、对象和范围。</w:t>
      </w:r>
    </w:p>
    <w:p w14:paraId="75A86CB0">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通过本次绩效评价，总结</w:t>
      </w:r>
      <w:r>
        <w:rPr>
          <w:rFonts w:hint="eastAsia" w:ascii="仿宋_GB2312" w:hAnsi="仿宋" w:eastAsia="仿宋_GB2312" w:cs="Times New Roman"/>
          <w:sz w:val="32"/>
          <w:szCs w:val="32"/>
          <w:lang w:val="en-US" w:eastAsia="zh-CN"/>
        </w:rPr>
        <w:t>非公有制经济和非公有制经济人士工作经费</w:t>
      </w:r>
      <w:r>
        <w:rPr>
          <w:rFonts w:hint="eastAsia" w:ascii="仿宋_GB2312" w:hAnsi="仿宋" w:eastAsia="仿宋_GB2312" w:cs="Times New Roman"/>
          <w:sz w:val="32"/>
          <w:szCs w:val="32"/>
        </w:rPr>
        <w:t>项目支出在决策、执行等方面的经验，查找其存在的不足，提出相关科学合理的政策建议，从而加强和规范</w:t>
      </w:r>
      <w:r>
        <w:rPr>
          <w:rFonts w:hint="eastAsia" w:ascii="仿宋_GB2312" w:hAnsi="仿宋" w:eastAsia="仿宋_GB2312" w:cs="Times New Roman"/>
          <w:sz w:val="32"/>
          <w:szCs w:val="32"/>
          <w:lang w:eastAsia="zh-CN"/>
        </w:rPr>
        <w:t>昆明市五华区工商业联合会</w:t>
      </w:r>
      <w:r>
        <w:rPr>
          <w:rFonts w:hint="eastAsia" w:ascii="仿宋_GB2312" w:hAnsi="仿宋" w:eastAsia="仿宋_GB2312" w:cs="Times New Roman"/>
          <w:sz w:val="32"/>
          <w:szCs w:val="32"/>
        </w:rPr>
        <w:t>预算管理工作，合理配置公共资源，促进财政资金在</w:t>
      </w:r>
      <w:r>
        <w:rPr>
          <w:rFonts w:hint="eastAsia" w:ascii="仿宋_GB2312" w:hAnsi="仿宋" w:eastAsia="仿宋_GB2312" w:cs="Times New Roman"/>
          <w:sz w:val="32"/>
          <w:szCs w:val="32"/>
          <w:lang w:val="en-US" w:eastAsia="zh-CN"/>
        </w:rPr>
        <w:t>非公有制经济和非公有制经济人士工作经费</w:t>
      </w:r>
      <w:r>
        <w:rPr>
          <w:rFonts w:hint="eastAsia" w:ascii="仿宋_GB2312" w:hAnsi="仿宋" w:eastAsia="仿宋_GB2312" w:cs="Times New Roman"/>
          <w:sz w:val="32"/>
          <w:szCs w:val="32"/>
        </w:rPr>
        <w:t>支出项目中的使用效益。</w:t>
      </w:r>
    </w:p>
    <w:p w14:paraId="2A3911CF">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本次绩效评价对象为</w:t>
      </w:r>
      <w:r>
        <w:rPr>
          <w:rFonts w:hint="eastAsia" w:ascii="仿宋_GB2312" w:hAnsi="仿宋" w:eastAsia="仿宋_GB2312" w:cs="Times New Roman"/>
          <w:sz w:val="32"/>
          <w:szCs w:val="32"/>
          <w:lang w:val="en-US" w:eastAsia="zh-CN"/>
        </w:rPr>
        <w:t>非公有制经济和非公有制经济人士工作经费</w:t>
      </w:r>
      <w:r>
        <w:rPr>
          <w:rFonts w:hint="eastAsia" w:ascii="仿宋_GB2312" w:hAnsi="仿宋" w:eastAsia="仿宋_GB2312" w:cs="Times New Roman"/>
          <w:sz w:val="32"/>
          <w:szCs w:val="32"/>
        </w:rPr>
        <w:t>项目支出，评价范围为202</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年</w:t>
      </w:r>
      <w:r>
        <w:rPr>
          <w:rFonts w:hint="eastAsia" w:ascii="仿宋_GB2312" w:hAnsi="仿宋" w:eastAsia="仿宋_GB2312" w:cs="Times New Roman"/>
          <w:sz w:val="32"/>
          <w:szCs w:val="32"/>
          <w:lang w:val="en-US" w:eastAsia="zh-CN"/>
        </w:rPr>
        <w:t>项目资金使用的决策，过程，产出，效益。</w:t>
      </w:r>
    </w:p>
    <w:p w14:paraId="3EF37154">
      <w:pPr>
        <w:keepNext w:val="0"/>
        <w:keepLines w:val="0"/>
        <w:pageBreakBefore w:val="0"/>
        <w:numPr>
          <w:ilvl w:val="0"/>
          <w:numId w:val="1"/>
        </w:numPr>
        <w:kinsoku/>
        <w:wordWrap/>
        <w:overflowPunct/>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绩效评价原则、依据、评价指标体系、评价方法、评价标准、评价抽样等。</w:t>
      </w:r>
    </w:p>
    <w:p w14:paraId="120A18F3">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val="0"/>
          <w:bCs/>
          <w:sz w:val="32"/>
          <w:szCs w:val="32"/>
        </w:rPr>
        <w:t>1.绩效评价的原则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标准</w:t>
      </w:r>
      <w:r>
        <w:rPr>
          <w:rFonts w:hint="eastAsia" w:ascii="仿宋_GB2312" w:hAnsi="仿宋_GB2312" w:eastAsia="仿宋_GB2312" w:cs="仿宋_GB2312"/>
          <w:b w:val="0"/>
          <w:bCs/>
          <w:sz w:val="32"/>
          <w:szCs w:val="32"/>
        </w:rPr>
        <w:t>：</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1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①</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科学公正。绩效评价应当运用科学合理的方法，按照规范的程序，对项目绩效进行客观、公正的反映；</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2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②</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统筹兼顾。单位自评、部门评价和财政评价应职责明确，各有侧重，相互衔接。单位自评应由项目单位自主实施，即“谁支出、谁自评”。部门评价和财政评价应在单位自评的基础上开展，必要时可委托第三方机构实施；</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3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③</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激励约束。绩效评价结果应与预算安排、政策调整、改进管理实质性挂钩，体现奖优罚劣和激励相容导向，有效要安排、低效要压减、无效要问责；</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4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④</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公开透明。绩效评价结果应依法依规公开，并自觉接受社会监督。</w:t>
      </w:r>
    </w:p>
    <w:p w14:paraId="7DA7C65E">
      <w:pPr>
        <w:topLinePunct/>
        <w:spacing w:line="520" w:lineRule="exact"/>
        <w:ind w:firstLine="640" w:firstLineChars="200"/>
        <w:rPr>
          <w:rFonts w:ascii="楷体" w:hAnsi="楷体" w:eastAsia="楷体"/>
          <w:szCs w:val="32"/>
        </w:rPr>
      </w:pPr>
      <w:r>
        <w:rPr>
          <w:rFonts w:hint="eastAsia" w:ascii="仿宋_GB2312" w:hAnsi="楷体" w:eastAsia="仿宋_GB2312"/>
          <w:b w:val="0"/>
          <w:bCs/>
          <w:sz w:val="32"/>
          <w:szCs w:val="32"/>
        </w:rPr>
        <w:t>2.绩效评价依据：</w:t>
      </w:r>
      <w:r>
        <w:rPr>
          <w:rFonts w:hint="eastAsia" w:ascii="仿宋_GB2312" w:hAnsi="楷体" w:eastAsia="仿宋_GB2312"/>
          <w:sz w:val="32"/>
          <w:szCs w:val="32"/>
          <w:lang w:eastAsia="zh-CN"/>
        </w:rPr>
        <w:t>昆明市五华区工商业联合会</w:t>
      </w:r>
      <w:r>
        <w:rPr>
          <w:rFonts w:hint="eastAsia" w:ascii="仿宋_GB2312" w:hAnsi="楷体" w:eastAsia="仿宋_GB2312"/>
          <w:sz w:val="32"/>
          <w:szCs w:val="32"/>
        </w:rPr>
        <w:t>202</w:t>
      </w:r>
      <w:r>
        <w:rPr>
          <w:rFonts w:hint="eastAsia" w:ascii="仿宋_GB2312" w:hAnsi="楷体" w:eastAsia="仿宋_GB2312"/>
          <w:sz w:val="32"/>
          <w:szCs w:val="32"/>
          <w:lang w:val="en-US" w:eastAsia="zh-CN"/>
        </w:rPr>
        <w:t>3</w:t>
      </w:r>
      <w:r>
        <w:rPr>
          <w:rFonts w:hint="eastAsia" w:ascii="仿宋_GB2312" w:hAnsi="楷体" w:eastAsia="仿宋_GB2312"/>
          <w:sz w:val="32"/>
          <w:szCs w:val="32"/>
        </w:rPr>
        <w:t>年的工作计划以及202</w:t>
      </w:r>
      <w:r>
        <w:rPr>
          <w:rFonts w:hint="eastAsia" w:ascii="仿宋_GB2312" w:hAnsi="楷体" w:eastAsia="仿宋_GB2312"/>
          <w:sz w:val="32"/>
          <w:szCs w:val="32"/>
          <w:lang w:val="en-US" w:eastAsia="zh-CN"/>
        </w:rPr>
        <w:t>3</w:t>
      </w:r>
      <w:r>
        <w:rPr>
          <w:rFonts w:hint="eastAsia" w:ascii="仿宋_GB2312" w:hAnsi="楷体" w:eastAsia="仿宋_GB2312"/>
          <w:sz w:val="32"/>
          <w:szCs w:val="32"/>
        </w:rPr>
        <w:t>年预算管理和绩效跟踪。</w:t>
      </w:r>
    </w:p>
    <w:p w14:paraId="71F94100">
      <w:pPr>
        <w:spacing w:line="560" w:lineRule="exact"/>
        <w:ind w:firstLine="640" w:firstLineChars="200"/>
        <w:rPr>
          <w:rFonts w:hint="eastAsia" w:ascii="仿宋_GB2312" w:hAnsi="楷体" w:eastAsia="仿宋_GB2312"/>
          <w:sz w:val="32"/>
          <w:szCs w:val="32"/>
        </w:rPr>
      </w:pPr>
      <w:r>
        <w:rPr>
          <w:rFonts w:hint="eastAsia" w:ascii="仿宋_GB2312" w:hAnsi="楷体" w:eastAsia="仿宋_GB2312"/>
          <w:b w:val="0"/>
          <w:bCs/>
          <w:sz w:val="32"/>
          <w:szCs w:val="32"/>
        </w:rPr>
        <w:t>3.绩效评价</w:t>
      </w:r>
      <w:r>
        <w:rPr>
          <w:rFonts w:hint="eastAsia" w:ascii="仿宋_GB2312" w:hAnsi="楷体" w:eastAsia="仿宋_GB2312"/>
          <w:b w:val="0"/>
          <w:bCs/>
          <w:sz w:val="32"/>
          <w:szCs w:val="32"/>
          <w:lang w:val="en-US" w:eastAsia="zh-CN"/>
        </w:rPr>
        <w:t>指标体系、方法</w:t>
      </w:r>
      <w:r>
        <w:rPr>
          <w:rFonts w:hint="eastAsia" w:ascii="仿宋_GB2312" w:hAnsi="楷体" w:eastAsia="仿宋_GB2312"/>
          <w:b w:val="0"/>
          <w:bCs/>
          <w:sz w:val="32"/>
          <w:szCs w:val="32"/>
        </w:rPr>
        <w:t>：</w:t>
      </w:r>
      <w:r>
        <w:rPr>
          <w:rFonts w:hint="eastAsia" w:ascii="仿宋_GB2312" w:hAnsi="楷体" w:eastAsia="仿宋_GB2312"/>
          <w:sz w:val="32"/>
          <w:szCs w:val="32"/>
          <w:lang w:eastAsia="zh-CN"/>
        </w:rPr>
        <w:t>昆明市五华区工商业联合会</w:t>
      </w:r>
      <w:r>
        <w:rPr>
          <w:rFonts w:hint="eastAsia" w:ascii="仿宋_GB2312" w:hAnsi="楷体" w:eastAsia="仿宋_GB2312"/>
          <w:sz w:val="32"/>
          <w:szCs w:val="32"/>
        </w:rPr>
        <w:t>确认当年度项目支出的绩效目标→梳理单位内部管理制度及存量资源→分析确定当年度项目支出的评价重点→构建绩效评价指标体系。</w:t>
      </w:r>
    </w:p>
    <w:p w14:paraId="26E7EFE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14:paraId="618E8AE4">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1、确定绩效评价对象；2、下达绩效评价通知，在实施具体评价工作前，应下达评价通知，内容包括评价任务、目的、依据、评价时间和有关要求等；3、确定绩效评价工作人员，由主管部门或负责单位绩效评价小组，负责绩效评价工作的组织领导；4、制订绩效评价工作方案，工作方案的基本内容包括：评价对象与负责人、评价目的、评价的依据、评价指标、评价标准、评价工作的时间安排、拟采用的评价方法、拟选用的评价标准、需要被评价对象及单位准备的评价资料及相关工作要求。5、收集绩效评价相关资料，评价小组根据需要，采取现场勘查、问卷调查与询问等多种方式收集基础资料。基础资料包括绩效评价对象的基本概况、财务信息、统计报表、财政资金使用情况、绩效自我评价报告等；6、对资料进行审查核实；7、综合分析并形成评价结论，评价资料整理出后，评价小组按照评价方案的要求进行评价工作，并作出评价的初步结论；8、撰写与提交评价报告。</w:t>
      </w:r>
    </w:p>
    <w:p w14:paraId="1876049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w:t>
      </w:r>
    </w:p>
    <w:p w14:paraId="1621681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（一）绩效评价综合结论。</w:t>
      </w:r>
    </w:p>
    <w:p w14:paraId="135E6061">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2023年我单位非公有制经济和非公有制经济人士工作经费项目评价总体得分为81分，总体来看项目完成情况适中，可作为下一年度的相关开展重要依据。</w:t>
      </w:r>
    </w:p>
    <w:p w14:paraId="6ED860A3">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绩效目标实现情况等。</w:t>
      </w:r>
    </w:p>
    <w:p w14:paraId="783EFB15">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非公经济人士教育培训期数达到3期；“两个健康”使命实践活动次数完成2次；非公企业代表体检人数应达到30人，实际完成15人；非公经济先进典型推荐数量已完成；培训出勤率及体检完成率均达到95%；全年预算执行进度未达到95%；培训师资费标准已做到每人1500元；政策知晓率达到85%；非公企业满意度达到95%。</w:t>
      </w:r>
    </w:p>
    <w:p w14:paraId="0183D42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6F59BAA8">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302FF12D">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2023年我单位非公有制经济和非公有制经济人士工作经费项目立项完全符合法律法规、相关政策、发展规划以及部门职责，并且项目申请、设立过程符合相关要求。本项目所设定的绩效目标依据充分，符合客观实际；依据绩效目标设定的绩效指标清晰、细化、可衡量；项目预算编制经过科学论证、有明确标准，资金额度与年度目标相适应；项目预算资金分配有测算依据，与地方实际相适应。</w:t>
      </w:r>
    </w:p>
    <w:p w14:paraId="3BDCCA05">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项目过程情况分析。</w:t>
      </w:r>
    </w:p>
    <w:p w14:paraId="6E3B585C">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非公有制经济和非公有制经济人士工作经费实际到位资金与预算资金的比率为0%，项目预算资金未及时执行，项目资金使用符合相关的财务管理制度规定，项目实施单位的财务和业务管理制度健全，项目实施符合相关管理规定。</w:t>
      </w:r>
    </w:p>
    <w:p w14:paraId="34F5FD73">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项目产出情况分析。</w:t>
      </w:r>
    </w:p>
    <w:p w14:paraId="33740E91">
      <w:pPr>
        <w:pStyle w:val="4"/>
        <w:rPr>
          <w:rFonts w:hint="eastAsia"/>
        </w:rPr>
      </w:pPr>
      <w:r>
        <w:rPr>
          <w:rFonts w:hint="eastAsia" w:ascii="仿宋_GB2312" w:hAnsi="楷体" w:eastAsia="仿宋_GB2312" w:cs="Times New Roman"/>
          <w:b w:val="0"/>
          <w:bCs/>
          <w:kern w:val="2"/>
          <w:sz w:val="32"/>
          <w:szCs w:val="32"/>
          <w:lang w:val="en-US" w:eastAsia="zh-CN" w:bidi="ar-SA"/>
        </w:rPr>
        <w:t>非公经济人士教育培训期数达到3期；“两个健康”使命实践活动次数完成2次；非公企业代表体检人数应达到30人，实际完成15人，完成度适中；非公经济先进典型推荐数量已完成2个；培训出勤率及体检完成率均达到95%。</w:t>
      </w:r>
    </w:p>
    <w:p w14:paraId="1B0AA6E1">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项目效益情况分析。</w:t>
      </w:r>
    </w:p>
    <w:p w14:paraId="043546C6">
      <w:pPr>
        <w:pStyle w:val="4"/>
        <w:rPr>
          <w:rFonts w:hint="eastAsia"/>
        </w:rPr>
      </w:pPr>
      <w:r>
        <w:rPr>
          <w:rFonts w:hint="eastAsia" w:ascii="仿宋_GB2312" w:hAnsi="仿宋_GB2312" w:eastAsia="仿宋_GB2312" w:cs="仿宋_GB2312"/>
          <w:sz w:val="32"/>
          <w:szCs w:val="32"/>
          <w:lang w:val="en-US" w:eastAsia="zh-CN"/>
        </w:rPr>
        <w:t>加强非公有制企业的认同感、归属感和责任感，体现党委、政府对非公经济代表人士的人文关怀和政治待遇；深化对非公经济代表人士的教育培训工程，配合上级部门组织完成年轻一代民营企业家入会建库工作。</w:t>
      </w:r>
    </w:p>
    <w:p w14:paraId="2FC065AB">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主要经验及做法</w:t>
      </w:r>
    </w:p>
    <w:p w14:paraId="5E795F0D">
      <w:pPr>
        <w:pStyle w:val="17"/>
        <w:keepNext w:val="0"/>
        <w:keepLines w:val="0"/>
        <w:pageBreakBefore w:val="0"/>
        <w:kinsoku/>
        <w:wordWrap/>
        <w:bidi w:val="0"/>
        <w:snapToGrid/>
        <w:spacing w:before="0" w:beforeAutospacing="0" w:afterAutospacing="0" w:line="560" w:lineRule="exact"/>
        <w:ind w:firstLine="640" w:firstLineChars="200"/>
        <w:textAlignment w:val="auto"/>
        <w:rPr>
          <w:rFonts w:hint="eastAsia"/>
        </w:rPr>
      </w:pPr>
      <w:r>
        <w:rPr>
          <w:rFonts w:hint="eastAsia" w:ascii="仿宋" w:hAnsi="仿宋" w:eastAsia="仿宋" w:cs="Arial"/>
          <w:sz w:val="32"/>
          <w:szCs w:val="32"/>
        </w:rPr>
        <w:t>提高绩效管理认识，</w:t>
      </w:r>
      <w:r>
        <w:rPr>
          <w:rFonts w:hint="eastAsia" w:ascii="仿宋" w:hAnsi="仿宋" w:eastAsia="仿宋"/>
          <w:sz w:val="32"/>
          <w:szCs w:val="32"/>
        </w:rPr>
        <w:t>通过设立目标有利于项目决策的制定，有助于项目的实施管理。项目实施前应结合本单位自身</w:t>
      </w:r>
      <w:r>
        <w:rPr>
          <w:rFonts w:hint="eastAsia" w:ascii="仿宋" w:hAnsi="仿宋" w:eastAsia="仿宋" w:cs="Arial"/>
          <w:sz w:val="32"/>
          <w:szCs w:val="32"/>
        </w:rPr>
        <w:t>情况，设定明确、合理的绩效目标，并将目标量化、细化分解，与预算资金相匹配起来。</w:t>
      </w:r>
      <w:r>
        <w:rPr>
          <w:rFonts w:hint="eastAsia" w:ascii="仿宋" w:hAnsi="仿宋" w:eastAsia="仿宋" w:cs="Arial"/>
          <w:sz w:val="32"/>
          <w:szCs w:val="32"/>
          <w:lang w:eastAsia="zh-CN"/>
        </w:rPr>
        <w:t>昆明市五华区工商业联合会</w:t>
      </w:r>
      <w:r>
        <w:rPr>
          <w:rFonts w:hint="eastAsia" w:ascii="仿宋" w:hAnsi="仿宋" w:eastAsia="仿宋" w:cs="Arial"/>
          <w:sz w:val="32"/>
          <w:szCs w:val="32"/>
        </w:rPr>
        <w:t>认真对待绩效自评，针对自身情况对实施项目提出合理的问题及建议，逐步提高绩效管理认识。</w:t>
      </w:r>
    </w:p>
    <w:p w14:paraId="277774FD">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14:paraId="1F252E55">
      <w:pPr>
        <w:pStyle w:val="17"/>
        <w:keepNext w:val="0"/>
        <w:keepLines w:val="0"/>
        <w:pageBreakBefore w:val="0"/>
        <w:kinsoku/>
        <w:wordWrap/>
        <w:bidi w:val="0"/>
        <w:snapToGrid/>
        <w:spacing w:before="0" w:beforeAutospacing="0" w:afterAutospacing="0" w:line="560" w:lineRule="exact"/>
        <w:ind w:firstLine="640" w:firstLineChars="200"/>
        <w:textAlignment w:val="auto"/>
        <w:rPr>
          <w:rFonts w:hint="eastAsia"/>
        </w:rPr>
      </w:pPr>
      <w:r>
        <w:rPr>
          <w:rFonts w:hint="eastAsia" w:ascii="仿宋" w:hAnsi="仿宋" w:eastAsia="仿宋" w:cs="Arial"/>
          <w:sz w:val="32"/>
          <w:szCs w:val="32"/>
        </w:rPr>
        <w:t>绩效管理认识不够，在填报项目支出时不够细化分解、量化。绩效评价未针对自身情况提出合理的问题及建议，绩效管理认识不够，应积极跟踪项目实施进度。</w:t>
      </w:r>
    </w:p>
    <w:p w14:paraId="5B3EAF69">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有关建议</w:t>
      </w:r>
    </w:p>
    <w:p w14:paraId="5E876CCC">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（一）改进措施</w:t>
      </w:r>
    </w:p>
    <w:p w14:paraId="57E82D7A">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ascii="仿宋" w:hAnsi="仿宋" w:eastAsia="仿宋"/>
          <w:b w:val="0"/>
          <w:bCs w:val="0"/>
          <w:sz w:val="32"/>
          <w:szCs w:val="32"/>
        </w:rPr>
      </w:pPr>
      <w:r>
        <w:rPr>
          <w:rFonts w:ascii="仿宋" w:hAnsi="仿宋" w:eastAsia="仿宋"/>
          <w:b w:val="0"/>
          <w:bCs w:val="0"/>
          <w:sz w:val="32"/>
          <w:szCs w:val="32"/>
        </w:rPr>
        <w:t>1</w:t>
      </w:r>
      <w:r>
        <w:rPr>
          <w:rFonts w:hint="eastAsia" w:ascii="仿宋" w:hAnsi="仿宋" w:eastAsia="仿宋"/>
          <w:b w:val="0"/>
          <w:bCs w:val="0"/>
          <w:sz w:val="32"/>
          <w:szCs w:val="32"/>
        </w:rPr>
        <w:t>、单位管理措施</w:t>
      </w:r>
    </w:p>
    <w:p w14:paraId="62E1EA0E">
      <w:pPr>
        <w:keepNext w:val="0"/>
        <w:keepLines w:val="0"/>
        <w:pageBreakBefore w:val="0"/>
        <w:widowControl/>
        <w:shd w:val="clear" w:color="auto" w:fill="FFFFFF"/>
        <w:kinsoku/>
        <w:wordWrap/>
        <w:bidi w:val="0"/>
        <w:snapToGrid/>
        <w:spacing w:beforeAutospacing="0" w:afterAutospacing="0" w:line="560" w:lineRule="exact"/>
        <w:ind w:firstLine="640" w:firstLineChars="200"/>
        <w:textAlignment w:val="auto"/>
        <w:rPr>
          <w:rFonts w:ascii="仿宋" w:hAnsi="仿宋" w:eastAsia="仿宋" w:cs="Arial"/>
          <w:sz w:val="32"/>
          <w:szCs w:val="32"/>
        </w:rPr>
      </w:pPr>
      <w:r>
        <w:rPr>
          <w:rFonts w:hint="eastAsia" w:ascii="仿宋" w:hAnsi="仿宋" w:eastAsia="仿宋" w:cs="Arial"/>
          <w:sz w:val="32"/>
          <w:szCs w:val="32"/>
          <w:lang w:eastAsia="zh-CN"/>
        </w:rPr>
        <w:t>昆明市五华区工商业联合会</w:t>
      </w:r>
      <w:r>
        <w:rPr>
          <w:rFonts w:hint="eastAsia" w:ascii="仿宋" w:hAnsi="仿宋" w:eastAsia="仿宋" w:cs="Arial"/>
          <w:sz w:val="32"/>
          <w:szCs w:val="32"/>
        </w:rPr>
        <w:t>要加强对预算绩效管理的组织领导，切实转变思想观念，牢固树立绩效意识，积极履行预算绩效管理主体责任，按照预算和绩效管理一体化要求，结合自身业务特点，深入分析</w:t>
      </w:r>
      <w:r>
        <w:rPr>
          <w:rFonts w:hint="eastAsia" w:ascii="仿宋" w:hAnsi="仿宋" w:eastAsia="仿宋" w:cs="Arial"/>
          <w:sz w:val="32"/>
          <w:szCs w:val="32"/>
          <w:lang w:eastAsia="zh-CN"/>
        </w:rPr>
        <w:t>昆明市五华区工商业联合会</w:t>
      </w:r>
      <w:r>
        <w:rPr>
          <w:rFonts w:hint="eastAsia" w:ascii="仿宋" w:hAnsi="仿宋" w:eastAsia="仿宋" w:cs="Arial"/>
          <w:sz w:val="32"/>
          <w:szCs w:val="32"/>
        </w:rPr>
        <w:t>预算绩效管理工作实际，建立健全部门预算绩效管理工作组织体系和制度体系，优化预算管理流程，完善内控制度，加强预算绩效管理力量，充实预算绩效管理人员，明确落实部门内部绩效管理牵头部门、人员及事前绩效评估、绩效目标设置、绩效跟踪监控、绩效评价的责任分工，将绩效管理责任分解落实到具体部门、明确到具体责任人，加强业务工作与财务工作紧密衔接，确保每一笔资金花得安全、用得高效，推动全面实施预算绩效管理工作常态化、制度化、规范化。　</w:t>
      </w:r>
    </w:p>
    <w:p w14:paraId="77DCDD50">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ascii="仿宋" w:hAnsi="仿宋" w:eastAsia="仿宋" w:cs="Arial"/>
          <w:b w:val="0"/>
          <w:bCs w:val="0"/>
          <w:sz w:val="32"/>
          <w:szCs w:val="32"/>
        </w:rPr>
      </w:pPr>
      <w:r>
        <w:rPr>
          <w:rFonts w:ascii="仿宋" w:hAnsi="仿宋" w:eastAsia="仿宋" w:cs="Arial"/>
          <w:b w:val="0"/>
          <w:bCs w:val="0"/>
          <w:sz w:val="32"/>
          <w:szCs w:val="32"/>
        </w:rPr>
        <w:t>2</w:t>
      </w:r>
      <w:r>
        <w:rPr>
          <w:rFonts w:hint="eastAsia" w:ascii="仿宋" w:hAnsi="仿宋" w:eastAsia="仿宋" w:cs="Arial"/>
          <w:b w:val="0"/>
          <w:bCs w:val="0"/>
          <w:sz w:val="32"/>
          <w:szCs w:val="32"/>
        </w:rPr>
        <w:t>、财政管理措施</w:t>
      </w:r>
    </w:p>
    <w:p w14:paraId="51D44C3D">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ascii="仿宋" w:hAnsi="仿宋" w:eastAsia="仿宋" w:cs="Arial"/>
          <w:sz w:val="32"/>
          <w:szCs w:val="32"/>
        </w:rPr>
      </w:pPr>
      <w:r>
        <w:rPr>
          <w:rFonts w:hint="eastAsia" w:ascii="仿宋" w:hAnsi="仿宋" w:eastAsia="仿宋" w:cs="Arial"/>
          <w:sz w:val="32"/>
          <w:szCs w:val="32"/>
        </w:rPr>
        <w:t>根据项目实施进度及时拨付资金，尽可能减少资金拨付环节和资金拨付时间，避免资金闲置、截留，提高资金使用效率，避免造成财政资源浪费。</w:t>
      </w:r>
    </w:p>
    <w:p w14:paraId="49A3EE3B">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（二）建议</w:t>
      </w:r>
    </w:p>
    <w:p w14:paraId="590B8D2C">
      <w:pPr>
        <w:pStyle w:val="17"/>
        <w:keepNext w:val="0"/>
        <w:keepLines w:val="0"/>
        <w:pageBreakBefore w:val="0"/>
        <w:kinsoku/>
        <w:wordWrap/>
        <w:bidi w:val="0"/>
        <w:snapToGrid/>
        <w:spacing w:before="0" w:beforeAutospacing="0" w:afterAutospacing="0" w:line="560" w:lineRule="exact"/>
        <w:ind w:firstLine="640" w:firstLineChars="200"/>
        <w:textAlignment w:val="auto"/>
        <w:rPr>
          <w:rFonts w:hint="eastAsia"/>
        </w:rPr>
      </w:pPr>
      <w:r>
        <w:rPr>
          <w:rFonts w:hint="eastAsia" w:ascii="仿宋" w:hAnsi="仿宋" w:eastAsia="仿宋" w:cs="Arial"/>
          <w:sz w:val="32"/>
          <w:szCs w:val="32"/>
          <w:lang w:eastAsia="zh-CN"/>
        </w:rPr>
        <w:t>昆明市五华区工商业联合会</w:t>
      </w:r>
      <w:r>
        <w:rPr>
          <w:rFonts w:hint="eastAsia" w:ascii="仿宋" w:hAnsi="仿宋" w:eastAsia="仿宋" w:cs="Arial"/>
          <w:sz w:val="32"/>
          <w:szCs w:val="32"/>
        </w:rPr>
        <w:t>积极参加预算绩效管理培训并结合实际情况，汇总、对比以往年度项目预算，从而科学、有依据的做出下一年的项目资金预算，编制更为合理的预算，优化项目资金预算。</w:t>
      </w:r>
    </w:p>
    <w:p w14:paraId="11C12E3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lang w:eastAsia="zh-CN"/>
        </w:rPr>
      </w:pPr>
      <w:r>
        <w:rPr>
          <w:rFonts w:hint="eastAsia" w:ascii="黑体" w:hAnsi="黑体" w:eastAsia="黑体" w:cs="黑体"/>
          <w:color w:val="auto"/>
          <w:sz w:val="32"/>
          <w:szCs w:val="32"/>
        </w:rPr>
        <w:t>八、其他需要说明的问题</w:t>
      </w:r>
    </w:p>
    <w:p w14:paraId="7FB72C6B">
      <w:pPr>
        <w:pStyle w:val="16"/>
        <w:jc w:val="both"/>
        <w:rPr>
          <w:rFonts w:hint="eastAsia"/>
          <w:lang w:eastAsia="zh-CN"/>
        </w:rPr>
      </w:pPr>
    </w:p>
    <w:p w14:paraId="5043339D">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方正小标宋简体" w:hAnsi="方正小标宋简体" w:eastAsia="方正小标宋简体" w:cs="方正小标宋简体"/>
          <w:color w:val="auto"/>
          <w:sz w:val="44"/>
          <w:szCs w:val="44"/>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3：</w:t>
      </w:r>
    </w:p>
    <w:p w14:paraId="3C142E76">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昆明市五华区工商业联合会非公有制经济和非公有制经济人士工作经费项目</w:t>
      </w:r>
      <w:r>
        <w:rPr>
          <w:rFonts w:hint="eastAsia" w:ascii="方正小标宋简体" w:hAnsi="方正小标宋简体" w:eastAsia="方正小标宋简体" w:cs="方正小标宋简体"/>
          <w:color w:val="auto"/>
          <w:sz w:val="44"/>
          <w:szCs w:val="44"/>
        </w:rPr>
        <w:t>绩效</w:t>
      </w:r>
      <w:r>
        <w:rPr>
          <w:rFonts w:hint="eastAsia" w:ascii="方正小标宋简体" w:hAnsi="方正小标宋简体" w:eastAsia="方正小标宋简体" w:cs="方正小标宋简体"/>
          <w:color w:val="auto"/>
          <w:sz w:val="44"/>
          <w:szCs w:val="44"/>
          <w:lang w:eastAsia="zh-CN"/>
        </w:rPr>
        <w:t>评价</w:t>
      </w:r>
      <w:r>
        <w:rPr>
          <w:rFonts w:hint="eastAsia" w:ascii="方正小标宋简体" w:hAnsi="方正小标宋简体" w:eastAsia="方正小标宋简体" w:cs="方正小标宋简体"/>
          <w:color w:val="auto"/>
          <w:sz w:val="44"/>
          <w:szCs w:val="44"/>
        </w:rPr>
        <w:t>问题清单</w:t>
      </w:r>
    </w:p>
    <w:tbl>
      <w:tblPr>
        <w:tblStyle w:val="18"/>
        <w:tblpPr w:leftFromText="180" w:rightFromText="180" w:vertAnchor="text" w:horzAnchor="page" w:tblpXSpec="center" w:tblpY="269"/>
        <w:tblOverlap w:val="never"/>
        <w:tblW w:w="9118" w:type="dxa"/>
        <w:jc w:val="center"/>
        <w:tblLayout w:type="fixed"/>
        <w:tblCellMar>
          <w:top w:w="0" w:type="dxa"/>
          <w:left w:w="108" w:type="dxa"/>
          <w:bottom w:w="0" w:type="dxa"/>
          <w:right w:w="108" w:type="dxa"/>
        </w:tblCellMar>
      </w:tblPr>
      <w:tblGrid>
        <w:gridCol w:w="2594"/>
        <w:gridCol w:w="886"/>
        <w:gridCol w:w="2018"/>
        <w:gridCol w:w="3620"/>
      </w:tblGrid>
      <w:tr w14:paraId="343EE3D1">
        <w:tblPrEx>
          <w:tblCellMar>
            <w:top w:w="0" w:type="dxa"/>
            <w:left w:w="108" w:type="dxa"/>
            <w:bottom w:w="0" w:type="dxa"/>
            <w:right w:w="108" w:type="dxa"/>
          </w:tblCellMar>
        </w:tblPrEx>
        <w:trPr>
          <w:trHeight w:val="589"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7F0ACDCC">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9D42D08">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DDDA25A">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6DAB821">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031AE966">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05AC667A">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项目立项存在的问题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DCA773F">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CC66684">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E331B9A">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93985F7">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24CA7">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4E298A9E">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1CA0AF4">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DED4E54">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5384E921">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11F2D49C">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资金管理存在的问题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824D761">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3A97246">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69A887B">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7EE74574">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7B40E5">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1AB10C37">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CA4E53C">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7CDDF89">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6018CE68">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2E9C65F0">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业务管理存在的问题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0CA7F5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3C3D50B">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406EAB8A">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67FFB441">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783FA">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D263939">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B86AEF7">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0502392B">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15107BE3">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07F7BB77">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项目产出存在的问题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36ED705">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BE72EA9">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76BCF657">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420A59A0">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FCD89">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E2DEC77">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480EFEEB">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4F05967">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707ED0A5">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00AAFC3C">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项目效益存在的问题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BA31611">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11C4382">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CD057EE">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73F88CD2">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CD45F9">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D7DDF9F">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D749BD8">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81425E0">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42D1B4A5">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nil"/>
              <w:right w:val="single" w:color="000000" w:sz="4" w:space="0"/>
            </w:tcBorders>
            <w:noWrap/>
            <w:vAlign w:val="center"/>
          </w:tcPr>
          <w:p w14:paraId="64208459">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其他问题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7C28A88">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4F830C4B">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昆明市五华区工商业联合会</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D05A5CF">
            <w:pPr>
              <w:pStyle w:val="16"/>
              <w:ind w:firstLine="0" w:firstLineChars="0"/>
              <w:jc w:val="center"/>
              <w:rPr>
                <w:rFonts w:hint="default" w:ascii="宋体" w:hAnsi="宋体" w:eastAsia="宋体" w:cs="宋体"/>
                <w:color w:val="000000"/>
                <w:kern w:val="2"/>
                <w:sz w:val="22"/>
                <w:szCs w:val="22"/>
                <w:lang w:val="en-US" w:eastAsia="zh-CN" w:bidi="ar-SA"/>
              </w:rPr>
            </w:pPr>
            <w:r>
              <w:rPr>
                <w:rFonts w:hint="eastAsia" w:ascii="宋体" w:hAnsi="宋体" w:cs="宋体"/>
                <w:color w:val="000000"/>
                <w:kern w:val="0"/>
                <w:sz w:val="18"/>
                <w:szCs w:val="18"/>
                <w:lang w:val="en-US" w:eastAsia="zh-CN"/>
              </w:rPr>
              <w:t>绩效管理认识不够，资金使用不到位</w:t>
            </w:r>
          </w:p>
          <w:p w14:paraId="06FA25DB">
            <w:pPr>
              <w:spacing w:line="420" w:lineRule="exact"/>
              <w:rPr>
                <w:rFonts w:ascii="宋体" w:hAnsi="宋体" w:cs="宋体"/>
                <w:color w:val="000000"/>
                <w:sz w:val="22"/>
                <w:szCs w:val="22"/>
              </w:rPr>
            </w:pPr>
          </w:p>
        </w:tc>
      </w:tr>
      <w:tr w14:paraId="170C24DF">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nil"/>
              <w:right w:val="single" w:color="000000" w:sz="4" w:space="0"/>
            </w:tcBorders>
            <w:noWrap w:val="0"/>
            <w:vAlign w:val="center"/>
          </w:tcPr>
          <w:p w14:paraId="4E27FE02">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7988C5D">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4E912CB0">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6C772FB">
            <w:pPr>
              <w:spacing w:line="420" w:lineRule="exact"/>
              <w:rPr>
                <w:rFonts w:ascii="宋体" w:hAnsi="宋体" w:cs="宋体"/>
                <w:color w:val="000000"/>
                <w:sz w:val="22"/>
                <w:szCs w:val="22"/>
              </w:rPr>
            </w:pPr>
          </w:p>
        </w:tc>
      </w:tr>
      <w:tr w14:paraId="40914661">
        <w:tblPrEx>
          <w:tblCellMar>
            <w:top w:w="0" w:type="dxa"/>
            <w:left w:w="108" w:type="dxa"/>
            <w:bottom w:w="0" w:type="dxa"/>
            <w:right w:w="108" w:type="dxa"/>
          </w:tblCellMar>
        </w:tblPrEx>
        <w:trPr>
          <w:trHeight w:val="680" w:hRule="exact"/>
          <w:jc w:val="center"/>
        </w:trPr>
        <w:tc>
          <w:tcPr>
            <w:tcW w:w="9118" w:type="dxa"/>
            <w:gridSpan w:val="4"/>
            <w:tcBorders>
              <w:top w:val="single" w:color="000000" w:sz="4" w:space="0"/>
              <w:left w:val="single" w:color="000000" w:sz="4" w:space="0"/>
              <w:bottom w:val="single" w:color="000000" w:sz="4" w:space="0"/>
              <w:right w:val="single" w:color="000000" w:sz="4" w:space="0"/>
            </w:tcBorders>
            <w:noWrap/>
            <w:vAlign w:val="top"/>
          </w:tcPr>
          <w:p w14:paraId="72E53012">
            <w:pPr>
              <w:spacing w:line="420" w:lineRule="exact"/>
              <w:rPr>
                <w:rFonts w:hint="eastAsia" w:ascii="宋体" w:hAnsi="宋体" w:cs="宋体"/>
                <w:color w:val="000000"/>
                <w:kern w:val="0"/>
                <w:sz w:val="24"/>
              </w:rPr>
            </w:pPr>
            <w:r>
              <w:rPr>
                <w:rFonts w:hint="eastAsia" w:ascii="宋体" w:hAnsi="宋体" w:cs="宋体"/>
                <w:color w:val="000000"/>
                <w:kern w:val="0"/>
                <w:sz w:val="24"/>
              </w:rPr>
              <w:t>备  注</w:t>
            </w:r>
            <w:r>
              <w:rPr>
                <w:rFonts w:hint="eastAsia" w:ascii="宋体" w:hAnsi="宋体" w:cs="宋体"/>
                <w:color w:val="000000"/>
                <w:kern w:val="0"/>
                <w:sz w:val="24"/>
                <w:lang w:eastAsia="zh-CN"/>
              </w:rPr>
              <w:t>：</w:t>
            </w:r>
          </w:p>
          <w:p w14:paraId="433161E3">
            <w:pPr>
              <w:spacing w:line="420" w:lineRule="exact"/>
              <w:rPr>
                <w:rFonts w:hint="eastAsia" w:ascii="宋体" w:hAnsi="宋体" w:cs="宋体"/>
                <w:color w:val="000000"/>
                <w:kern w:val="0"/>
                <w:sz w:val="24"/>
              </w:rPr>
            </w:pPr>
          </w:p>
        </w:tc>
      </w:tr>
    </w:tbl>
    <w:p w14:paraId="1EA68DC3">
      <w:pPr>
        <w:pStyle w:val="16"/>
        <w:ind w:left="0" w:leftChars="0" w:firstLine="0" w:firstLineChars="0"/>
        <w:jc w:val="both"/>
        <w:rPr>
          <w:rFonts w:hint="eastAsia"/>
          <w:lang w:val="en-US" w:eastAsia="zh-CN"/>
        </w:rPr>
      </w:pPr>
    </w:p>
    <w:sectPr>
      <w:headerReference r:id="rId3" w:type="default"/>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B30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EB6BC"/>
    <w:multiLevelType w:val="singleLevel"/>
    <w:tmpl w:val="8BDEB6BC"/>
    <w:lvl w:ilvl="0" w:tentative="0">
      <w:start w:val="2"/>
      <w:numFmt w:val="chineseCounting"/>
      <w:suff w:val="nothing"/>
      <w:lvlText w:val="（%1）"/>
      <w:lvlJc w:val="left"/>
      <w:rPr>
        <w:rFonts w:hint="eastAsia"/>
      </w:rPr>
    </w:lvl>
  </w:abstractNum>
  <w:abstractNum w:abstractNumId="1">
    <w:nsid w:val="3C0F6D32"/>
    <w:multiLevelType w:val="singleLevel"/>
    <w:tmpl w:val="3C0F6D32"/>
    <w:lvl w:ilvl="0" w:tentative="0">
      <w:start w:val="5"/>
      <w:numFmt w:val="chineseCounting"/>
      <w:suff w:val="nothing"/>
      <w:lvlText w:val="%1、"/>
      <w:lvlJc w:val="left"/>
      <w:rPr>
        <w:rFonts w:hint="eastAsia"/>
      </w:rPr>
    </w:lvl>
  </w:abstractNum>
  <w:abstractNum w:abstractNumId="2">
    <w:nsid w:val="6FF9A464"/>
    <w:multiLevelType w:val="singleLevel"/>
    <w:tmpl w:val="6FF9A46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3ZDkzNjY0ZTZiNmRiNWUyZTRmYTA3ZWMwNjI4MjgifQ=="/>
  </w:docVars>
  <w:rsids>
    <w:rsidRoot w:val="0020402E"/>
    <w:rsid w:val="00017A8F"/>
    <w:rsid w:val="00047AB7"/>
    <w:rsid w:val="0009075B"/>
    <w:rsid w:val="00090D52"/>
    <w:rsid w:val="00146EE9"/>
    <w:rsid w:val="00175F9F"/>
    <w:rsid w:val="001852BB"/>
    <w:rsid w:val="001D0E44"/>
    <w:rsid w:val="001F3ADA"/>
    <w:rsid w:val="001F5CC3"/>
    <w:rsid w:val="0020402E"/>
    <w:rsid w:val="002413BA"/>
    <w:rsid w:val="00252E79"/>
    <w:rsid w:val="00285A6A"/>
    <w:rsid w:val="002B6CB3"/>
    <w:rsid w:val="00316CB8"/>
    <w:rsid w:val="00323104"/>
    <w:rsid w:val="00333AF7"/>
    <w:rsid w:val="00353839"/>
    <w:rsid w:val="003C3A4C"/>
    <w:rsid w:val="003F417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6B4F71"/>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E17E0"/>
    <w:rsid w:val="00F21861"/>
    <w:rsid w:val="00F47909"/>
    <w:rsid w:val="00F56884"/>
    <w:rsid w:val="00F80A48"/>
    <w:rsid w:val="00FA00A3"/>
    <w:rsid w:val="00FC428C"/>
    <w:rsid w:val="00FD313A"/>
    <w:rsid w:val="00FE5B35"/>
    <w:rsid w:val="01205D5C"/>
    <w:rsid w:val="01303AC5"/>
    <w:rsid w:val="01415CD2"/>
    <w:rsid w:val="01565C22"/>
    <w:rsid w:val="01654A58"/>
    <w:rsid w:val="01BB5A85"/>
    <w:rsid w:val="01DB367D"/>
    <w:rsid w:val="01DE1773"/>
    <w:rsid w:val="02251150"/>
    <w:rsid w:val="022E6257"/>
    <w:rsid w:val="025D2311"/>
    <w:rsid w:val="025F4662"/>
    <w:rsid w:val="02671768"/>
    <w:rsid w:val="026C0DFE"/>
    <w:rsid w:val="02BE3A7E"/>
    <w:rsid w:val="02C32E43"/>
    <w:rsid w:val="02F474A0"/>
    <w:rsid w:val="03157FFB"/>
    <w:rsid w:val="031F2043"/>
    <w:rsid w:val="03265180"/>
    <w:rsid w:val="033E4BBF"/>
    <w:rsid w:val="03474314"/>
    <w:rsid w:val="03577A2F"/>
    <w:rsid w:val="03604B36"/>
    <w:rsid w:val="0374238F"/>
    <w:rsid w:val="03962305"/>
    <w:rsid w:val="03E23540"/>
    <w:rsid w:val="04003C23"/>
    <w:rsid w:val="04294F27"/>
    <w:rsid w:val="046B5540"/>
    <w:rsid w:val="04781A0B"/>
    <w:rsid w:val="04910D1F"/>
    <w:rsid w:val="04A171B4"/>
    <w:rsid w:val="04E909D6"/>
    <w:rsid w:val="04F35535"/>
    <w:rsid w:val="050F6813"/>
    <w:rsid w:val="054C5DAB"/>
    <w:rsid w:val="055C757F"/>
    <w:rsid w:val="057564AB"/>
    <w:rsid w:val="05850883"/>
    <w:rsid w:val="05922FA0"/>
    <w:rsid w:val="05B71742"/>
    <w:rsid w:val="06021ED4"/>
    <w:rsid w:val="063046E0"/>
    <w:rsid w:val="066B5CCB"/>
    <w:rsid w:val="06C346F1"/>
    <w:rsid w:val="06C54798"/>
    <w:rsid w:val="071023CF"/>
    <w:rsid w:val="071579E5"/>
    <w:rsid w:val="071C5217"/>
    <w:rsid w:val="071F6AB6"/>
    <w:rsid w:val="072639A0"/>
    <w:rsid w:val="074D53D1"/>
    <w:rsid w:val="07593D76"/>
    <w:rsid w:val="076C47CE"/>
    <w:rsid w:val="07C37441"/>
    <w:rsid w:val="07E55609"/>
    <w:rsid w:val="080F73BE"/>
    <w:rsid w:val="08114650"/>
    <w:rsid w:val="084A1910"/>
    <w:rsid w:val="084C6591"/>
    <w:rsid w:val="08514A4D"/>
    <w:rsid w:val="085A5FF7"/>
    <w:rsid w:val="085B3B1D"/>
    <w:rsid w:val="08713341"/>
    <w:rsid w:val="08AC4379"/>
    <w:rsid w:val="08AF45C5"/>
    <w:rsid w:val="08EC29C7"/>
    <w:rsid w:val="08F55D20"/>
    <w:rsid w:val="08FA3336"/>
    <w:rsid w:val="091D7025"/>
    <w:rsid w:val="09271C52"/>
    <w:rsid w:val="09442803"/>
    <w:rsid w:val="095E38C5"/>
    <w:rsid w:val="098350DA"/>
    <w:rsid w:val="098837B8"/>
    <w:rsid w:val="098D41AA"/>
    <w:rsid w:val="09F42AD2"/>
    <w:rsid w:val="0A110938"/>
    <w:rsid w:val="0A165F4E"/>
    <w:rsid w:val="0A2040E7"/>
    <w:rsid w:val="0A2E773B"/>
    <w:rsid w:val="0A465708"/>
    <w:rsid w:val="0A4D6167"/>
    <w:rsid w:val="0A622F41"/>
    <w:rsid w:val="0A6C0264"/>
    <w:rsid w:val="0A786C09"/>
    <w:rsid w:val="0A7E1D45"/>
    <w:rsid w:val="0A8E01DA"/>
    <w:rsid w:val="0AC27E84"/>
    <w:rsid w:val="0AFA761E"/>
    <w:rsid w:val="0B030359"/>
    <w:rsid w:val="0B4E5E90"/>
    <w:rsid w:val="0B505490"/>
    <w:rsid w:val="0B6757B7"/>
    <w:rsid w:val="0B6B4B9F"/>
    <w:rsid w:val="0B76450E"/>
    <w:rsid w:val="0BB2614A"/>
    <w:rsid w:val="0BE300B2"/>
    <w:rsid w:val="0BED7182"/>
    <w:rsid w:val="0C1A784C"/>
    <w:rsid w:val="0C943AA2"/>
    <w:rsid w:val="0CA77331"/>
    <w:rsid w:val="0CB61617"/>
    <w:rsid w:val="0CE20369"/>
    <w:rsid w:val="0D1D75F3"/>
    <w:rsid w:val="0D29128D"/>
    <w:rsid w:val="0D336E17"/>
    <w:rsid w:val="0D6E7E4F"/>
    <w:rsid w:val="0D774F56"/>
    <w:rsid w:val="0D8C35F6"/>
    <w:rsid w:val="0DDD6D83"/>
    <w:rsid w:val="0E0013EF"/>
    <w:rsid w:val="0E0D58BA"/>
    <w:rsid w:val="0E15476E"/>
    <w:rsid w:val="0E2D1318"/>
    <w:rsid w:val="0E3E1F17"/>
    <w:rsid w:val="0E415563"/>
    <w:rsid w:val="0E43752E"/>
    <w:rsid w:val="0E4B1576"/>
    <w:rsid w:val="0E701718"/>
    <w:rsid w:val="0E7771D7"/>
    <w:rsid w:val="0F607C6B"/>
    <w:rsid w:val="0F7D5F98"/>
    <w:rsid w:val="0FB3423F"/>
    <w:rsid w:val="0FB51D65"/>
    <w:rsid w:val="0FBB0301"/>
    <w:rsid w:val="0FC458FE"/>
    <w:rsid w:val="0FD541B5"/>
    <w:rsid w:val="0FFE370C"/>
    <w:rsid w:val="100D1BA1"/>
    <w:rsid w:val="100D7DF3"/>
    <w:rsid w:val="1041184B"/>
    <w:rsid w:val="104B0B11"/>
    <w:rsid w:val="10831E63"/>
    <w:rsid w:val="10BE10ED"/>
    <w:rsid w:val="10D73F5D"/>
    <w:rsid w:val="11124F95"/>
    <w:rsid w:val="111331E7"/>
    <w:rsid w:val="11401B02"/>
    <w:rsid w:val="11967974"/>
    <w:rsid w:val="119836EC"/>
    <w:rsid w:val="11A71B81"/>
    <w:rsid w:val="11AB1672"/>
    <w:rsid w:val="11AC7198"/>
    <w:rsid w:val="11DF7ED4"/>
    <w:rsid w:val="11E3705D"/>
    <w:rsid w:val="11FC3C7B"/>
    <w:rsid w:val="12282CC2"/>
    <w:rsid w:val="122B4561"/>
    <w:rsid w:val="12310D91"/>
    <w:rsid w:val="123E2F93"/>
    <w:rsid w:val="124A57A9"/>
    <w:rsid w:val="125D4824"/>
    <w:rsid w:val="128B56D9"/>
    <w:rsid w:val="129C0FBA"/>
    <w:rsid w:val="12AB56A1"/>
    <w:rsid w:val="12B26A30"/>
    <w:rsid w:val="12EA61CA"/>
    <w:rsid w:val="12EC1F42"/>
    <w:rsid w:val="130059ED"/>
    <w:rsid w:val="13224E04"/>
    <w:rsid w:val="13272F7A"/>
    <w:rsid w:val="134F26C3"/>
    <w:rsid w:val="1351449B"/>
    <w:rsid w:val="13541895"/>
    <w:rsid w:val="139D4FEA"/>
    <w:rsid w:val="13A10F7E"/>
    <w:rsid w:val="13AE4AD7"/>
    <w:rsid w:val="13C05F21"/>
    <w:rsid w:val="140137CB"/>
    <w:rsid w:val="14263231"/>
    <w:rsid w:val="143040B0"/>
    <w:rsid w:val="148166BA"/>
    <w:rsid w:val="148A47A3"/>
    <w:rsid w:val="14BE19FD"/>
    <w:rsid w:val="14C667C2"/>
    <w:rsid w:val="14C96294"/>
    <w:rsid w:val="14CD18FF"/>
    <w:rsid w:val="14D0730B"/>
    <w:rsid w:val="14D56A06"/>
    <w:rsid w:val="150D43F1"/>
    <w:rsid w:val="151237B6"/>
    <w:rsid w:val="153573E4"/>
    <w:rsid w:val="15406575"/>
    <w:rsid w:val="154371B0"/>
    <w:rsid w:val="154C4F1A"/>
    <w:rsid w:val="15543DCE"/>
    <w:rsid w:val="157601E9"/>
    <w:rsid w:val="15B900D5"/>
    <w:rsid w:val="15C2343F"/>
    <w:rsid w:val="15CC7E09"/>
    <w:rsid w:val="15DE18EA"/>
    <w:rsid w:val="16094BB9"/>
    <w:rsid w:val="162419F3"/>
    <w:rsid w:val="16513469"/>
    <w:rsid w:val="16556050"/>
    <w:rsid w:val="166242C9"/>
    <w:rsid w:val="16930926"/>
    <w:rsid w:val="16DC407B"/>
    <w:rsid w:val="16F40CC3"/>
    <w:rsid w:val="17255A22"/>
    <w:rsid w:val="1740460A"/>
    <w:rsid w:val="17427051"/>
    <w:rsid w:val="175D340E"/>
    <w:rsid w:val="176A5B2B"/>
    <w:rsid w:val="176D1177"/>
    <w:rsid w:val="176F3141"/>
    <w:rsid w:val="17AA5F28"/>
    <w:rsid w:val="17BA3F9F"/>
    <w:rsid w:val="18622CA6"/>
    <w:rsid w:val="18BF5A03"/>
    <w:rsid w:val="18C43019"/>
    <w:rsid w:val="18D70F9E"/>
    <w:rsid w:val="18FA2EDF"/>
    <w:rsid w:val="18FE652B"/>
    <w:rsid w:val="190B50EC"/>
    <w:rsid w:val="19297320"/>
    <w:rsid w:val="193A6353"/>
    <w:rsid w:val="194303E2"/>
    <w:rsid w:val="19662322"/>
    <w:rsid w:val="1977008B"/>
    <w:rsid w:val="197E766C"/>
    <w:rsid w:val="19831126"/>
    <w:rsid w:val="19871FA6"/>
    <w:rsid w:val="19940C3D"/>
    <w:rsid w:val="19BB266E"/>
    <w:rsid w:val="19BE5CBA"/>
    <w:rsid w:val="19C92FDD"/>
    <w:rsid w:val="1A3362B7"/>
    <w:rsid w:val="1A4C32C6"/>
    <w:rsid w:val="1AA21F20"/>
    <w:rsid w:val="1AD83484"/>
    <w:rsid w:val="1AF220BF"/>
    <w:rsid w:val="1AF839A4"/>
    <w:rsid w:val="1AFA0F74"/>
    <w:rsid w:val="1AFB36D2"/>
    <w:rsid w:val="1B067919"/>
    <w:rsid w:val="1B193AF0"/>
    <w:rsid w:val="1B201DBF"/>
    <w:rsid w:val="1B2C0724"/>
    <w:rsid w:val="1B2F4438"/>
    <w:rsid w:val="1B4B493C"/>
    <w:rsid w:val="1B6E7E45"/>
    <w:rsid w:val="1B83455A"/>
    <w:rsid w:val="1B882A24"/>
    <w:rsid w:val="1B8F5B60"/>
    <w:rsid w:val="1BC81072"/>
    <w:rsid w:val="1BF34341"/>
    <w:rsid w:val="1BFB4FA4"/>
    <w:rsid w:val="1C2A3ADB"/>
    <w:rsid w:val="1C393D1E"/>
    <w:rsid w:val="1C492847"/>
    <w:rsid w:val="1C4F52EF"/>
    <w:rsid w:val="1C5A43C0"/>
    <w:rsid w:val="1C737230"/>
    <w:rsid w:val="1C7D1E5D"/>
    <w:rsid w:val="1C856F63"/>
    <w:rsid w:val="1C8925AF"/>
    <w:rsid w:val="1C945BF3"/>
    <w:rsid w:val="1C9A47BD"/>
    <w:rsid w:val="1CBB2985"/>
    <w:rsid w:val="1CD23927"/>
    <w:rsid w:val="1CE67A02"/>
    <w:rsid w:val="1CFE11EF"/>
    <w:rsid w:val="1D13456F"/>
    <w:rsid w:val="1D1D719C"/>
    <w:rsid w:val="1D205DE2"/>
    <w:rsid w:val="1D65301C"/>
    <w:rsid w:val="1D6F5C49"/>
    <w:rsid w:val="1D721295"/>
    <w:rsid w:val="1D7A639C"/>
    <w:rsid w:val="1D994A74"/>
    <w:rsid w:val="1DB418AE"/>
    <w:rsid w:val="1DD43CFE"/>
    <w:rsid w:val="1DD97567"/>
    <w:rsid w:val="1E067C30"/>
    <w:rsid w:val="1E2E78B2"/>
    <w:rsid w:val="1E326C77"/>
    <w:rsid w:val="1E4A0464"/>
    <w:rsid w:val="1E5866DD"/>
    <w:rsid w:val="1E8C45D9"/>
    <w:rsid w:val="1E93139D"/>
    <w:rsid w:val="1E960FB4"/>
    <w:rsid w:val="1EA5569B"/>
    <w:rsid w:val="1F106FB8"/>
    <w:rsid w:val="1F1A7E37"/>
    <w:rsid w:val="1F204D21"/>
    <w:rsid w:val="1F2E5690"/>
    <w:rsid w:val="1F4135B5"/>
    <w:rsid w:val="1F615A66"/>
    <w:rsid w:val="1F6410B2"/>
    <w:rsid w:val="1F7F5EEC"/>
    <w:rsid w:val="1F843502"/>
    <w:rsid w:val="1FAD2A59"/>
    <w:rsid w:val="201F02E4"/>
    <w:rsid w:val="20256A93"/>
    <w:rsid w:val="206F7D0E"/>
    <w:rsid w:val="20B147CB"/>
    <w:rsid w:val="20BF5AA4"/>
    <w:rsid w:val="20CF1592"/>
    <w:rsid w:val="20DE6C42"/>
    <w:rsid w:val="20F326ED"/>
    <w:rsid w:val="21311468"/>
    <w:rsid w:val="21C44F09"/>
    <w:rsid w:val="21D45042"/>
    <w:rsid w:val="21D56297"/>
    <w:rsid w:val="21DE339D"/>
    <w:rsid w:val="21F076A9"/>
    <w:rsid w:val="21FB3F4F"/>
    <w:rsid w:val="22105521"/>
    <w:rsid w:val="221E379A"/>
    <w:rsid w:val="22372AAE"/>
    <w:rsid w:val="22590C76"/>
    <w:rsid w:val="227814F2"/>
    <w:rsid w:val="22A16179"/>
    <w:rsid w:val="22DB78DD"/>
    <w:rsid w:val="230C7A96"/>
    <w:rsid w:val="231F5A1C"/>
    <w:rsid w:val="234B4A63"/>
    <w:rsid w:val="236E0751"/>
    <w:rsid w:val="23902475"/>
    <w:rsid w:val="2392443F"/>
    <w:rsid w:val="23AB72AF"/>
    <w:rsid w:val="23D031BA"/>
    <w:rsid w:val="23E629DD"/>
    <w:rsid w:val="23EF1892"/>
    <w:rsid w:val="23FE7D27"/>
    <w:rsid w:val="24156E1F"/>
    <w:rsid w:val="24247062"/>
    <w:rsid w:val="245C67FB"/>
    <w:rsid w:val="24975A86"/>
    <w:rsid w:val="24C30629"/>
    <w:rsid w:val="24F66C50"/>
    <w:rsid w:val="251D41DD"/>
    <w:rsid w:val="252722E2"/>
    <w:rsid w:val="255C005A"/>
    <w:rsid w:val="25861D82"/>
    <w:rsid w:val="25873D4C"/>
    <w:rsid w:val="258B7398"/>
    <w:rsid w:val="25CC175F"/>
    <w:rsid w:val="25F807A6"/>
    <w:rsid w:val="26535811"/>
    <w:rsid w:val="268B7490"/>
    <w:rsid w:val="26993D37"/>
    <w:rsid w:val="26E2748C"/>
    <w:rsid w:val="26ED5E31"/>
    <w:rsid w:val="26F31699"/>
    <w:rsid w:val="270C62B7"/>
    <w:rsid w:val="271D04C4"/>
    <w:rsid w:val="276C34ED"/>
    <w:rsid w:val="27710810"/>
    <w:rsid w:val="27885693"/>
    <w:rsid w:val="279B588D"/>
    <w:rsid w:val="27DD40F7"/>
    <w:rsid w:val="27EB2370"/>
    <w:rsid w:val="27F21951"/>
    <w:rsid w:val="28047D00"/>
    <w:rsid w:val="28433F5A"/>
    <w:rsid w:val="285048C9"/>
    <w:rsid w:val="28642123"/>
    <w:rsid w:val="286A598B"/>
    <w:rsid w:val="28BC1F5F"/>
    <w:rsid w:val="28C52BC1"/>
    <w:rsid w:val="29106E69"/>
    <w:rsid w:val="29127DD1"/>
    <w:rsid w:val="29257B04"/>
    <w:rsid w:val="29272FC4"/>
    <w:rsid w:val="29512318"/>
    <w:rsid w:val="29791BFE"/>
    <w:rsid w:val="297D349C"/>
    <w:rsid w:val="298F4F7D"/>
    <w:rsid w:val="299B7DC6"/>
    <w:rsid w:val="29AF561F"/>
    <w:rsid w:val="29C56BF1"/>
    <w:rsid w:val="29D52E63"/>
    <w:rsid w:val="2A0239A1"/>
    <w:rsid w:val="2A047719"/>
    <w:rsid w:val="2A36189D"/>
    <w:rsid w:val="2A6F54DA"/>
    <w:rsid w:val="2A7570EB"/>
    <w:rsid w:val="2A905451"/>
    <w:rsid w:val="2A9F114D"/>
    <w:rsid w:val="2AA963F5"/>
    <w:rsid w:val="2ADC4E13"/>
    <w:rsid w:val="2B004385"/>
    <w:rsid w:val="2B151983"/>
    <w:rsid w:val="2B2067D5"/>
    <w:rsid w:val="2B6E5792"/>
    <w:rsid w:val="2B6F32B8"/>
    <w:rsid w:val="2BC25ADE"/>
    <w:rsid w:val="2BEA0B91"/>
    <w:rsid w:val="2BF437BD"/>
    <w:rsid w:val="2C534818"/>
    <w:rsid w:val="2C7843EE"/>
    <w:rsid w:val="2C7F39CF"/>
    <w:rsid w:val="2C901738"/>
    <w:rsid w:val="2CCF04B2"/>
    <w:rsid w:val="2CEA709A"/>
    <w:rsid w:val="2CF37C0E"/>
    <w:rsid w:val="2D285E15"/>
    <w:rsid w:val="2D841961"/>
    <w:rsid w:val="2D9E1C33"/>
    <w:rsid w:val="2DC43283"/>
    <w:rsid w:val="2DE51610"/>
    <w:rsid w:val="2E0D3F2A"/>
    <w:rsid w:val="2E2A34C6"/>
    <w:rsid w:val="2E2B796A"/>
    <w:rsid w:val="2E6C1D31"/>
    <w:rsid w:val="2EAC037F"/>
    <w:rsid w:val="2EEA15D4"/>
    <w:rsid w:val="2EF57F78"/>
    <w:rsid w:val="2F452CAE"/>
    <w:rsid w:val="2F6D3FB3"/>
    <w:rsid w:val="2FB514D0"/>
    <w:rsid w:val="2FFC690A"/>
    <w:rsid w:val="300C07F9"/>
    <w:rsid w:val="301461DC"/>
    <w:rsid w:val="30182170"/>
    <w:rsid w:val="301D1535"/>
    <w:rsid w:val="30314FE0"/>
    <w:rsid w:val="30842FF2"/>
    <w:rsid w:val="30963095"/>
    <w:rsid w:val="309A4933"/>
    <w:rsid w:val="309E0C3C"/>
    <w:rsid w:val="30A43A04"/>
    <w:rsid w:val="30C47C02"/>
    <w:rsid w:val="30CB0B45"/>
    <w:rsid w:val="30D66C72"/>
    <w:rsid w:val="30E402A4"/>
    <w:rsid w:val="310D3357"/>
    <w:rsid w:val="311A3CC6"/>
    <w:rsid w:val="31224929"/>
    <w:rsid w:val="319F5F79"/>
    <w:rsid w:val="31ED3189"/>
    <w:rsid w:val="320F4EAD"/>
    <w:rsid w:val="323E59E8"/>
    <w:rsid w:val="32544FB6"/>
    <w:rsid w:val="32BE4F4A"/>
    <w:rsid w:val="32BF68D3"/>
    <w:rsid w:val="3307027A"/>
    <w:rsid w:val="333A23FE"/>
    <w:rsid w:val="337F42B4"/>
    <w:rsid w:val="33E67E90"/>
    <w:rsid w:val="33ED3BCC"/>
    <w:rsid w:val="33FD3B57"/>
    <w:rsid w:val="34142C4F"/>
    <w:rsid w:val="343F797A"/>
    <w:rsid w:val="345066A6"/>
    <w:rsid w:val="34777DA9"/>
    <w:rsid w:val="34B00BC9"/>
    <w:rsid w:val="34D523DE"/>
    <w:rsid w:val="35223149"/>
    <w:rsid w:val="354237EC"/>
    <w:rsid w:val="35523A2F"/>
    <w:rsid w:val="35700359"/>
    <w:rsid w:val="35784879"/>
    <w:rsid w:val="357F67EE"/>
    <w:rsid w:val="35A41DB0"/>
    <w:rsid w:val="35A818A1"/>
    <w:rsid w:val="35D46B3A"/>
    <w:rsid w:val="35F908C5"/>
    <w:rsid w:val="361231BE"/>
    <w:rsid w:val="361E1B63"/>
    <w:rsid w:val="363D0213"/>
    <w:rsid w:val="366C4FC4"/>
    <w:rsid w:val="366E2AEA"/>
    <w:rsid w:val="36842191"/>
    <w:rsid w:val="368857DA"/>
    <w:rsid w:val="36AA1648"/>
    <w:rsid w:val="36D52B69"/>
    <w:rsid w:val="36D668E1"/>
    <w:rsid w:val="36E83F1F"/>
    <w:rsid w:val="37052D23"/>
    <w:rsid w:val="3719610A"/>
    <w:rsid w:val="374B4BD9"/>
    <w:rsid w:val="376712E7"/>
    <w:rsid w:val="377C2FE5"/>
    <w:rsid w:val="37893954"/>
    <w:rsid w:val="37C52BDE"/>
    <w:rsid w:val="37DE3C9F"/>
    <w:rsid w:val="37F4701F"/>
    <w:rsid w:val="38003C16"/>
    <w:rsid w:val="382A0C93"/>
    <w:rsid w:val="382D42DF"/>
    <w:rsid w:val="38575800"/>
    <w:rsid w:val="38613F89"/>
    <w:rsid w:val="38B844F1"/>
    <w:rsid w:val="38C53A27"/>
    <w:rsid w:val="38CF35E8"/>
    <w:rsid w:val="38E01351"/>
    <w:rsid w:val="38F512A1"/>
    <w:rsid w:val="39072D82"/>
    <w:rsid w:val="39203E44"/>
    <w:rsid w:val="392F0A56"/>
    <w:rsid w:val="395064D7"/>
    <w:rsid w:val="39965698"/>
    <w:rsid w:val="39AB195F"/>
    <w:rsid w:val="39B32F0A"/>
    <w:rsid w:val="39CD5D7A"/>
    <w:rsid w:val="39DA7253"/>
    <w:rsid w:val="39E430C3"/>
    <w:rsid w:val="39F07CBA"/>
    <w:rsid w:val="39F5707E"/>
    <w:rsid w:val="3A3F654C"/>
    <w:rsid w:val="3A5B15D7"/>
    <w:rsid w:val="3A6D30B9"/>
    <w:rsid w:val="3A706705"/>
    <w:rsid w:val="3A744447"/>
    <w:rsid w:val="3A7C154E"/>
    <w:rsid w:val="3ABD5DEE"/>
    <w:rsid w:val="3AD578E1"/>
    <w:rsid w:val="3AE8273F"/>
    <w:rsid w:val="3B077069"/>
    <w:rsid w:val="3B1654FE"/>
    <w:rsid w:val="3B457B92"/>
    <w:rsid w:val="3B6049CB"/>
    <w:rsid w:val="3BA23D49"/>
    <w:rsid w:val="3BBC42F8"/>
    <w:rsid w:val="3C142D66"/>
    <w:rsid w:val="3C1557B6"/>
    <w:rsid w:val="3C1663B1"/>
    <w:rsid w:val="3C761AAA"/>
    <w:rsid w:val="3CA974C2"/>
    <w:rsid w:val="3CD967E3"/>
    <w:rsid w:val="3CFF3309"/>
    <w:rsid w:val="3D053A7C"/>
    <w:rsid w:val="3D4D2D2E"/>
    <w:rsid w:val="3D5B0142"/>
    <w:rsid w:val="3D89645B"/>
    <w:rsid w:val="3DBF3C2B"/>
    <w:rsid w:val="3DC079A3"/>
    <w:rsid w:val="3DD75329"/>
    <w:rsid w:val="3DEA67CE"/>
    <w:rsid w:val="3DFD6502"/>
    <w:rsid w:val="3E3208A1"/>
    <w:rsid w:val="3E3363C7"/>
    <w:rsid w:val="3E3839DE"/>
    <w:rsid w:val="3E66054B"/>
    <w:rsid w:val="3E717642"/>
    <w:rsid w:val="3E844FE1"/>
    <w:rsid w:val="3E9F580B"/>
    <w:rsid w:val="3EBB072B"/>
    <w:rsid w:val="3EC51715"/>
    <w:rsid w:val="3F2F4DE1"/>
    <w:rsid w:val="3F52287D"/>
    <w:rsid w:val="3FE45BCB"/>
    <w:rsid w:val="3FF676AC"/>
    <w:rsid w:val="4013025E"/>
    <w:rsid w:val="401D2E8B"/>
    <w:rsid w:val="40297539"/>
    <w:rsid w:val="40414948"/>
    <w:rsid w:val="4050500F"/>
    <w:rsid w:val="40624D42"/>
    <w:rsid w:val="406E1939"/>
    <w:rsid w:val="407451A1"/>
    <w:rsid w:val="407707ED"/>
    <w:rsid w:val="407D1B7C"/>
    <w:rsid w:val="40AA0BC3"/>
    <w:rsid w:val="40C637D8"/>
    <w:rsid w:val="40FC6F44"/>
    <w:rsid w:val="410B53D9"/>
    <w:rsid w:val="41203D79"/>
    <w:rsid w:val="4125649B"/>
    <w:rsid w:val="412A5860"/>
    <w:rsid w:val="413606A8"/>
    <w:rsid w:val="413B7A6D"/>
    <w:rsid w:val="41636FC4"/>
    <w:rsid w:val="41780CC1"/>
    <w:rsid w:val="4194717D"/>
    <w:rsid w:val="41C45CB4"/>
    <w:rsid w:val="41CC4F14"/>
    <w:rsid w:val="41D43A1D"/>
    <w:rsid w:val="41EC0D67"/>
    <w:rsid w:val="42120659"/>
    <w:rsid w:val="42162288"/>
    <w:rsid w:val="426A72E7"/>
    <w:rsid w:val="426E5C20"/>
    <w:rsid w:val="42786A9F"/>
    <w:rsid w:val="42A11B51"/>
    <w:rsid w:val="42FB3958"/>
    <w:rsid w:val="42FC147E"/>
    <w:rsid w:val="438576C5"/>
    <w:rsid w:val="43A15B81"/>
    <w:rsid w:val="43AD2778"/>
    <w:rsid w:val="43B74A2F"/>
    <w:rsid w:val="43F202D8"/>
    <w:rsid w:val="443469F5"/>
    <w:rsid w:val="4436276D"/>
    <w:rsid w:val="446E63AB"/>
    <w:rsid w:val="44812A1C"/>
    <w:rsid w:val="449C6A74"/>
    <w:rsid w:val="44C24001"/>
    <w:rsid w:val="44DA0652"/>
    <w:rsid w:val="44DE708D"/>
    <w:rsid w:val="44E16B7D"/>
    <w:rsid w:val="4568638C"/>
    <w:rsid w:val="457E4086"/>
    <w:rsid w:val="45A35BE1"/>
    <w:rsid w:val="45B63C5D"/>
    <w:rsid w:val="45BB73CE"/>
    <w:rsid w:val="45CE0BFE"/>
    <w:rsid w:val="46592743"/>
    <w:rsid w:val="467807D5"/>
    <w:rsid w:val="468772B0"/>
    <w:rsid w:val="46D0054F"/>
    <w:rsid w:val="46DA32A9"/>
    <w:rsid w:val="46F801AE"/>
    <w:rsid w:val="46F96400"/>
    <w:rsid w:val="47152B0E"/>
    <w:rsid w:val="47217705"/>
    <w:rsid w:val="474B4782"/>
    <w:rsid w:val="47505984"/>
    <w:rsid w:val="47777325"/>
    <w:rsid w:val="4823125B"/>
    <w:rsid w:val="484140EE"/>
    <w:rsid w:val="489505CE"/>
    <w:rsid w:val="48A153C2"/>
    <w:rsid w:val="48A56114"/>
    <w:rsid w:val="48D25011"/>
    <w:rsid w:val="48E01D74"/>
    <w:rsid w:val="48E409EA"/>
    <w:rsid w:val="48FD1AAC"/>
    <w:rsid w:val="49107A31"/>
    <w:rsid w:val="49357497"/>
    <w:rsid w:val="49391826"/>
    <w:rsid w:val="49976A8B"/>
    <w:rsid w:val="49C10D2B"/>
    <w:rsid w:val="49C56A6D"/>
    <w:rsid w:val="49F41101"/>
    <w:rsid w:val="4A314103"/>
    <w:rsid w:val="4A581AD8"/>
    <w:rsid w:val="4A69564B"/>
    <w:rsid w:val="4A7051E3"/>
    <w:rsid w:val="4AB42380"/>
    <w:rsid w:val="4ACC3E2B"/>
    <w:rsid w:val="4AE50A49"/>
    <w:rsid w:val="4AF62C56"/>
    <w:rsid w:val="4B20746B"/>
    <w:rsid w:val="4B2A5930"/>
    <w:rsid w:val="4B2C6678"/>
    <w:rsid w:val="4B62209A"/>
    <w:rsid w:val="4B6B53F2"/>
    <w:rsid w:val="4B702A09"/>
    <w:rsid w:val="4B7C13AE"/>
    <w:rsid w:val="4B893ACB"/>
    <w:rsid w:val="4B895879"/>
    <w:rsid w:val="4B8E2E8F"/>
    <w:rsid w:val="4B9B4038"/>
    <w:rsid w:val="4BB1223F"/>
    <w:rsid w:val="4BCC0632"/>
    <w:rsid w:val="4BDC1E4C"/>
    <w:rsid w:val="4BE551A5"/>
    <w:rsid w:val="4BE56F53"/>
    <w:rsid w:val="4BEB6533"/>
    <w:rsid w:val="4C261319"/>
    <w:rsid w:val="4C382E8F"/>
    <w:rsid w:val="4C3E4D7E"/>
    <w:rsid w:val="4C6B2057"/>
    <w:rsid w:val="4C7D53DD"/>
    <w:rsid w:val="4C8056D4"/>
    <w:rsid w:val="4C8D1398"/>
    <w:rsid w:val="4C8F2F6F"/>
    <w:rsid w:val="4CB4635D"/>
    <w:rsid w:val="4CC56D84"/>
    <w:rsid w:val="4CCC314C"/>
    <w:rsid w:val="4CCF375F"/>
    <w:rsid w:val="4CD174D7"/>
    <w:rsid w:val="4CD32934"/>
    <w:rsid w:val="4CD6689C"/>
    <w:rsid w:val="4CD945DE"/>
    <w:rsid w:val="4CF65190"/>
    <w:rsid w:val="4CFB6302"/>
    <w:rsid w:val="4D185106"/>
    <w:rsid w:val="4D333CEE"/>
    <w:rsid w:val="4D387556"/>
    <w:rsid w:val="4D3B0DF4"/>
    <w:rsid w:val="4D565C2E"/>
    <w:rsid w:val="4D682A48"/>
    <w:rsid w:val="4D6F609D"/>
    <w:rsid w:val="4D832C78"/>
    <w:rsid w:val="4D87403A"/>
    <w:rsid w:val="4DAD3AA0"/>
    <w:rsid w:val="4DBA322B"/>
    <w:rsid w:val="4DD50F91"/>
    <w:rsid w:val="4DF01BDF"/>
    <w:rsid w:val="4E271D7B"/>
    <w:rsid w:val="4E2B4ECD"/>
    <w:rsid w:val="4E7740AE"/>
    <w:rsid w:val="4E7E2684"/>
    <w:rsid w:val="4EAB7E41"/>
    <w:rsid w:val="4EB65DC8"/>
    <w:rsid w:val="4F744DEB"/>
    <w:rsid w:val="5015592D"/>
    <w:rsid w:val="50A32F39"/>
    <w:rsid w:val="50B508AC"/>
    <w:rsid w:val="50C51101"/>
    <w:rsid w:val="50D6330E"/>
    <w:rsid w:val="50F934A0"/>
    <w:rsid w:val="510D2AA8"/>
    <w:rsid w:val="51595CED"/>
    <w:rsid w:val="518823FC"/>
    <w:rsid w:val="51C70EA9"/>
    <w:rsid w:val="51CC64BF"/>
    <w:rsid w:val="51D27F79"/>
    <w:rsid w:val="51D51818"/>
    <w:rsid w:val="51D52940"/>
    <w:rsid w:val="51F55A16"/>
    <w:rsid w:val="51FA127E"/>
    <w:rsid w:val="521B7236"/>
    <w:rsid w:val="521F2A93"/>
    <w:rsid w:val="52354064"/>
    <w:rsid w:val="52377DDC"/>
    <w:rsid w:val="523E38F5"/>
    <w:rsid w:val="52416EAD"/>
    <w:rsid w:val="527B23BF"/>
    <w:rsid w:val="527E1EEC"/>
    <w:rsid w:val="5285323E"/>
    <w:rsid w:val="52923265"/>
    <w:rsid w:val="52CC2C1B"/>
    <w:rsid w:val="52E87329"/>
    <w:rsid w:val="52F97788"/>
    <w:rsid w:val="5302663C"/>
    <w:rsid w:val="53395DD6"/>
    <w:rsid w:val="533D5A7E"/>
    <w:rsid w:val="535844AE"/>
    <w:rsid w:val="53795CE4"/>
    <w:rsid w:val="538232A1"/>
    <w:rsid w:val="53C21688"/>
    <w:rsid w:val="53D14ABD"/>
    <w:rsid w:val="53FF0DCE"/>
    <w:rsid w:val="54761817"/>
    <w:rsid w:val="547D1124"/>
    <w:rsid w:val="548B440F"/>
    <w:rsid w:val="54CD2C7A"/>
    <w:rsid w:val="54CF07A0"/>
    <w:rsid w:val="54D77655"/>
    <w:rsid w:val="54F975CB"/>
    <w:rsid w:val="55061CE8"/>
    <w:rsid w:val="552D5EC0"/>
    <w:rsid w:val="554D7917"/>
    <w:rsid w:val="55652EB2"/>
    <w:rsid w:val="557673CF"/>
    <w:rsid w:val="55825812"/>
    <w:rsid w:val="5612303A"/>
    <w:rsid w:val="56380A98"/>
    <w:rsid w:val="564725B8"/>
    <w:rsid w:val="56585574"/>
    <w:rsid w:val="5661367A"/>
    <w:rsid w:val="56C137C7"/>
    <w:rsid w:val="56F40992"/>
    <w:rsid w:val="56FA587C"/>
    <w:rsid w:val="56FC7846"/>
    <w:rsid w:val="570010E5"/>
    <w:rsid w:val="57517B92"/>
    <w:rsid w:val="576A0C54"/>
    <w:rsid w:val="57875362"/>
    <w:rsid w:val="57B7551B"/>
    <w:rsid w:val="5818245E"/>
    <w:rsid w:val="582901C7"/>
    <w:rsid w:val="58533496"/>
    <w:rsid w:val="58711B6E"/>
    <w:rsid w:val="58931AE5"/>
    <w:rsid w:val="58BF0B2C"/>
    <w:rsid w:val="58DC7930"/>
    <w:rsid w:val="58F5279F"/>
    <w:rsid w:val="58F5454D"/>
    <w:rsid w:val="58FC1C36"/>
    <w:rsid w:val="590B2E55"/>
    <w:rsid w:val="590D7AE9"/>
    <w:rsid w:val="5980475F"/>
    <w:rsid w:val="598F49A2"/>
    <w:rsid w:val="599F6108"/>
    <w:rsid w:val="59B14918"/>
    <w:rsid w:val="59B61F2F"/>
    <w:rsid w:val="59B9557B"/>
    <w:rsid w:val="59BE7035"/>
    <w:rsid w:val="59C04B5B"/>
    <w:rsid w:val="59C363FA"/>
    <w:rsid w:val="59D423B5"/>
    <w:rsid w:val="59E92304"/>
    <w:rsid w:val="5A3F1F24"/>
    <w:rsid w:val="5A7616BE"/>
    <w:rsid w:val="5A843DDB"/>
    <w:rsid w:val="5A8C0EE1"/>
    <w:rsid w:val="5AB75993"/>
    <w:rsid w:val="5AB81CD6"/>
    <w:rsid w:val="5AC616FF"/>
    <w:rsid w:val="5AD07020"/>
    <w:rsid w:val="5AD52888"/>
    <w:rsid w:val="5AE4142E"/>
    <w:rsid w:val="5B2C00C0"/>
    <w:rsid w:val="5B8D4F11"/>
    <w:rsid w:val="5B9C33A6"/>
    <w:rsid w:val="5BCC5A39"/>
    <w:rsid w:val="5BE07737"/>
    <w:rsid w:val="5C125416"/>
    <w:rsid w:val="5C4541E2"/>
    <w:rsid w:val="5C5F065B"/>
    <w:rsid w:val="5C7A5495"/>
    <w:rsid w:val="5C877BB2"/>
    <w:rsid w:val="5C9F6CAA"/>
    <w:rsid w:val="5CBA1D36"/>
    <w:rsid w:val="5CD07982"/>
    <w:rsid w:val="5CDD3C76"/>
    <w:rsid w:val="5CF54B1C"/>
    <w:rsid w:val="5D0E5BDE"/>
    <w:rsid w:val="5D244588"/>
    <w:rsid w:val="5D28108C"/>
    <w:rsid w:val="5D5F468B"/>
    <w:rsid w:val="5DA4554F"/>
    <w:rsid w:val="5DD1318C"/>
    <w:rsid w:val="5DDB01B6"/>
    <w:rsid w:val="5DE66B5A"/>
    <w:rsid w:val="5DEE5DA8"/>
    <w:rsid w:val="5DF43025"/>
    <w:rsid w:val="5E6C3504"/>
    <w:rsid w:val="5E9B5562"/>
    <w:rsid w:val="5EB856E4"/>
    <w:rsid w:val="5EBA601D"/>
    <w:rsid w:val="5EDB5F93"/>
    <w:rsid w:val="5F061262"/>
    <w:rsid w:val="5F1F40D2"/>
    <w:rsid w:val="5F3465FA"/>
    <w:rsid w:val="5F3D09FC"/>
    <w:rsid w:val="5F426012"/>
    <w:rsid w:val="5F557A60"/>
    <w:rsid w:val="5F5C70D4"/>
    <w:rsid w:val="5F772160"/>
    <w:rsid w:val="5FCC2D43"/>
    <w:rsid w:val="5FE33352"/>
    <w:rsid w:val="5FEF7F48"/>
    <w:rsid w:val="5FF40209"/>
    <w:rsid w:val="60340580"/>
    <w:rsid w:val="603E4A2C"/>
    <w:rsid w:val="60F577E0"/>
    <w:rsid w:val="610572F8"/>
    <w:rsid w:val="6110461A"/>
    <w:rsid w:val="6151078F"/>
    <w:rsid w:val="6155027F"/>
    <w:rsid w:val="619A3EE4"/>
    <w:rsid w:val="619E5A94"/>
    <w:rsid w:val="61A44D62"/>
    <w:rsid w:val="61BC3E5A"/>
    <w:rsid w:val="61CC42D6"/>
    <w:rsid w:val="62092C5F"/>
    <w:rsid w:val="624125B1"/>
    <w:rsid w:val="62511E3F"/>
    <w:rsid w:val="62805895"/>
    <w:rsid w:val="6292105F"/>
    <w:rsid w:val="62C77536"/>
    <w:rsid w:val="631321A0"/>
    <w:rsid w:val="63170B40"/>
    <w:rsid w:val="633F11E7"/>
    <w:rsid w:val="63402869"/>
    <w:rsid w:val="6357079D"/>
    <w:rsid w:val="636E5628"/>
    <w:rsid w:val="63822E81"/>
    <w:rsid w:val="638E7A78"/>
    <w:rsid w:val="63950E07"/>
    <w:rsid w:val="63957059"/>
    <w:rsid w:val="63BB75EA"/>
    <w:rsid w:val="63CE4319"/>
    <w:rsid w:val="63E37DC4"/>
    <w:rsid w:val="63F57AF7"/>
    <w:rsid w:val="64080A45"/>
    <w:rsid w:val="6419080D"/>
    <w:rsid w:val="645415E8"/>
    <w:rsid w:val="646625F9"/>
    <w:rsid w:val="64760C38"/>
    <w:rsid w:val="64874BF3"/>
    <w:rsid w:val="64CC0E20"/>
    <w:rsid w:val="65404DA2"/>
    <w:rsid w:val="6549634D"/>
    <w:rsid w:val="654C3747"/>
    <w:rsid w:val="657809E0"/>
    <w:rsid w:val="659418B0"/>
    <w:rsid w:val="65A73073"/>
    <w:rsid w:val="65ED4F2A"/>
    <w:rsid w:val="65F514C0"/>
    <w:rsid w:val="660D2ED6"/>
    <w:rsid w:val="662A1850"/>
    <w:rsid w:val="66495ED8"/>
    <w:rsid w:val="665A1E94"/>
    <w:rsid w:val="667967BE"/>
    <w:rsid w:val="66B07D06"/>
    <w:rsid w:val="66B5531C"/>
    <w:rsid w:val="66B6356E"/>
    <w:rsid w:val="66F32FE7"/>
    <w:rsid w:val="67087B42"/>
    <w:rsid w:val="6727621A"/>
    <w:rsid w:val="672A3F5C"/>
    <w:rsid w:val="672C7221"/>
    <w:rsid w:val="673426E5"/>
    <w:rsid w:val="673821D5"/>
    <w:rsid w:val="675D1C3B"/>
    <w:rsid w:val="678F03E3"/>
    <w:rsid w:val="6793565D"/>
    <w:rsid w:val="67B35CFF"/>
    <w:rsid w:val="67BB4BB4"/>
    <w:rsid w:val="67E73BFB"/>
    <w:rsid w:val="67F307F2"/>
    <w:rsid w:val="67F500C6"/>
    <w:rsid w:val="6817003C"/>
    <w:rsid w:val="68295FC1"/>
    <w:rsid w:val="683B72E1"/>
    <w:rsid w:val="6844104D"/>
    <w:rsid w:val="687234C5"/>
    <w:rsid w:val="687545A8"/>
    <w:rsid w:val="68A65864"/>
    <w:rsid w:val="68B166E3"/>
    <w:rsid w:val="68B40C28"/>
    <w:rsid w:val="68F22857"/>
    <w:rsid w:val="69006D22"/>
    <w:rsid w:val="691427CE"/>
    <w:rsid w:val="691C1682"/>
    <w:rsid w:val="691E250D"/>
    <w:rsid w:val="69230C63"/>
    <w:rsid w:val="69320EA6"/>
    <w:rsid w:val="69653029"/>
    <w:rsid w:val="699A7177"/>
    <w:rsid w:val="69C66CD0"/>
    <w:rsid w:val="69E403F2"/>
    <w:rsid w:val="69F61ED3"/>
    <w:rsid w:val="6A06480C"/>
    <w:rsid w:val="6A0C12EB"/>
    <w:rsid w:val="6A6C22B0"/>
    <w:rsid w:val="6A70612A"/>
    <w:rsid w:val="6A7A2B04"/>
    <w:rsid w:val="6ADE7537"/>
    <w:rsid w:val="6AE56A59"/>
    <w:rsid w:val="6B032AFA"/>
    <w:rsid w:val="6B0C2013"/>
    <w:rsid w:val="6B1252E0"/>
    <w:rsid w:val="6B2036AC"/>
    <w:rsid w:val="6B7439F8"/>
    <w:rsid w:val="6B89641A"/>
    <w:rsid w:val="6BAD0DEB"/>
    <w:rsid w:val="6BCC4F2B"/>
    <w:rsid w:val="6C2E1DF8"/>
    <w:rsid w:val="6C691293"/>
    <w:rsid w:val="6C9A748E"/>
    <w:rsid w:val="6CEB5F3B"/>
    <w:rsid w:val="6CF05300"/>
    <w:rsid w:val="6CFE5C6F"/>
    <w:rsid w:val="6D06067F"/>
    <w:rsid w:val="6D1E1E6D"/>
    <w:rsid w:val="6D1F7993"/>
    <w:rsid w:val="6D3E250F"/>
    <w:rsid w:val="6D4F0278"/>
    <w:rsid w:val="6D6A6E60"/>
    <w:rsid w:val="6D953B8F"/>
    <w:rsid w:val="6D995997"/>
    <w:rsid w:val="6DAA54AF"/>
    <w:rsid w:val="6DB85E1E"/>
    <w:rsid w:val="6DC9627D"/>
    <w:rsid w:val="6DE54739"/>
    <w:rsid w:val="6DF1132F"/>
    <w:rsid w:val="6E0E1EE1"/>
    <w:rsid w:val="6E162B44"/>
    <w:rsid w:val="6E535698"/>
    <w:rsid w:val="6E5518BE"/>
    <w:rsid w:val="6EA463A2"/>
    <w:rsid w:val="6EF72976"/>
    <w:rsid w:val="6EFC61DE"/>
    <w:rsid w:val="6F392F8E"/>
    <w:rsid w:val="6F5C4ECE"/>
    <w:rsid w:val="6F63480E"/>
    <w:rsid w:val="6F7F4719"/>
    <w:rsid w:val="701D01BA"/>
    <w:rsid w:val="70396723"/>
    <w:rsid w:val="70433998"/>
    <w:rsid w:val="70501F38"/>
    <w:rsid w:val="70520021"/>
    <w:rsid w:val="7068263B"/>
    <w:rsid w:val="70785D38"/>
    <w:rsid w:val="70862203"/>
    <w:rsid w:val="70980188"/>
    <w:rsid w:val="709D12FB"/>
    <w:rsid w:val="70A97C9F"/>
    <w:rsid w:val="70AB1C6A"/>
    <w:rsid w:val="70AC59E2"/>
    <w:rsid w:val="70B14DA6"/>
    <w:rsid w:val="70C8455E"/>
    <w:rsid w:val="7113156F"/>
    <w:rsid w:val="711C4915"/>
    <w:rsid w:val="712A4F61"/>
    <w:rsid w:val="71597917"/>
    <w:rsid w:val="71716B68"/>
    <w:rsid w:val="717B788E"/>
    <w:rsid w:val="718F6E95"/>
    <w:rsid w:val="71913A76"/>
    <w:rsid w:val="71A212BE"/>
    <w:rsid w:val="71E769F5"/>
    <w:rsid w:val="71F2795F"/>
    <w:rsid w:val="71FE226D"/>
    <w:rsid w:val="724361BE"/>
    <w:rsid w:val="72643CC5"/>
    <w:rsid w:val="72717B4F"/>
    <w:rsid w:val="728132ED"/>
    <w:rsid w:val="72897D89"/>
    <w:rsid w:val="72A911B4"/>
    <w:rsid w:val="72B27EFD"/>
    <w:rsid w:val="72BD6DD8"/>
    <w:rsid w:val="72BD7A32"/>
    <w:rsid w:val="73075151"/>
    <w:rsid w:val="73571C35"/>
    <w:rsid w:val="735859AD"/>
    <w:rsid w:val="73684C1E"/>
    <w:rsid w:val="736E51D0"/>
    <w:rsid w:val="73927111"/>
    <w:rsid w:val="73B57A63"/>
    <w:rsid w:val="73DE2356"/>
    <w:rsid w:val="73F25E01"/>
    <w:rsid w:val="74032155"/>
    <w:rsid w:val="74082F2F"/>
    <w:rsid w:val="741C1DA4"/>
    <w:rsid w:val="7434641A"/>
    <w:rsid w:val="74381A66"/>
    <w:rsid w:val="743C5BB1"/>
    <w:rsid w:val="74624D35"/>
    <w:rsid w:val="747607E0"/>
    <w:rsid w:val="74814AD2"/>
    <w:rsid w:val="748702F8"/>
    <w:rsid w:val="74AC7227"/>
    <w:rsid w:val="74AE06FF"/>
    <w:rsid w:val="74AE7F7A"/>
    <w:rsid w:val="74BB4EE4"/>
    <w:rsid w:val="74C652C4"/>
    <w:rsid w:val="74CB0B2C"/>
    <w:rsid w:val="751029E3"/>
    <w:rsid w:val="754206C3"/>
    <w:rsid w:val="75510B3F"/>
    <w:rsid w:val="75774810"/>
    <w:rsid w:val="75A849CA"/>
    <w:rsid w:val="75DC28C5"/>
    <w:rsid w:val="75E579CC"/>
    <w:rsid w:val="75F96FD3"/>
    <w:rsid w:val="762B73A9"/>
    <w:rsid w:val="764B0E32"/>
    <w:rsid w:val="765B3F2D"/>
    <w:rsid w:val="768A0573"/>
    <w:rsid w:val="76D4359C"/>
    <w:rsid w:val="76DB0DCF"/>
    <w:rsid w:val="772B7660"/>
    <w:rsid w:val="7737458B"/>
    <w:rsid w:val="773F4EBA"/>
    <w:rsid w:val="774921DC"/>
    <w:rsid w:val="775A7F45"/>
    <w:rsid w:val="77756B2D"/>
    <w:rsid w:val="777C4360"/>
    <w:rsid w:val="77951598"/>
    <w:rsid w:val="782C1CAF"/>
    <w:rsid w:val="785A0460"/>
    <w:rsid w:val="786A41B8"/>
    <w:rsid w:val="78811502"/>
    <w:rsid w:val="788D60F9"/>
    <w:rsid w:val="78947487"/>
    <w:rsid w:val="789E20B4"/>
    <w:rsid w:val="78A53442"/>
    <w:rsid w:val="78AF606F"/>
    <w:rsid w:val="791954AD"/>
    <w:rsid w:val="795A422D"/>
    <w:rsid w:val="796208D7"/>
    <w:rsid w:val="799534B7"/>
    <w:rsid w:val="7A083C89"/>
    <w:rsid w:val="7A603AC5"/>
    <w:rsid w:val="7A707A80"/>
    <w:rsid w:val="7A7632E8"/>
    <w:rsid w:val="7A7C6425"/>
    <w:rsid w:val="7AC5601E"/>
    <w:rsid w:val="7ACD6C80"/>
    <w:rsid w:val="7AE12ED0"/>
    <w:rsid w:val="7AE35816"/>
    <w:rsid w:val="7AF95CC7"/>
    <w:rsid w:val="7B02692A"/>
    <w:rsid w:val="7B14665D"/>
    <w:rsid w:val="7B784E3E"/>
    <w:rsid w:val="7B947DA7"/>
    <w:rsid w:val="7BA45C33"/>
    <w:rsid w:val="7BA67BFD"/>
    <w:rsid w:val="7BC260B9"/>
    <w:rsid w:val="7BE2675B"/>
    <w:rsid w:val="7BEE19FB"/>
    <w:rsid w:val="7BFC781D"/>
    <w:rsid w:val="7C036DFE"/>
    <w:rsid w:val="7C1E59E5"/>
    <w:rsid w:val="7C3C47A7"/>
    <w:rsid w:val="7C6B49A3"/>
    <w:rsid w:val="7C8917B4"/>
    <w:rsid w:val="7CAA7279"/>
    <w:rsid w:val="7CE87DA1"/>
    <w:rsid w:val="7CEB62C4"/>
    <w:rsid w:val="7CF14EA8"/>
    <w:rsid w:val="7CFE75C5"/>
    <w:rsid w:val="7D284642"/>
    <w:rsid w:val="7D5A0C9F"/>
    <w:rsid w:val="7D755AD9"/>
    <w:rsid w:val="7DB61C4E"/>
    <w:rsid w:val="7DE93DD1"/>
    <w:rsid w:val="7E123328"/>
    <w:rsid w:val="7E235535"/>
    <w:rsid w:val="7E673BD9"/>
    <w:rsid w:val="7E991353"/>
    <w:rsid w:val="7E9C52E7"/>
    <w:rsid w:val="7ECB797B"/>
    <w:rsid w:val="7EEA2523"/>
    <w:rsid w:val="7F156D37"/>
    <w:rsid w:val="7F4734A5"/>
    <w:rsid w:val="7FCF08A9"/>
    <w:rsid w:val="7FDC2CAD"/>
    <w:rsid w:val="7FF440B5"/>
    <w:rsid w:val="7FFB60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3">
    <w:name w:val="heading 2"/>
    <w:basedOn w:val="1"/>
    <w:next w:val="1"/>
    <w:qFormat/>
    <w:uiPriority w:val="0"/>
    <w:pPr>
      <w:keepNext/>
      <w:keepLines/>
      <w:spacing w:line="560" w:lineRule="exact"/>
      <w:ind w:firstLine="640"/>
      <w:outlineLvl w:val="1"/>
    </w:pPr>
    <w:rPr>
      <w:rFonts w:eastAsia="黑体"/>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unhideWhenUsed/>
    <w:qFormat/>
    <w:uiPriority w:val="99"/>
    <w:pPr>
      <w:spacing w:before="120"/>
    </w:pPr>
    <w:rPr>
      <w:rFonts w:ascii="Cambria" w:hAnsi="Cambria" w:cs="Times New Roman"/>
      <w:sz w:val="24"/>
      <w:szCs w:val="24"/>
    </w:rPr>
  </w:style>
  <w:style w:type="paragraph" w:styleId="6">
    <w:name w:val="Body Text"/>
    <w:basedOn w:val="1"/>
    <w:qFormat/>
    <w:uiPriority w:val="0"/>
    <w:rPr>
      <w:rFonts w:ascii="Calibri" w:hAnsi="Calibri" w:eastAsia="宋体" w:cs="Times New Roman"/>
    </w:rPr>
  </w:style>
  <w:style w:type="paragraph" w:styleId="7">
    <w:name w:val="Body Text Indent"/>
    <w:basedOn w:val="1"/>
    <w:unhideWhenUsed/>
    <w:qFormat/>
    <w:uiPriority w:val="0"/>
    <w:pPr>
      <w:ind w:firstLine="640" w:firstLineChars="200"/>
    </w:pPr>
    <w:rPr>
      <w:rFonts w:ascii="仿宋_GB2312" w:hAnsi="Times New Roman" w:eastAsia="仿宋_GB2312"/>
      <w:sz w:val="32"/>
      <w:szCs w:val="24"/>
    </w:rPr>
  </w:style>
  <w:style w:type="paragraph" w:styleId="8">
    <w:name w:val="toc 5"/>
    <w:basedOn w:val="1"/>
    <w:next w:val="1"/>
    <w:qFormat/>
    <w:uiPriority w:val="0"/>
    <w:pPr>
      <w:ind w:left="800" w:leftChars="800"/>
    </w:pPr>
    <w:rPr>
      <w:rFonts w:ascii="Times New Roman" w:hAnsi="Times New Roman"/>
    </w:rPr>
  </w:style>
  <w:style w:type="paragraph" w:styleId="9">
    <w:name w:val="Plain Text"/>
    <w:basedOn w:val="1"/>
    <w:qFormat/>
    <w:uiPriority w:val="99"/>
    <w:rPr>
      <w:rFonts w:ascii="宋体" w:hAnsi="Courier New" w:cs="宋体"/>
      <w:kern w:val="0"/>
      <w:sz w:val="20"/>
      <w:szCs w:val="21"/>
    </w:rPr>
  </w:style>
  <w:style w:type="paragraph" w:styleId="10">
    <w:name w:val="Date"/>
    <w:basedOn w:val="1"/>
    <w:next w:val="1"/>
    <w:link w:val="26"/>
    <w:qFormat/>
    <w:uiPriority w:val="0"/>
    <w:pPr>
      <w:ind w:left="100" w:leftChars="2500"/>
    </w:pPr>
  </w:style>
  <w:style w:type="paragraph" w:styleId="11">
    <w:name w:val="footer"/>
    <w:basedOn w:val="1"/>
    <w:next w:val="1"/>
    <w:link w:val="27"/>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link w:val="25"/>
    <w:qFormat/>
    <w:uiPriority w:val="0"/>
    <w:pPr>
      <w:adjustRightInd w:val="0"/>
      <w:spacing w:before="240" w:after="60" w:line="312" w:lineRule="atLeast"/>
      <w:jc w:val="center"/>
      <w:textAlignment w:val="baseline"/>
    </w:pPr>
    <w:rPr>
      <w:rFonts w:ascii="Arial" w:hAnsi="Arial"/>
      <w:b/>
      <w:kern w:val="28"/>
      <w:sz w:val="32"/>
      <w:szCs w:val="20"/>
    </w:rPr>
  </w:style>
  <w:style w:type="paragraph" w:styleId="16">
    <w:name w:val="Body Text First Indent"/>
    <w:basedOn w:val="6"/>
    <w:qFormat/>
    <w:uiPriority w:val="0"/>
    <w:pPr>
      <w:snapToGrid/>
      <w:spacing w:line="520" w:lineRule="exact"/>
      <w:ind w:firstLine="0" w:firstLineChars="0"/>
      <w:jc w:val="center"/>
    </w:pPr>
    <w:rPr>
      <w:rFonts w:ascii="Times New Roman" w:hAnsi="Times New Roman"/>
      <w:sz w:val="24"/>
      <w:szCs w:val="20"/>
    </w:rPr>
  </w:style>
  <w:style w:type="paragraph" w:styleId="17">
    <w:name w:val="Body Text First Indent 2"/>
    <w:basedOn w:val="7"/>
    <w:unhideWhenUsed/>
    <w:qFormat/>
    <w:uiPriority w:val="99"/>
    <w:pPr>
      <w:spacing w:after="120"/>
      <w:ind w:firstLine="420" w:firstLineChars="200"/>
      <w:jc w:val="both"/>
    </w:pPr>
    <w:rPr>
      <w:rFonts w:eastAsia="宋体"/>
      <w:kern w:val="2"/>
      <w:sz w:val="21"/>
      <w:szCs w:val="21"/>
      <w:lang w:eastAsia="zh-CN"/>
    </w:rPr>
  </w:style>
  <w:style w:type="table" w:styleId="19">
    <w:name w:val="Table Grid"/>
    <w:basedOn w:val="18"/>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page number"/>
    <w:basedOn w:val="20"/>
    <w:qFormat/>
    <w:uiPriority w:val="0"/>
  </w:style>
  <w:style w:type="character" w:customStyle="1" w:styleId="23">
    <w:name w:val="公文文种"/>
    <w:basedOn w:val="20"/>
    <w:qFormat/>
    <w:uiPriority w:val="0"/>
    <w:rPr>
      <w:rFonts w:eastAsia="宋体"/>
      <w:sz w:val="32"/>
    </w:rPr>
  </w:style>
  <w:style w:type="character" w:customStyle="1" w:styleId="24">
    <w:name w:val="公文文号"/>
    <w:basedOn w:val="20"/>
    <w:qFormat/>
    <w:uiPriority w:val="0"/>
    <w:rPr>
      <w:rFonts w:eastAsia="仿宋_GB2312"/>
      <w:sz w:val="32"/>
    </w:rPr>
  </w:style>
  <w:style w:type="character" w:customStyle="1" w:styleId="25">
    <w:name w:val="标题 Char"/>
    <w:basedOn w:val="20"/>
    <w:link w:val="15"/>
    <w:qFormat/>
    <w:uiPriority w:val="0"/>
    <w:rPr>
      <w:rFonts w:ascii="Arial" w:hAnsi="Arial"/>
      <w:b/>
      <w:kern w:val="28"/>
      <w:sz w:val="32"/>
    </w:rPr>
  </w:style>
  <w:style w:type="character" w:customStyle="1" w:styleId="26">
    <w:name w:val="日期 Char"/>
    <w:basedOn w:val="20"/>
    <w:link w:val="10"/>
    <w:qFormat/>
    <w:uiPriority w:val="0"/>
    <w:rPr>
      <w:rFonts w:ascii="Calibri" w:hAnsi="Calibri"/>
      <w:kern w:val="2"/>
      <w:sz w:val="21"/>
      <w:szCs w:val="22"/>
    </w:rPr>
  </w:style>
  <w:style w:type="character" w:customStyle="1" w:styleId="27">
    <w:name w:val="页脚 Char"/>
    <w:basedOn w:val="20"/>
    <w:link w:val="11"/>
    <w:qFormat/>
    <w:uiPriority w:val="99"/>
    <w:rPr>
      <w:rFonts w:ascii="Calibri" w:hAnsi="Calibri"/>
      <w:kern w:val="2"/>
      <w:sz w:val="18"/>
      <w:szCs w:val="18"/>
    </w:rPr>
  </w:style>
  <w:style w:type="paragraph" w:customStyle="1" w:styleId="28">
    <w:name w:val="p0"/>
    <w:basedOn w:val="1"/>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9">
    <w:name w:val="样式2"/>
    <w:basedOn w:val="1"/>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30">
    <w:name w:val="apple-style-span"/>
    <w:qFormat/>
    <w:uiPriority w:val="99"/>
  </w:style>
  <w:style w:type="paragraph" w:customStyle="1" w:styleId="31">
    <w:name w:val="列出段落1"/>
    <w:basedOn w:val="1"/>
    <w:qFormat/>
    <w:uiPriority w:val="34"/>
    <w:pPr>
      <w:ind w:firstLine="420" w:firstLineChars="200"/>
    </w:pPr>
    <w:rPr>
      <w:rFonts w:asciiTheme="minorHAnsi" w:hAnsiTheme="minorHAnsi" w:eastAsiaTheme="minorEastAsia" w:cstheme="minorBidi"/>
    </w:rPr>
  </w:style>
  <w:style w:type="character" w:customStyle="1" w:styleId="32">
    <w:name w:val="公文正文"/>
    <w:qFormat/>
    <w:uiPriority w:val="0"/>
    <w:rPr>
      <w:rFonts w:hint="eastAsia" w:ascii="仿宋_GB2312" w:eastAsia="仿宋_GB2312"/>
      <w:sz w:val="32"/>
    </w:rPr>
  </w:style>
  <w:style w:type="paragraph" w:styleId="33">
    <w:name w:val="List Paragraph"/>
    <w:basedOn w:val="1"/>
    <w:qFormat/>
    <w:uiPriority w:val="34"/>
    <w:pPr>
      <w:ind w:firstLine="420" w:firstLineChars="200"/>
    </w:pPr>
    <w:rPr>
      <w:rFonts w:asciiTheme="minorHAnsi" w:hAnsiTheme="minorHAnsi" w:eastAsiaTheme="minorEastAsia" w:cstheme="minorBidi"/>
    </w:rPr>
  </w:style>
  <w:style w:type="paragraph" w:customStyle="1" w:styleId="34">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5">
    <w:name w:val="无间隔1"/>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 w:type="paragraph" w:customStyle="1" w:styleId="36">
    <w:name w:val="Table Text"/>
    <w:basedOn w:val="1"/>
    <w:semiHidden/>
    <w:qFormat/>
    <w:uiPriority w:val="0"/>
    <w:rPr>
      <w:rFonts w:ascii="宋体" w:hAnsi="宋体" w:eastAsia="宋体" w:cs="宋体"/>
      <w:sz w:val="18"/>
      <w:szCs w:val="18"/>
      <w:lang w:val="en-US" w:eastAsia="en-US" w:bidi="ar-SA"/>
    </w:rPr>
  </w:style>
  <w:style w:type="table" w:customStyle="1" w:styleId="3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D357-B6EF-4E04-995F-5AD6D1391CBC}">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13</Pages>
  <Words>5435</Words>
  <Characters>5562</Characters>
  <Lines>1</Lines>
  <Paragraphs>1</Paragraphs>
  <TotalTime>0</TotalTime>
  <ScaleCrop>false</ScaleCrop>
  <LinksUpToDate>false</LinksUpToDate>
  <CharactersWithSpaces>5887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是橙子啊</cp:lastModifiedBy>
  <cp:lastPrinted>2024-04-08T03:39:00Z</cp:lastPrinted>
  <dcterms:modified xsi:type="dcterms:W3CDTF">2024-08-09T01:51:48Z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B2B112F635D54DB0A6D102DB08F08E2A_13</vt:lpwstr>
  </property>
</Properties>
</file>