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4</w:t>
      </w:r>
      <w:bookmarkStart w:id="0" w:name="_GoBack"/>
      <w:bookmarkEnd w:id="0"/>
      <w:r>
        <w:rPr>
          <w:rFonts w:hint="eastAsia" w:ascii="仿宋_GB2312" w:hAnsi="仿宋_GB2312" w:eastAsia="仿宋_GB2312" w:cs="仿宋_GB2312"/>
          <w:color w:val="auto"/>
          <w:sz w:val="32"/>
          <w:szCs w:val="32"/>
          <w:lang w:val="en-US"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昆明市</w:t>
      </w:r>
      <w:r>
        <w:rPr>
          <w:rFonts w:hint="eastAsia" w:ascii="方正小标宋简体" w:hAnsi="方正小标宋简体" w:eastAsia="方正小标宋简体" w:cs="方正小标宋简体"/>
          <w:color w:val="auto"/>
          <w:sz w:val="44"/>
          <w:szCs w:val="44"/>
          <w:lang w:eastAsia="zh-CN"/>
        </w:rPr>
        <w:t>五华区</w:t>
      </w:r>
      <w:r>
        <w:rPr>
          <w:rFonts w:hint="eastAsia" w:ascii="方正小标宋简体" w:hAnsi="方正小标宋简体" w:eastAsia="方正小标宋简体" w:cs="方正小标宋简体"/>
          <w:color w:val="auto"/>
          <w:sz w:val="44"/>
          <w:szCs w:val="44"/>
          <w:lang w:val="en-US" w:eastAsia="zh-CN"/>
        </w:rPr>
        <w:t>人民政府大观街道</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办事处</w:t>
      </w:r>
      <w:r>
        <w:rPr>
          <w:rFonts w:hint="eastAsia" w:ascii="方正小标宋简体" w:hAnsi="方正小标宋简体" w:eastAsia="方正小标宋简体" w:cs="方正小标宋简体"/>
          <w:color w:val="auto"/>
          <w:sz w:val="44"/>
          <w:szCs w:val="44"/>
        </w:rPr>
        <w:t>党建引领基层社会治理补助</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经费项目支出绩效评价报告</w:t>
      </w:r>
    </w:p>
    <w:p>
      <w:pPr>
        <w:pStyle w:val="7"/>
        <w:rPr>
          <w:rFonts w:hint="eastAsia"/>
        </w:rPr>
      </w:pP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（一）项目概况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全面贯彻新时代党的组织路线，全面提升街道党建工作水平。聚焦理论学习，提高政治站位。深入推进城市基层党建示范引领行动，建强基层党组织战斗堡垒，以党建为统领建设以各级党校、新时代文明实践中心（所、站）、红色教育基地、党群活动服务中心、党员活动室、社区为民服务中心（站、点）、实训基地等为主的阵地群。</w:t>
      </w:r>
    </w:p>
    <w:p>
      <w:pPr>
        <w:pStyle w:val="7"/>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项目资金使用情况：项目年初预算资金为86万元，</w:t>
      </w:r>
      <w:r>
        <w:rPr>
          <w:rFonts w:hint="eastAsia" w:ascii="仿宋_GB2312" w:eastAsia="仿宋_GB2312" w:hAnsiTheme="minorHAnsi" w:cstheme="minorBidi"/>
          <w:kern w:val="0"/>
          <w:sz w:val="32"/>
          <w:szCs w:val="32"/>
          <w:lang w:val="en-US" w:eastAsia="zh-CN"/>
        </w:rPr>
        <w:t>项目实际使用资金</w:t>
      </w:r>
      <w:r>
        <w:rPr>
          <w:rFonts w:hint="eastAsia" w:ascii="仿宋_GB2312" w:eastAsia="仿宋_GB2312" w:cstheme="minorBidi"/>
          <w:kern w:val="0"/>
          <w:sz w:val="32"/>
          <w:szCs w:val="32"/>
          <w:lang w:val="en-US" w:eastAsia="zh-CN"/>
        </w:rPr>
        <w:t>6</w:t>
      </w:r>
      <w:r>
        <w:rPr>
          <w:rFonts w:hint="eastAsia" w:ascii="仿宋_GB2312" w:eastAsia="仿宋_GB2312" w:hAnsiTheme="minorHAnsi" w:cstheme="minorBidi"/>
          <w:kern w:val="0"/>
          <w:sz w:val="32"/>
          <w:szCs w:val="32"/>
          <w:lang w:val="en-US" w:eastAsia="zh-CN"/>
        </w:rPr>
        <w:t>万元，执行率为</w:t>
      </w:r>
      <w:r>
        <w:rPr>
          <w:rFonts w:hint="eastAsia" w:ascii="仿宋_GB2312" w:eastAsia="仿宋_GB2312" w:cstheme="minorBidi"/>
          <w:kern w:val="0"/>
          <w:sz w:val="32"/>
          <w:szCs w:val="32"/>
          <w:lang w:val="en-US" w:eastAsia="zh-CN"/>
        </w:rPr>
        <w:t>6.98</w:t>
      </w:r>
      <w:r>
        <w:rPr>
          <w:rFonts w:hint="eastAsia" w:ascii="仿宋_GB2312" w:eastAsia="仿宋_GB2312" w:hAnsiTheme="minorHAnsi" w:cstheme="minorBidi"/>
          <w:kern w:val="0"/>
          <w:sz w:val="32"/>
          <w:szCs w:val="32"/>
          <w:lang w:val="en-US" w:eastAsia="zh-CN"/>
        </w:rPr>
        <w:t>%，</w:t>
      </w:r>
      <w:r>
        <w:rPr>
          <w:rFonts w:hint="eastAsia" w:ascii="仿宋_GB2312" w:eastAsia="仿宋_GB2312" w:cstheme="minorBidi"/>
          <w:kern w:val="0"/>
          <w:sz w:val="32"/>
          <w:szCs w:val="32"/>
          <w:lang w:val="en-US" w:eastAsia="zh-CN"/>
        </w:rPr>
        <w:t>支出进度较低的原因为</w:t>
      </w:r>
      <w:r>
        <w:rPr>
          <w:rFonts w:hint="eastAsia" w:ascii="仿宋_GB2312" w:eastAsia="仿宋_GB2312" w:hAnsiTheme="minorHAnsi" w:cstheme="minorBidi"/>
          <w:kern w:val="0"/>
          <w:sz w:val="32"/>
          <w:szCs w:val="32"/>
          <w:lang w:val="en-US" w:eastAsia="zh-CN"/>
        </w:rPr>
        <w:t>疫情期间，经济受影响，压缩经费支出</w:t>
      </w:r>
      <w:r>
        <w:rPr>
          <w:rFonts w:hint="eastAsia" w:ascii="仿宋_GB2312" w:eastAsia="仿宋_GB2312" w:cstheme="minorBidi"/>
          <w:kern w:val="0"/>
          <w:sz w:val="32"/>
          <w:szCs w:val="32"/>
          <w:lang w:val="en-US" w:eastAsia="zh-CN"/>
        </w:rPr>
        <w:t>，但工作已全部开展。</w:t>
      </w:r>
      <w:r>
        <w:rPr>
          <w:rFonts w:hint="eastAsia" w:ascii="仿宋_GB2312" w:hAnsi="仿宋_GB2312" w:eastAsia="仿宋_GB2312" w:cs="仿宋_GB2312"/>
          <w:color w:val="auto"/>
          <w:sz w:val="32"/>
          <w:szCs w:val="32"/>
          <w:lang w:val="en-US" w:eastAsia="zh-CN"/>
        </w:rPr>
        <w:t>资金主要用于党建工作媒体宣传合作费。</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项目绩效目标</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党建引领基层社会治理及经济社会发展项目，一是以“一流党建促经济发展”为目标，构建“一心两带三圈”区域经济发展格局，成立大观街道经济发展服务中心，建设以“金融产业赋能高速发展”为目标的东风西路经济发展服务带、以“推动绿色产业集群发展”为目标的新闻路经济发展服务带，打造以“商贸经济、市井文化和绿色食品”为主的顺城、大观商业城、篆新3个商圈党群服务中心，全力提升辖区营商环境；二是从加强基层党建引领多元主体，引入社会组织、整合党建联盟资源力量、引导居民自治入手，提升协同治理能力，激发内生动能等方面入手，通过老旧小区微改造、建好居民议事协商平台等有效激发基层社会治理内生动能，不断提升居民群众的幸福感、获得感、安全感，开展居民议事协商会50次以上，举办居民活动100场以上，召开“党建联盟”联席会议4次，慰问困难党员200人次，开展书记领航项目至少1个，申报创建先锋社区4个。2.发挥辖区党群服务中心相关职能和功能，完成不少于100场为民服务活动，开展不少于1000人次的党群教育服务，对接不少于10家辖区内单位党组织加入街道党建联盟共同开展党员教育服务，将社会组织、企业、公共户单位、兴趣社区服务内容融入中心，让社会组织参与和承接公共服务，形成社会力量参与社会治理工作格局，有效延伸政府服务范围，切实提高城市基层党建的整体效应，街道、社区各党群服务中心开展主题教育、党课、心理咨询、法律咨询、读书会、演讲俱乐部等活动600余次，开展大观街道万名党员进党校2期，共覆盖2000名党员。3.“鹤发悦”离退休干部服务项目，激发离退休干部党组织生机活力，通过开展活动，使离退休老干部老有所为，老有所乐，对72人离退休老干部进行8次节日慰问，慰问标准300元/人，至少开展12次活动。4.与媒体合作进行宣传，扩大大观街道办事处新闻宣传的辐射面、影响力，营造良好的社会舆论环境,中央、省、市、区各级媒体宣传报道200余次。5.“两新”党组织项目，推进“两新”组织党组织规范化建设，充分发挥党组织的战斗堡垒作用和党员的先锋模范作用，提升“两新”组织党建工作水平，做好党建示范点打造，新建党支部2个，覆盖36家非公企业，深入推进居民区党建与物业“双覆盖”工作，争创示范党支部至少2个。6.新时代文明实践站所运营项目，拟通过购买服务形式与社会组织签订运营服务合同，定期开展文明实践活动，不少于200次。</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）项目组织管理情况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具体职责分工及领导小组职能职责：</w:t>
      </w:r>
    </w:p>
    <w:p>
      <w:pPr>
        <w:ind w:firstLine="640" w:firstLineChars="200"/>
        <w:jc w:val="left"/>
        <w:rPr>
          <w:rFonts w:ascii="仿宋_GB2312" w:eastAsia="仿宋_GB2312"/>
          <w:sz w:val="32"/>
          <w:szCs w:val="32"/>
        </w:rPr>
      </w:pPr>
      <w:r>
        <w:rPr>
          <w:rFonts w:hint="eastAsia" w:ascii="仿宋_GB2312" w:eastAsia="仿宋_GB2312"/>
          <w:sz w:val="32"/>
          <w:szCs w:val="32"/>
        </w:rPr>
        <w:t>组    长：</w:t>
      </w:r>
      <w:r>
        <w:rPr>
          <w:rFonts w:hint="eastAsia" w:ascii="仿宋_GB2312" w:eastAsia="仿宋_GB2312"/>
          <w:sz w:val="32"/>
          <w:szCs w:val="32"/>
          <w:lang w:val="en-US" w:eastAsia="zh-CN"/>
        </w:rPr>
        <w:t>丁明波</w:t>
      </w:r>
      <w:r>
        <w:rPr>
          <w:rFonts w:hint="eastAsia" w:ascii="仿宋_GB2312" w:eastAsia="仿宋_GB2312"/>
          <w:sz w:val="32"/>
          <w:szCs w:val="32"/>
        </w:rPr>
        <w:t>（全面统筹、管理、协调工作）。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实施部门：</w:t>
      </w:r>
      <w:r>
        <w:rPr>
          <w:rFonts w:hint="eastAsia" w:ascii="仿宋_GB2312" w:eastAsia="仿宋_GB2312"/>
          <w:sz w:val="32"/>
          <w:szCs w:val="32"/>
          <w:lang w:val="en-US" w:eastAsia="zh-CN"/>
        </w:rPr>
        <w:t>基层党建办公室</w:t>
      </w:r>
      <w:r>
        <w:rPr>
          <w:rFonts w:hint="eastAsia" w:ascii="仿宋_GB2312" w:eastAsia="仿宋_GB2312"/>
          <w:sz w:val="32"/>
          <w:szCs w:val="32"/>
        </w:rPr>
        <w:t>（负责召集、建章立制、具体进度监控、检查、调整及</w:t>
      </w:r>
      <w:r>
        <w:rPr>
          <w:rFonts w:hint="eastAsia" w:ascii="仿宋_GB2312" w:eastAsia="仿宋_GB2312"/>
          <w:sz w:val="32"/>
          <w:szCs w:val="32"/>
          <w:lang w:val="en-US" w:eastAsia="zh-CN"/>
        </w:rPr>
        <w:t>整改</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成    员：</w:t>
      </w:r>
      <w:r>
        <w:rPr>
          <w:rFonts w:hint="eastAsia" w:ascii="仿宋_GB2312" w:eastAsia="仿宋_GB2312"/>
          <w:sz w:val="32"/>
          <w:szCs w:val="32"/>
          <w:lang w:val="en-US" w:eastAsia="zh-CN"/>
        </w:rPr>
        <w:t>沈婉燕</w:t>
      </w:r>
      <w:r>
        <w:rPr>
          <w:rFonts w:hint="eastAsia" w:ascii="仿宋_GB2312" w:eastAsia="仿宋_GB2312"/>
          <w:sz w:val="32"/>
          <w:szCs w:val="32"/>
        </w:rPr>
        <w:t>、</w:t>
      </w:r>
      <w:r>
        <w:rPr>
          <w:rFonts w:hint="eastAsia" w:ascii="仿宋_GB2312" w:eastAsia="仿宋_GB2312"/>
          <w:sz w:val="32"/>
          <w:szCs w:val="32"/>
          <w:lang w:val="en-US" w:eastAsia="zh-CN"/>
        </w:rPr>
        <w:t>周宇</w:t>
      </w:r>
      <w:r>
        <w:rPr>
          <w:rFonts w:hint="eastAsia" w:ascii="仿宋_GB2312" w:eastAsia="仿宋_GB2312"/>
          <w:sz w:val="32"/>
          <w:szCs w:val="32"/>
        </w:rPr>
        <w:t>、李妤珺</w:t>
      </w:r>
      <w:r>
        <w:rPr>
          <w:rFonts w:hint="eastAsia" w:ascii="仿宋_GB2312" w:eastAsia="仿宋_GB2312"/>
          <w:sz w:val="32"/>
          <w:szCs w:val="32"/>
          <w:lang w:eastAsia="zh-CN"/>
        </w:rPr>
        <w:t>、</w:t>
      </w:r>
      <w:r>
        <w:rPr>
          <w:rFonts w:hint="eastAsia" w:ascii="仿宋_GB2312" w:eastAsia="仿宋_GB2312"/>
          <w:sz w:val="32"/>
          <w:szCs w:val="32"/>
          <w:lang w:val="en-US" w:eastAsia="zh-CN"/>
        </w:rPr>
        <w:t>李冉</w:t>
      </w:r>
      <w:r>
        <w:rPr>
          <w:rFonts w:hint="eastAsia" w:ascii="仿宋_GB2312" w:eastAsia="仿宋_GB2312"/>
          <w:sz w:val="32"/>
          <w:szCs w:val="32"/>
        </w:rPr>
        <w:t>、</w:t>
      </w:r>
      <w:r>
        <w:rPr>
          <w:rFonts w:hint="eastAsia" w:ascii="仿宋_GB2312" w:eastAsia="仿宋_GB2312"/>
          <w:sz w:val="32"/>
          <w:szCs w:val="32"/>
          <w:lang w:val="en-US" w:eastAsia="zh-CN"/>
        </w:rPr>
        <w:t>骆思琪</w:t>
      </w:r>
      <w:r>
        <w:rPr>
          <w:rFonts w:hint="eastAsia" w:ascii="仿宋_GB2312" w:eastAsia="仿宋_GB2312"/>
          <w:sz w:val="32"/>
          <w:szCs w:val="32"/>
        </w:rPr>
        <w:t>、</w:t>
      </w:r>
      <w:r>
        <w:rPr>
          <w:rFonts w:hint="eastAsia" w:ascii="仿宋_GB2312" w:eastAsia="仿宋_GB2312"/>
          <w:sz w:val="32"/>
          <w:szCs w:val="32"/>
          <w:lang w:val="en-US" w:eastAsia="zh-CN"/>
        </w:rPr>
        <w:t>吴佳曦</w:t>
      </w:r>
      <w:r>
        <w:rPr>
          <w:rFonts w:hint="eastAsia" w:ascii="仿宋_GB2312" w:eastAsia="仿宋_GB2312"/>
          <w:sz w:val="32"/>
          <w:szCs w:val="32"/>
        </w:rPr>
        <w:t>（根据岗位分工、负责完成项目相关具体工作）。</w:t>
      </w:r>
    </w:p>
    <w:p>
      <w:pPr>
        <w:pStyle w:val="7"/>
        <w:ind w:firstLine="640" w:firstLineChars="200"/>
        <w:rPr>
          <w:rFonts w:hint="default"/>
          <w:lang w:val="en-US"/>
        </w:rPr>
      </w:pPr>
      <w:r>
        <w:rPr>
          <w:rFonts w:hint="eastAsia" w:ascii="仿宋_GB2312" w:hAnsi="仿宋_GB2312" w:eastAsia="仿宋_GB2312" w:cs="仿宋_GB2312"/>
          <w:sz w:val="32"/>
          <w:szCs w:val="32"/>
          <w:lang w:val="en-US" w:eastAsia="zh-CN"/>
        </w:rPr>
        <w:t>项目依据以下方案制度实施：《昆明市五华区人民政府大观街道办事处党建引领基层社会治理项目经费实施方案》、《关于区委主要领导调研“书记领航”项目推进基层党建工作的方案》、《昆明市深化拓展新时代文明实践中心建设的实施意见》、《大观街道离退休干部服务“鹤发悦”项目五期方案书》、《三合营社区“城市基层党建引领区”示范点创建提升的工作方案》、《大观街道“金领党群服务中心”提升打造方案》、《大观街道金融业党建联盟党群服务中心工作方案》、五华区进一步发挥党建引领作用常态长效助力两新组织健康发展重点任务清单、“党建+金融”推动金融力量赋能经济社会发展项目书等。</w:t>
      </w:r>
    </w:p>
    <w:p>
      <w:pPr>
        <w:spacing w:line="560" w:lineRule="exact"/>
        <w:ind w:firstLine="640" w:firstLineChars="200"/>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项目依据以下方案制度进行管理及开支：</w:t>
      </w:r>
      <w:r>
        <w:rPr>
          <w:rFonts w:hint="eastAsia" w:ascii="仿宋_GB2312" w:eastAsia="仿宋_GB2312"/>
          <w:sz w:val="32"/>
          <w:szCs w:val="32"/>
          <w:lang w:eastAsia="zh-CN"/>
        </w:rPr>
        <w:t>《五华区大观街道办事处财务管理制度》（大党〔2021〕70号）、</w:t>
      </w:r>
      <w:r>
        <w:rPr>
          <w:rFonts w:hint="eastAsia" w:ascii="仿宋_GB2312" w:hAnsi="仿宋_GB2312" w:eastAsia="仿宋_GB2312" w:cs="仿宋_GB2312"/>
          <w:sz w:val="32"/>
          <w:szCs w:val="32"/>
          <w:lang w:val="en-US" w:eastAsia="zh-CN"/>
        </w:rPr>
        <w:t>《五华区人民政府大观街道办事处政府采购管理办法及实施细则》、《昆明市五华区人民政府大观街道办事处国有资产管理暂行办法》、《大观街道公务经费管理实施办法》、《大观街道合同管理制度》、《预算绩效管理方案》、《预决算管理制度》</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组织实施</w:t>
      </w:r>
      <w:r>
        <w:rPr>
          <w:rFonts w:hint="eastAsia" w:ascii="仿宋_GB2312" w:eastAsia="仿宋_GB2312"/>
          <w:sz w:val="32"/>
          <w:szCs w:val="32"/>
        </w:rPr>
        <w:t>：1、年初下达部门预算项目支出预算通知，细化分解绩效目标到</w:t>
      </w:r>
      <w:r>
        <w:rPr>
          <w:rFonts w:hint="eastAsia" w:ascii="仿宋_GB2312" w:eastAsia="仿宋_GB2312"/>
          <w:sz w:val="32"/>
          <w:szCs w:val="32"/>
          <w:lang w:val="en-US" w:eastAsia="zh-CN"/>
        </w:rPr>
        <w:t>项目实施</w:t>
      </w:r>
      <w:r>
        <w:rPr>
          <w:rFonts w:hint="eastAsia" w:ascii="仿宋_GB2312" w:eastAsia="仿宋_GB2312"/>
          <w:sz w:val="32"/>
          <w:szCs w:val="32"/>
        </w:rPr>
        <w:t>科室，明确项目分管领导、责任人和实施项目的科室和人员。2、制定《预算经费申报表》和《资金使用进度核对表》，按季度申报经费，按进度实施项目，季度末由财务及时反馈信息到科室和项目负责人。</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（一）绩效评价目的、对象和范围</w:t>
      </w:r>
    </w:p>
    <w:p>
      <w:pPr>
        <w:keepNext w:val="0"/>
        <w:keepLines w:val="0"/>
        <w:pageBreakBefore w:val="0"/>
        <w:kinsoku/>
        <w:wordWrap/>
        <w:overflowPunct/>
        <w:topLinePunct/>
        <w:autoSpaceDE/>
        <w:autoSpaceDN/>
        <w:bidi w:val="0"/>
        <w:spacing w:line="560" w:lineRule="exact"/>
        <w:ind w:firstLine="640" w:firstLineChars="200"/>
        <w:textAlignment w:val="auto"/>
        <w:rPr>
          <w:rFonts w:hint="eastAsia" w:eastAsia="仿宋_GB2312"/>
          <w:lang w:val="en-US" w:eastAsia="zh-CN"/>
        </w:rPr>
      </w:pPr>
      <w:r>
        <w:rPr>
          <w:rFonts w:hint="eastAsia" w:ascii="仿宋_GB2312" w:hAnsi="仿宋_GB2312" w:eastAsia="仿宋_GB2312" w:cs="仿宋_GB2312"/>
          <w:sz w:val="32"/>
          <w:szCs w:val="32"/>
          <w:lang w:val="en-US" w:eastAsia="zh-CN"/>
        </w:rPr>
        <w:t>党建工作作为办事处基础性及重点性工作，社会关注度高，具有明显的社会效益、生态效益。此次评价选取街道重点工作且社会关注度高的党建引领基层社会治理补助经费项目进行评价。</w:t>
      </w:r>
      <w:r>
        <w:rPr>
          <w:rFonts w:hint="eastAsia" w:ascii="仿宋_GB2312" w:hAnsi="仿宋_GB2312" w:eastAsia="仿宋_GB2312" w:cs="仿宋_GB2312"/>
          <w:sz w:val="32"/>
          <w:szCs w:val="32"/>
        </w:rPr>
        <w:t>通过从资金投入使用情况， 项目实施管理情况、项目产出、项目效果效益等方面评价，了解资金</w:t>
      </w:r>
      <w:r>
        <w:rPr>
          <w:rFonts w:hint="eastAsia" w:ascii="仿宋_GB2312" w:hAnsi="仿宋_GB2312" w:eastAsia="仿宋_GB2312" w:cs="仿宋_GB2312"/>
          <w:sz w:val="32"/>
          <w:szCs w:val="32"/>
          <w:lang w:val="en-US" w:eastAsia="zh-CN"/>
        </w:rPr>
        <w:t>使</w:t>
      </w:r>
      <w:r>
        <w:rPr>
          <w:rFonts w:hint="eastAsia" w:ascii="仿宋_GB2312" w:hAnsi="仿宋_GB2312" w:eastAsia="仿宋_GB2312" w:cs="仿宋_GB2312"/>
          <w:sz w:val="32"/>
          <w:szCs w:val="32"/>
        </w:rPr>
        <w:t>用是否达到预期目标、资金管理是否规范、资金使用是否有效、检验资金支出效率和效果，分析存在的问题和原因，及时总结经验，改进管理措施，不断增强和落实绩效管理责任，完善工作机制，有效提高资金管理水平和使用效益，有效发挥财政资金的使用效益</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）绩效评价原则、依据、评价指标体系（附表说明）、评价方法、评价标准、评价抽样等</w:t>
      </w:r>
    </w:p>
    <w:p>
      <w:pPr>
        <w:pStyle w:val="7"/>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本次绩效评价遵循以下基本原则：1、</w:t>
      </w:r>
      <w:r>
        <w:rPr>
          <w:rFonts w:hint="eastAsia" w:ascii="仿宋_GB2312" w:hAnsi="仿宋_GB2312" w:eastAsia="仿宋_GB2312" w:cs="仿宋_GB2312"/>
          <w:color w:val="auto"/>
          <w:sz w:val="32"/>
          <w:szCs w:val="32"/>
        </w:rPr>
        <w:t>科学规范原则。绩效</w:t>
      </w:r>
      <w:r>
        <w:rPr>
          <w:rFonts w:hint="eastAsia" w:ascii="仿宋_GB2312" w:hAnsi="仿宋_GB2312" w:eastAsia="仿宋_GB2312" w:cs="仿宋_GB2312"/>
          <w:color w:val="auto"/>
          <w:sz w:val="32"/>
          <w:szCs w:val="32"/>
          <w:lang w:val="en-US" w:eastAsia="zh-CN"/>
        </w:rPr>
        <w:t>自评</w:t>
      </w:r>
      <w:r>
        <w:rPr>
          <w:rFonts w:hint="eastAsia" w:ascii="仿宋_GB2312" w:hAnsi="仿宋_GB2312" w:eastAsia="仿宋_GB2312" w:cs="仿宋_GB2312"/>
          <w:color w:val="auto"/>
          <w:sz w:val="32"/>
          <w:szCs w:val="32"/>
        </w:rPr>
        <w:t>注重财政支出的效率性和有效性，严格执行规定的程序。</w:t>
      </w:r>
      <w:r>
        <w:rPr>
          <w:rFonts w:hint="eastAsia" w:ascii="仿宋_GB2312" w:hAnsi="仿宋_GB2312" w:eastAsia="仿宋_GB2312" w:cs="仿宋_GB2312"/>
          <w:color w:val="auto"/>
          <w:sz w:val="32"/>
          <w:szCs w:val="32"/>
          <w:lang w:val="en-US" w:eastAsia="zh-CN"/>
        </w:rPr>
        <w:t>2、真实客观原则。绩效自评要实事求是，确保数据准确、评分合理、结果客观。</w:t>
      </w:r>
    </w:p>
    <w:p>
      <w:pPr>
        <w:pStyle w:val="7"/>
        <w:rPr>
          <w:rFonts w:hint="default"/>
          <w:lang w:val="en-US" w:eastAsia="zh-CN"/>
        </w:rPr>
      </w:pPr>
      <w:r>
        <w:rPr>
          <w:rFonts w:hint="eastAsia" w:ascii="仿宋_GB2312" w:hAnsi="仿宋_GB2312" w:eastAsia="仿宋_GB2312" w:cs="仿宋_GB2312"/>
          <w:color w:val="auto"/>
          <w:sz w:val="32"/>
          <w:szCs w:val="32"/>
          <w:lang w:val="en-US" w:eastAsia="zh-CN"/>
        </w:rPr>
        <w:t xml:space="preserve">    绩效评价依据：此次自评依据国家相关法律、法规和规章制度；预算管理制度及办法，项目及资金管理办法、财务和会计资料；部门职责及年度工作计划；项目设立的政策依据和目标，预算批复、资金安排和分配，资金使用情况等。</w:t>
      </w:r>
    </w:p>
    <w:p>
      <w:pPr>
        <w:pStyle w:val="7"/>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设置了产出指标、效益指标、满意度指标3个一级指标；数量指标、质量指标、时效指标、成本指标、社会效益指标、服务对象满意度6个二级指标，并根据二级指标细化为16个三级指标。详见“项目支出绩效自评表”。</w:t>
      </w:r>
    </w:p>
    <w:p>
      <w:pPr>
        <w:pStyle w:val="7"/>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绩效评价方法：单位自评。</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）绩效评价工作过程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3" w:lineRule="atLeast"/>
        <w:ind w:left="0" w:right="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1.前期准备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3" w:lineRule="atLeast"/>
        <w:ind w:left="0" w:right="0" w:firstLine="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根据《五华区财政局关于开展2023年度区级预算支出部门绩效评价工作的通知》（五财〔2024〕23号）的要求，由街道成立绩效评价工作小组组织自评。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3" w:lineRule="atLeast"/>
        <w:ind w:left="0" w:right="0" w:firstLine="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2.组织实施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23" w:lineRule="atLeast"/>
        <w:ind w:left="0" w:right="0" w:firstLine="0"/>
        <w:rPr>
          <w:rFonts w:hint="eastAsia"/>
        </w:rPr>
      </w:pPr>
      <w:r>
        <w:rPr>
          <w:rFonts w:hint="eastAsia" w:ascii="仿宋_GB2312" w:hAnsi="仿宋_GB2312" w:eastAsia="仿宋_GB2312" w:cs="仿宋_GB2312"/>
          <w:kern w:val="0"/>
          <w:sz w:val="32"/>
          <w:szCs w:val="32"/>
          <w:lang w:val="en-US" w:eastAsia="zh-CN"/>
        </w:rPr>
        <w:t>　　街道成立绩效评价自评工作小组按照绩效评价工作指标体系要求，提供相关文件和资料，并按照要求开展自评。</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（一）绩效评价综合结论</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按照自评工作的要求，街道对项目支出预算资金的经济性、效率性、有效性和可持性进行客观、公正的评价。通过自查，项目绩效目标合理，管理制度健全，项目质量控制达标，资金使用合理合规，没有发生专项资金的挤占、挪用、截流等违规现象。自评分为89.7分，2023年大观街道办事处党建引领基层社会治理补助经费项目支出绩效评价为良。</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（二）绩效目标实现情况</w:t>
      </w:r>
    </w:p>
    <w:p>
      <w:pPr>
        <w:spacing w:line="360" w:lineRule="auto"/>
        <w:ind w:firstLine="640" w:firstLineChars="200"/>
        <w:rPr>
          <w:rFonts w:hint="eastAsia" w:ascii="仿宋_GB2312" w:hAnsi="Times New Roman" w:eastAsia="仿宋_GB2312" w:cstheme="minorBidi"/>
          <w:kern w:val="0"/>
          <w:sz w:val="32"/>
          <w:szCs w:val="32"/>
          <w:lang w:val="en-US" w:eastAsia="zh-CN"/>
        </w:rPr>
      </w:pPr>
      <w:r>
        <w:rPr>
          <w:rFonts w:hint="eastAsia" w:ascii="仿宋_GB2312" w:eastAsia="仿宋_GB2312" w:hAnsiTheme="minorHAnsi" w:cstheme="minorBidi"/>
          <w:kern w:val="0"/>
          <w:sz w:val="32"/>
          <w:szCs w:val="32"/>
          <w:lang w:val="en-US" w:eastAsia="zh-CN"/>
        </w:rPr>
        <w:t>通过自评，</w:t>
      </w:r>
      <w:r>
        <w:rPr>
          <w:rFonts w:hint="eastAsia" w:ascii="仿宋_GB2312" w:eastAsia="仿宋_GB2312" w:cstheme="minorBidi"/>
          <w:kern w:val="0"/>
          <w:sz w:val="32"/>
          <w:szCs w:val="32"/>
          <w:lang w:val="en-US" w:eastAsia="zh-CN"/>
        </w:rPr>
        <w:t>该</w:t>
      </w:r>
      <w:r>
        <w:rPr>
          <w:rFonts w:hint="eastAsia" w:ascii="仿宋_GB2312" w:eastAsia="仿宋_GB2312" w:hAnsiTheme="minorHAnsi" w:cstheme="minorBidi"/>
          <w:kern w:val="0"/>
          <w:sz w:val="32"/>
          <w:szCs w:val="32"/>
          <w:lang w:val="en-US" w:eastAsia="zh-CN"/>
        </w:rPr>
        <w:t>项目绩效目标全部实现指标预期设置</w:t>
      </w:r>
      <w:r>
        <w:rPr>
          <w:rFonts w:hint="eastAsia" w:ascii="仿宋_GB2312" w:eastAsia="仿宋_GB2312" w:cstheme="minorBidi"/>
          <w:kern w:val="0"/>
          <w:sz w:val="32"/>
          <w:szCs w:val="32"/>
          <w:lang w:val="en-US" w:eastAsia="zh-CN"/>
        </w:rPr>
        <w:t>。</w:t>
      </w:r>
      <w:r>
        <w:rPr>
          <w:rFonts w:hint="eastAsia" w:ascii="仿宋_GB2312" w:eastAsia="仿宋_GB2312" w:hAnsiTheme="minorHAnsi" w:cstheme="minorBidi"/>
          <w:kern w:val="0"/>
          <w:sz w:val="32"/>
          <w:szCs w:val="32"/>
          <w:lang w:val="en-US" w:eastAsia="zh-CN"/>
        </w:rPr>
        <w:t>项目实际使用资金</w:t>
      </w:r>
      <w:r>
        <w:rPr>
          <w:rFonts w:hint="eastAsia" w:ascii="仿宋_GB2312" w:eastAsia="仿宋_GB2312" w:cstheme="minorBidi"/>
          <w:kern w:val="0"/>
          <w:sz w:val="32"/>
          <w:szCs w:val="32"/>
          <w:lang w:val="en-US" w:eastAsia="zh-CN"/>
        </w:rPr>
        <w:t>6</w:t>
      </w:r>
      <w:r>
        <w:rPr>
          <w:rFonts w:hint="eastAsia" w:ascii="仿宋_GB2312" w:eastAsia="仿宋_GB2312" w:hAnsiTheme="minorHAnsi" w:cstheme="minorBidi"/>
          <w:kern w:val="0"/>
          <w:sz w:val="32"/>
          <w:szCs w:val="32"/>
          <w:lang w:val="en-US" w:eastAsia="zh-CN"/>
        </w:rPr>
        <w:t>万元，执行率为</w:t>
      </w:r>
      <w:r>
        <w:rPr>
          <w:rFonts w:hint="eastAsia" w:ascii="仿宋_GB2312" w:eastAsia="仿宋_GB2312" w:cstheme="minorBidi"/>
          <w:kern w:val="0"/>
          <w:sz w:val="32"/>
          <w:szCs w:val="32"/>
          <w:lang w:val="en-US" w:eastAsia="zh-CN"/>
        </w:rPr>
        <w:t>6.98</w:t>
      </w:r>
      <w:r>
        <w:rPr>
          <w:rFonts w:hint="eastAsia" w:ascii="仿宋_GB2312" w:eastAsia="仿宋_GB2312" w:hAnsiTheme="minorHAnsi" w:cstheme="minorBidi"/>
          <w:kern w:val="0"/>
          <w:sz w:val="32"/>
          <w:szCs w:val="32"/>
          <w:lang w:val="en-US" w:eastAsia="zh-CN"/>
        </w:rPr>
        <w:t>%，</w:t>
      </w:r>
      <w:r>
        <w:rPr>
          <w:rFonts w:hint="eastAsia" w:ascii="仿宋_GB2312" w:eastAsia="仿宋_GB2312" w:cstheme="minorBidi"/>
          <w:kern w:val="0"/>
          <w:sz w:val="32"/>
          <w:szCs w:val="32"/>
          <w:lang w:val="en-US" w:eastAsia="zh-CN"/>
        </w:rPr>
        <w:t>主要原因为</w:t>
      </w:r>
      <w:r>
        <w:rPr>
          <w:rFonts w:hint="eastAsia" w:ascii="仿宋_GB2312" w:eastAsia="仿宋_GB2312" w:hAnsiTheme="minorHAnsi" w:cstheme="minorBidi"/>
          <w:kern w:val="0"/>
          <w:sz w:val="32"/>
          <w:szCs w:val="32"/>
          <w:lang w:val="en-US" w:eastAsia="zh-CN"/>
        </w:rPr>
        <w:t>疫情期间，经济受影响，压缩经费支出</w:t>
      </w:r>
      <w:r>
        <w:rPr>
          <w:rFonts w:hint="eastAsia" w:ascii="仿宋_GB2312" w:eastAsia="仿宋_GB2312" w:cstheme="minorBidi"/>
          <w:kern w:val="0"/>
          <w:sz w:val="32"/>
          <w:szCs w:val="32"/>
          <w:lang w:val="en-US" w:eastAsia="zh-CN"/>
        </w:rPr>
        <w:t>。但</w:t>
      </w:r>
      <w:r>
        <w:rPr>
          <w:rFonts w:hint="eastAsia" w:ascii="仿宋_GB2312" w:eastAsia="仿宋_GB2312" w:hAnsiTheme="minorHAnsi" w:cstheme="minorBidi"/>
          <w:kern w:val="0"/>
          <w:sz w:val="32"/>
          <w:szCs w:val="32"/>
          <w:lang w:val="en-US" w:eastAsia="zh-CN"/>
        </w:rPr>
        <w:t>逐项工作指标均已完成。</w:t>
      </w:r>
      <w:r>
        <w:rPr>
          <w:rFonts w:hint="eastAsia" w:ascii="仿宋_GB2312" w:eastAsia="仿宋_GB2312" w:cstheme="minorBidi"/>
          <w:kern w:val="0"/>
          <w:sz w:val="32"/>
          <w:szCs w:val="32"/>
          <w:lang w:val="en-US" w:eastAsia="zh-CN"/>
        </w:rPr>
        <w:t>具体为：1.开展居民议事协商会50次以上，举办居民活动100场以上，召开“党建联盟”联席会议4次，慰问困难党员63人次，开展书记领航项目1个，申报创建先锋社区4个。2.发挥辖区党群服务中心相关职能和功能，完成不少于100场为民服务活动，开展不少于1000人次的党群教育服务，对接不少于10家辖区内单位党组织加入街道党建联盟共同开展党员教育服务，将社会组织、企业、公共户单位、兴趣社区服务内容融入中心，让社会组织参与和承接公共服务，形成社会力量参与社会治理工作格局，有效延伸政府服务范围，切实提高城市基层党建的整体效应，街道、社区各党群服务中心开展主题教育、党课、心理咨询、法律咨询、读书会、演讲俱乐部等活动600余次，开展大观街道万名党员进党校2期，共覆盖2000名党员；3“鹤发悦”离退休干部服务项目，激发离退休干部党组织生机活力，通过开展活动，使离退休老干部老有所为，老有所乐，对72人离退休老干部进行8次节日慰问;4.与媒体合作进行宣传，扩大大观街道办事处新闻宣传的辐射面、影响力，营造良好的社会舆论环境,中央、省、市、区各级媒体宣传报道200余次；5.“两新”党组织项目，推进“两新”组织党组织规范化建设，充分发挥党组织的战斗堡垒作用和党员的先锋模范作用，提升“两新”组织党建工作水平，做好党建示范点打造，新建党支部2个，覆盖36家非公企业，深入推进居民区党建与物业“双覆盖”工作，争创示范党支部2个；6.新时代文明实践站所运营项目，通过购买服务形式与社会组织签订运营服务合同，定期开展文明实践活动200次。</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）项目决策情况分析</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default" w:ascii="仿宋_GB2312" w:eastAsia="仿宋_GB2312" w:hAnsiTheme="minorHAnsi" w:cstheme="minorBidi"/>
          <w:kern w:val="0"/>
          <w:sz w:val="32"/>
          <w:szCs w:val="32"/>
          <w:lang w:val="en-US" w:eastAsia="zh-CN"/>
        </w:rPr>
      </w:pPr>
      <w:r>
        <w:rPr>
          <w:rFonts w:hint="eastAsia" w:ascii="仿宋_GB2312" w:eastAsia="仿宋_GB2312" w:hAnsiTheme="minorHAnsi" w:cstheme="minorBidi"/>
          <w:kern w:val="0"/>
          <w:sz w:val="32"/>
          <w:szCs w:val="32"/>
          <w:lang w:val="en-US" w:eastAsia="zh-CN"/>
        </w:rPr>
        <w:t>该</w:t>
      </w:r>
      <w:r>
        <w:rPr>
          <w:rFonts w:hint="eastAsia" w:ascii="仿宋_GB2312" w:eastAsia="仿宋_GB2312" w:cstheme="minorBidi"/>
          <w:kern w:val="0"/>
          <w:sz w:val="32"/>
          <w:szCs w:val="32"/>
          <w:lang w:val="en-US" w:eastAsia="zh-CN"/>
        </w:rPr>
        <w:t>项目设立符合区委、区政府相关规定，符合街道发展规划及部门年度工作计划，项目成立前经过反复论证并经过会议审议通过，项目目标设立依据充分、明确、合理。</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）项目过程情况分析</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仿宋_GB2312" w:eastAsia="仿宋_GB2312" w:hAnsiTheme="minorHAnsi" w:cstheme="minorBidi"/>
          <w:kern w:val="0"/>
          <w:sz w:val="32"/>
          <w:szCs w:val="32"/>
          <w:lang w:val="en-US" w:eastAsia="zh-CN"/>
        </w:rPr>
      </w:pPr>
      <w:r>
        <w:rPr>
          <w:rFonts w:hint="eastAsia" w:ascii="仿宋_GB2312" w:eastAsia="仿宋_GB2312" w:hAnsiTheme="minorHAnsi" w:cstheme="minorBidi"/>
          <w:kern w:val="0"/>
          <w:sz w:val="32"/>
          <w:szCs w:val="32"/>
          <w:lang w:val="en-US" w:eastAsia="zh-CN"/>
        </w:rPr>
        <w:t>该项目</w:t>
      </w:r>
      <w:r>
        <w:rPr>
          <w:rFonts w:hint="eastAsia" w:ascii="仿宋_GB2312" w:eastAsia="仿宋_GB2312" w:cstheme="minorBidi"/>
          <w:kern w:val="0"/>
          <w:sz w:val="32"/>
          <w:szCs w:val="32"/>
          <w:lang w:val="en-US" w:eastAsia="zh-CN"/>
        </w:rPr>
        <w:t>严格按计划、按进度、按用途拨付使用资金，确保了项目资金的安全有效运行，确保项目的顺利实施。该项目资金实行专款专用，项目拨付严格按街道相关审批程序，资金使用规范，会计核算结果真实、准确，包括项目竣工决算、资金的拨付都按照街道财务管理制度严格执行。</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）项目产出情况分析</w:t>
      </w:r>
    </w:p>
    <w:p>
      <w:pPr>
        <w:pStyle w:val="7"/>
        <w:numPr>
          <w:ilvl w:val="0"/>
          <w:numId w:val="0"/>
        </w:numPr>
        <w:ind w:firstLine="640" w:firstLineChars="200"/>
        <w:rPr>
          <w:rFonts w:hint="default" w:ascii="仿宋_GB2312" w:eastAsia="仿宋_GB2312" w:hAnsiTheme="minorHAnsi" w:cstheme="minorBidi"/>
          <w:kern w:val="0"/>
          <w:sz w:val="32"/>
          <w:szCs w:val="32"/>
          <w:lang w:val="en-US" w:eastAsia="zh-CN"/>
        </w:rPr>
      </w:pPr>
      <w:r>
        <w:rPr>
          <w:rFonts w:hint="eastAsia" w:ascii="仿宋_GB2312" w:eastAsia="仿宋_GB2312" w:hAnsiTheme="minorHAnsi" w:cstheme="minorBidi"/>
          <w:kern w:val="0"/>
          <w:sz w:val="32"/>
          <w:szCs w:val="32"/>
          <w:lang w:val="en-US" w:eastAsia="zh-CN"/>
        </w:rPr>
        <w:t>该项目</w:t>
      </w:r>
      <w:r>
        <w:rPr>
          <w:rFonts w:hint="eastAsia" w:ascii="仿宋_GB2312" w:eastAsia="仿宋_GB2312" w:cstheme="minorBidi"/>
          <w:kern w:val="0"/>
          <w:sz w:val="32"/>
          <w:szCs w:val="32"/>
          <w:lang w:val="en-US" w:eastAsia="zh-CN"/>
        </w:rPr>
        <w:t>产出数量、质量、时效、成本均已达到绩效预期目标。新建2个基层党组织，定期组织党员活动，全年共组织120次，开展“万名党员进党校”活动2期，创建4个“先锋社区”，及时进行党建工作宣传报道，重要节日开展老党员、困难党员慰问工作，开展书记领航项目1个，创建先进优秀党组织2个，发展党员数8人，开展文明实践活动次数200余次，该项目成本严格控制在预算范围内。</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）项目效益情况分析</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rPr>
      </w:pPr>
      <w:r>
        <w:rPr>
          <w:rFonts w:hint="eastAsia" w:ascii="仿宋_GB2312" w:eastAsia="仿宋_GB2312" w:cstheme="minorBidi"/>
          <w:kern w:val="0"/>
          <w:sz w:val="32"/>
          <w:szCs w:val="32"/>
          <w:lang w:val="en-US" w:eastAsia="zh-CN"/>
        </w:rPr>
        <w:t>该项目有明显的社会效益，</w:t>
      </w:r>
      <w:r>
        <w:rPr>
          <w:rFonts w:hint="eastAsia" w:ascii="仿宋_GB2312" w:eastAsia="仿宋_GB2312"/>
          <w:sz w:val="32"/>
          <w:szCs w:val="32"/>
        </w:rPr>
        <w:t>强化基层党建、基层治理、服务群众的机构及力量，激发社会组织活力，推动全区城市基层党建水平整体水平</w:t>
      </w:r>
      <w:r>
        <w:rPr>
          <w:rFonts w:hint="eastAsia" w:ascii="仿宋_GB2312" w:eastAsia="仿宋_GB2312"/>
          <w:sz w:val="32"/>
          <w:szCs w:val="32"/>
          <w:lang w:eastAsia="zh-CN"/>
        </w:rPr>
        <w:t>，提升居民群众的幸福感</w:t>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pPr>
        <w:keepNext w:val="0"/>
        <w:keepLines w:val="0"/>
        <w:pageBreakBefore w:val="0"/>
        <w:kinsoku/>
        <w:wordWrap/>
        <w:overflowPunct/>
        <w:autoSpaceDE/>
        <w:autoSpaceDN/>
        <w:bidi w:val="0"/>
        <w:spacing w:line="560" w:lineRule="exact"/>
        <w:ind w:right="220" w:rightChars="10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科学分解绩效目标</w:t>
      </w:r>
    </w:p>
    <w:p>
      <w:pPr>
        <w:keepNext w:val="0"/>
        <w:keepLines w:val="0"/>
        <w:pageBreakBefore w:val="0"/>
        <w:kinsoku/>
        <w:wordWrap/>
        <w:overflowPunct/>
        <w:autoSpaceDE/>
        <w:autoSpaceDN/>
        <w:bidi w:val="0"/>
        <w:spacing w:line="560" w:lineRule="exact"/>
        <w:ind w:right="220" w:rightChars="10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经行政办公会，党工委会研究</w:t>
      </w:r>
      <w:r>
        <w:rPr>
          <w:rFonts w:hint="eastAsia" w:ascii="仿宋_GB2312" w:hAnsi="仿宋_GB2312" w:eastAsia="仿宋_GB2312" w:cs="仿宋_GB2312"/>
          <w:sz w:val="32"/>
          <w:szCs w:val="32"/>
          <w:lang w:val="en-US" w:eastAsia="zh-CN"/>
        </w:rPr>
        <w:t>项目预算经费安排</w:t>
      </w:r>
      <w:r>
        <w:rPr>
          <w:rFonts w:hint="eastAsia" w:ascii="仿宋_GB2312" w:hAnsi="仿宋_GB2312" w:eastAsia="仿宋_GB2312" w:cs="仿宋_GB2312"/>
          <w:sz w:val="32"/>
          <w:szCs w:val="32"/>
        </w:rPr>
        <w:t>。细化分解绩效目标到科室、社区。分口明确每个项目的科室、社区，具体项目的分管领导、责任人，落实绩效目标主体责任。每个项目有人管理，有效跟踪监控。确保办事处整体项目绩效目标如期实现。</w:t>
      </w:r>
    </w:p>
    <w:p>
      <w:pPr>
        <w:keepNext w:val="0"/>
        <w:keepLines w:val="0"/>
        <w:pageBreakBefore w:val="0"/>
        <w:kinsoku/>
        <w:wordWrap/>
        <w:overflowPunct/>
        <w:autoSpaceDE/>
        <w:autoSpaceDN/>
        <w:bidi w:val="0"/>
        <w:spacing w:line="560" w:lineRule="exact"/>
        <w:ind w:right="220" w:rightChars="10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及时反馈绩效目标实现情况</w:t>
      </w:r>
    </w:p>
    <w:p>
      <w:pPr>
        <w:keepNext w:val="0"/>
        <w:keepLines w:val="0"/>
        <w:pageBreakBefore w:val="0"/>
        <w:kinsoku/>
        <w:wordWrap/>
        <w:overflowPunct/>
        <w:autoSpaceDE/>
        <w:autoSpaceDN/>
        <w:bidi w:val="0"/>
        <w:spacing w:line="560" w:lineRule="exact"/>
        <w:ind w:right="220" w:rightChars="100" w:firstLine="640" w:firstLineChars="200"/>
        <w:textAlignment w:val="auto"/>
        <w:rPr>
          <w:rFonts w:hint="eastAsia"/>
        </w:rPr>
      </w:pPr>
      <w:r>
        <w:rPr>
          <w:rFonts w:hint="eastAsia" w:ascii="仿宋_GB2312" w:hAnsi="仿宋_GB2312" w:eastAsia="仿宋_GB2312" w:cs="仿宋_GB2312"/>
          <w:sz w:val="32"/>
          <w:szCs w:val="32"/>
        </w:rPr>
        <w:t>制定《预算经费申报表》和《资金使用进度核对表》。各科室、社区按季度申报项目经费，并按进度实施项目。每个季度实施情况由财务科及时反馈信息给科室、社区、项目负责人。利于每个项目的实施按进度拨款，按预算执行。发现问题及时调整、及时整改。</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right="0"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lang w:val="en-US" w:eastAsia="zh-CN"/>
        </w:rPr>
        <w:t>年初编制项目预算时，某些工作还未下达工作任务及指标，绩效目标及相关工作指标设置不合理，</w:t>
      </w:r>
      <w:r>
        <w:rPr>
          <w:rFonts w:hint="default" w:ascii="Times New Roman" w:hAnsi="Times New Roman" w:eastAsia="仿宋_GB2312" w:cs="Times New Roman"/>
          <w:kern w:val="0"/>
          <w:sz w:val="32"/>
          <w:szCs w:val="32"/>
          <w:lang w:val="en-US" w:eastAsia="zh-CN"/>
        </w:rPr>
        <w:t>导致实际指标任务或高或低。</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right="0"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受经济影响，压缩预算经费，财政较早关账，很多已经开支了的项目得不到及时支付，及</w:t>
      </w:r>
      <w:r>
        <w:rPr>
          <w:rFonts w:hint="default" w:ascii="Times New Roman" w:hAnsi="Times New Roman" w:eastAsia="仿宋_GB2312" w:cs="Times New Roman"/>
          <w:kern w:val="0"/>
          <w:sz w:val="32"/>
          <w:szCs w:val="32"/>
          <w:lang w:val="en-US" w:eastAsia="zh-CN"/>
        </w:rPr>
        <w:t>各职能部门存在陆续拨款的情况，导致部分工作经费充裕，相关预算项目支出进度严重不达标</w:t>
      </w:r>
      <w:r>
        <w:rPr>
          <w:rFonts w:hint="eastAsia"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sz w:val="32"/>
          <w:szCs w:val="32"/>
          <w:lang w:val="en-US" w:eastAsia="zh-CN"/>
        </w:rPr>
        <w:t>导致执行率较低。</w:t>
      </w:r>
      <w:r>
        <w:rPr>
          <w:rFonts w:hint="default" w:ascii="Times New Roman" w:hAnsi="Times New Roman" w:eastAsia="仿宋_GB2312" w:cs="Times New Roman"/>
          <w:sz w:val="32"/>
          <w:szCs w:val="32"/>
          <w:lang w:val="en-US" w:eastAsia="zh-CN"/>
        </w:rPr>
        <w:t>同一项目，街道财政年初安排了预算，职能部门也有拨款，形成双重预算。</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有关建议</w:t>
      </w:r>
    </w:p>
    <w:p>
      <w:pPr>
        <w:pStyle w:val="7"/>
        <w:ind w:firstLine="640" w:firstLineChars="200"/>
        <w:rPr>
          <w:rFonts w:hint="default" w:ascii="Times New Roman" w:hAnsi="Times New Roman" w:cs="Times New Roman"/>
          <w:lang w:val="en-US" w:eastAsia="zh-CN"/>
        </w:rPr>
      </w:pPr>
      <w:r>
        <w:rPr>
          <w:rFonts w:hint="eastAsia" w:ascii="Times New Roman" w:hAnsi="Times New Roman" w:eastAsia="仿宋_GB2312" w:cs="Times New Roman"/>
          <w:sz w:val="32"/>
          <w:szCs w:val="32"/>
          <w:lang w:val="en-US" w:eastAsia="zh-CN"/>
        </w:rPr>
        <w:t>落实好部门对项目管理的责任，加强项目管理，</w:t>
      </w:r>
      <w:r>
        <w:rPr>
          <w:rFonts w:hint="default" w:ascii="Times New Roman" w:hAnsi="Times New Roman" w:eastAsia="仿宋_GB2312" w:cs="Times New Roman"/>
          <w:kern w:val="0"/>
          <w:sz w:val="32"/>
          <w:szCs w:val="32"/>
          <w:lang w:val="en-US" w:eastAsia="zh-CN"/>
        </w:rPr>
        <w:t>年初项目预算指标及项目明细紧紧围绕实际目标任务编制，每一项项目明细落到实处，不高估或低估项目支出。</w:t>
      </w:r>
      <w:r>
        <w:rPr>
          <w:rFonts w:hint="eastAsia" w:ascii="Times New Roman" w:hAnsi="Times New Roman" w:eastAsia="仿宋_GB2312" w:cs="Times New Roman"/>
          <w:sz w:val="32"/>
          <w:szCs w:val="32"/>
          <w:lang w:val="en-US" w:eastAsia="zh-CN"/>
        </w:rPr>
        <w:t>不断提高预算项目绩效目标设置的科学性，并加大绩效运行监控的力度，及时调整绩效目标设定的偏差。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Times New Roman" w:hAnsi="Times New Roman" w:eastAsia="仿宋_GB2312" w:cs="Times New Roman"/>
          <w:sz w:val="32"/>
          <w:szCs w:val="32"/>
          <w:lang w:val="en-US" w:eastAsia="zh-CN"/>
        </w:rPr>
        <w:t>及时调整预算，对于无法再进行开支的经费，及时进行预算调减。</w:t>
      </w:r>
      <w:r>
        <w:rPr>
          <w:rFonts w:hint="default" w:ascii="Times New Roman" w:hAnsi="Times New Roman" w:eastAsia="仿宋_GB2312" w:cs="Times New Roman"/>
          <w:sz w:val="32"/>
          <w:szCs w:val="32"/>
          <w:lang w:val="en-US" w:eastAsia="zh-CN"/>
        </w:rPr>
        <w:t>职能部门编制下拨街道预算时，要与街道充分协调沟通，由财政部门全面统筹预算，减少职能部门拨款的随意性。项目不能流于形式，要有明确的目标内容，项目要做实做细。</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_GB2312" w:hAnsi="仿宋_GB2312" w:eastAsia="仿宋_GB2312" w:cs="仿宋_GB2312"/>
          <w:sz w:val="30"/>
          <w:szCs w:val="30"/>
        </w:rPr>
      </w:pPr>
    </w:p>
    <w:p>
      <w:pPr>
        <w:pStyle w:val="2"/>
        <w:ind w:left="0" w:leftChars="0" w:firstLine="0" w:firstLineChars="0"/>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2"/>
        <w:rPr>
          <w:rFonts w:hint="eastAsia" w:ascii="仿宋_GB2312" w:hAnsi="仿宋_GB2312" w:eastAsia="仿宋_GB2312" w:cs="仿宋_GB2312"/>
          <w:sz w:val="30"/>
          <w:szCs w:val="30"/>
        </w:rPr>
      </w:pPr>
    </w:p>
    <w:p>
      <w:pPr>
        <w:ind w:firstLine="2400" w:firstLineChars="8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昆明市五华区人民政府大观街道办事处</w:t>
      </w:r>
    </w:p>
    <w:p>
      <w:pPr>
        <w:pStyle w:val="2"/>
        <w:rPr>
          <w:rFonts w:hint="default"/>
          <w:lang w:val="en-US" w:eastAsia="zh-CN"/>
        </w:rPr>
      </w:pPr>
      <w:r>
        <w:rPr>
          <w:rFonts w:hint="eastAsia" w:ascii="仿宋_GB2312" w:hAnsi="仿宋_GB2312" w:eastAsia="仿宋_GB2312" w:cs="仿宋_GB2312"/>
          <w:sz w:val="30"/>
          <w:szCs w:val="30"/>
          <w:lang w:val="en-US" w:eastAsia="zh-CN"/>
        </w:rPr>
        <w:t xml:space="preserve">                   2024年5月22日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4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0B8C7"/>
    <w:multiLevelType w:val="singleLevel"/>
    <w:tmpl w:val="6630B8C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D449E"/>
    <w:rsid w:val="00EC5C93"/>
    <w:rsid w:val="01557057"/>
    <w:rsid w:val="027253FC"/>
    <w:rsid w:val="029B076A"/>
    <w:rsid w:val="02BC5DE6"/>
    <w:rsid w:val="02DC6E58"/>
    <w:rsid w:val="03C70CC5"/>
    <w:rsid w:val="03DF4A82"/>
    <w:rsid w:val="03F751D8"/>
    <w:rsid w:val="0492207E"/>
    <w:rsid w:val="049A17A7"/>
    <w:rsid w:val="052014C4"/>
    <w:rsid w:val="05416154"/>
    <w:rsid w:val="05A93270"/>
    <w:rsid w:val="05EE1E25"/>
    <w:rsid w:val="067E5D22"/>
    <w:rsid w:val="06E052D2"/>
    <w:rsid w:val="06F167AA"/>
    <w:rsid w:val="075D461A"/>
    <w:rsid w:val="07642EA0"/>
    <w:rsid w:val="07E35F7E"/>
    <w:rsid w:val="08191B8F"/>
    <w:rsid w:val="086E693D"/>
    <w:rsid w:val="08927653"/>
    <w:rsid w:val="08A065DB"/>
    <w:rsid w:val="08E744FF"/>
    <w:rsid w:val="09A0604F"/>
    <w:rsid w:val="0BDB1E67"/>
    <w:rsid w:val="0BF43E1B"/>
    <w:rsid w:val="0C3D6648"/>
    <w:rsid w:val="0CB52E74"/>
    <w:rsid w:val="0D6610CF"/>
    <w:rsid w:val="0D7056BD"/>
    <w:rsid w:val="0DC261E5"/>
    <w:rsid w:val="0E865E14"/>
    <w:rsid w:val="0FA05E58"/>
    <w:rsid w:val="0FA21489"/>
    <w:rsid w:val="102F3619"/>
    <w:rsid w:val="10396FC3"/>
    <w:rsid w:val="106738C9"/>
    <w:rsid w:val="10F277A6"/>
    <w:rsid w:val="118A4A00"/>
    <w:rsid w:val="11D520B1"/>
    <w:rsid w:val="120D50B8"/>
    <w:rsid w:val="127643E5"/>
    <w:rsid w:val="134C7EC1"/>
    <w:rsid w:val="13C162DA"/>
    <w:rsid w:val="150073A4"/>
    <w:rsid w:val="151E2789"/>
    <w:rsid w:val="161E3F7E"/>
    <w:rsid w:val="164E630C"/>
    <w:rsid w:val="16EE2A2D"/>
    <w:rsid w:val="18BD647B"/>
    <w:rsid w:val="196A3989"/>
    <w:rsid w:val="19B12597"/>
    <w:rsid w:val="1A4223DD"/>
    <w:rsid w:val="1A565B96"/>
    <w:rsid w:val="1A8F75D6"/>
    <w:rsid w:val="1ABC2F7B"/>
    <w:rsid w:val="1AF908FB"/>
    <w:rsid w:val="1B135AF9"/>
    <w:rsid w:val="1B7A694C"/>
    <w:rsid w:val="1BAF2105"/>
    <w:rsid w:val="1C290D8E"/>
    <w:rsid w:val="1CB154BA"/>
    <w:rsid w:val="1CBD1AB5"/>
    <w:rsid w:val="1D917647"/>
    <w:rsid w:val="1DE17DDC"/>
    <w:rsid w:val="1F1900D5"/>
    <w:rsid w:val="1F822856"/>
    <w:rsid w:val="1F8D7E91"/>
    <w:rsid w:val="208F66EB"/>
    <w:rsid w:val="213408CA"/>
    <w:rsid w:val="213C2ED7"/>
    <w:rsid w:val="21837249"/>
    <w:rsid w:val="219849F0"/>
    <w:rsid w:val="21D524E6"/>
    <w:rsid w:val="22027EF2"/>
    <w:rsid w:val="22796E4F"/>
    <w:rsid w:val="22840399"/>
    <w:rsid w:val="22CE318D"/>
    <w:rsid w:val="23085BE8"/>
    <w:rsid w:val="23207A8A"/>
    <w:rsid w:val="239D32A6"/>
    <w:rsid w:val="23F612EE"/>
    <w:rsid w:val="2420785A"/>
    <w:rsid w:val="24357860"/>
    <w:rsid w:val="2442326C"/>
    <w:rsid w:val="24E541A9"/>
    <w:rsid w:val="252B58CE"/>
    <w:rsid w:val="254A500C"/>
    <w:rsid w:val="256837C0"/>
    <w:rsid w:val="25945C78"/>
    <w:rsid w:val="25E03162"/>
    <w:rsid w:val="268074DD"/>
    <w:rsid w:val="28366A62"/>
    <w:rsid w:val="289B0F7B"/>
    <w:rsid w:val="28BD29EB"/>
    <w:rsid w:val="28D2620A"/>
    <w:rsid w:val="28EE1348"/>
    <w:rsid w:val="295D2417"/>
    <w:rsid w:val="29F5598E"/>
    <w:rsid w:val="29FE79D4"/>
    <w:rsid w:val="2A361DAB"/>
    <w:rsid w:val="2A8A49DA"/>
    <w:rsid w:val="2A9546F3"/>
    <w:rsid w:val="2ADE3A12"/>
    <w:rsid w:val="2AF23A43"/>
    <w:rsid w:val="2B003859"/>
    <w:rsid w:val="2B864041"/>
    <w:rsid w:val="2B8E3B85"/>
    <w:rsid w:val="2BB2259D"/>
    <w:rsid w:val="2C0D4293"/>
    <w:rsid w:val="2C8A634C"/>
    <w:rsid w:val="2C8E0F5E"/>
    <w:rsid w:val="2CB404F5"/>
    <w:rsid w:val="2DE005FD"/>
    <w:rsid w:val="2E2B0870"/>
    <w:rsid w:val="2E3373F7"/>
    <w:rsid w:val="2E941248"/>
    <w:rsid w:val="2EF83B08"/>
    <w:rsid w:val="2F11293A"/>
    <w:rsid w:val="2FD62D7B"/>
    <w:rsid w:val="30AF47BE"/>
    <w:rsid w:val="312C0C19"/>
    <w:rsid w:val="31FB2585"/>
    <w:rsid w:val="31FC46D6"/>
    <w:rsid w:val="32035CA5"/>
    <w:rsid w:val="32611259"/>
    <w:rsid w:val="32BB09AE"/>
    <w:rsid w:val="33025101"/>
    <w:rsid w:val="33310D16"/>
    <w:rsid w:val="335A1B6A"/>
    <w:rsid w:val="341E421C"/>
    <w:rsid w:val="344B312D"/>
    <w:rsid w:val="354D2B98"/>
    <w:rsid w:val="35DA1332"/>
    <w:rsid w:val="367849E7"/>
    <w:rsid w:val="36801FE7"/>
    <w:rsid w:val="36D042B6"/>
    <w:rsid w:val="36DE3419"/>
    <w:rsid w:val="3790553E"/>
    <w:rsid w:val="38FB37B9"/>
    <w:rsid w:val="391A0258"/>
    <w:rsid w:val="39600B60"/>
    <w:rsid w:val="39A9484C"/>
    <w:rsid w:val="3A947518"/>
    <w:rsid w:val="3A9D4588"/>
    <w:rsid w:val="3B3F576D"/>
    <w:rsid w:val="3B623FBD"/>
    <w:rsid w:val="3C8E75DB"/>
    <w:rsid w:val="3C8F543B"/>
    <w:rsid w:val="3CA64418"/>
    <w:rsid w:val="3D6A37A2"/>
    <w:rsid w:val="3DE73618"/>
    <w:rsid w:val="3FA63DED"/>
    <w:rsid w:val="3FD04490"/>
    <w:rsid w:val="3FD66DCA"/>
    <w:rsid w:val="3FF1336B"/>
    <w:rsid w:val="400D1F7F"/>
    <w:rsid w:val="402D1C66"/>
    <w:rsid w:val="4050560C"/>
    <w:rsid w:val="418C42A2"/>
    <w:rsid w:val="41B853E2"/>
    <w:rsid w:val="41DC4636"/>
    <w:rsid w:val="42317580"/>
    <w:rsid w:val="42464D07"/>
    <w:rsid w:val="43152852"/>
    <w:rsid w:val="450B0DC6"/>
    <w:rsid w:val="4538072D"/>
    <w:rsid w:val="45621A22"/>
    <w:rsid w:val="46BA67F5"/>
    <w:rsid w:val="47DB7F3E"/>
    <w:rsid w:val="47DF0DE0"/>
    <w:rsid w:val="4819614F"/>
    <w:rsid w:val="4883264E"/>
    <w:rsid w:val="49264088"/>
    <w:rsid w:val="4987288D"/>
    <w:rsid w:val="49BB14BC"/>
    <w:rsid w:val="4A0D449E"/>
    <w:rsid w:val="4A911706"/>
    <w:rsid w:val="4B213989"/>
    <w:rsid w:val="4B296285"/>
    <w:rsid w:val="4B4F3FBE"/>
    <w:rsid w:val="4B972374"/>
    <w:rsid w:val="4BD5027C"/>
    <w:rsid w:val="4BE13C80"/>
    <w:rsid w:val="4D897A87"/>
    <w:rsid w:val="4DA1652A"/>
    <w:rsid w:val="4E95579B"/>
    <w:rsid w:val="4EC26398"/>
    <w:rsid w:val="4ED2644C"/>
    <w:rsid w:val="4F71132C"/>
    <w:rsid w:val="4F8365FE"/>
    <w:rsid w:val="4F9E719A"/>
    <w:rsid w:val="4FED2706"/>
    <w:rsid w:val="500257BA"/>
    <w:rsid w:val="502743C6"/>
    <w:rsid w:val="504F1017"/>
    <w:rsid w:val="50D947BD"/>
    <w:rsid w:val="52062BFE"/>
    <w:rsid w:val="52E64DD3"/>
    <w:rsid w:val="53262134"/>
    <w:rsid w:val="539A77BD"/>
    <w:rsid w:val="53D9269E"/>
    <w:rsid w:val="54AE1295"/>
    <w:rsid w:val="54BC3404"/>
    <w:rsid w:val="54C16B96"/>
    <w:rsid w:val="54CF255F"/>
    <w:rsid w:val="551203B5"/>
    <w:rsid w:val="554A65B9"/>
    <w:rsid w:val="55BF14A4"/>
    <w:rsid w:val="55F63A55"/>
    <w:rsid w:val="56A32DBF"/>
    <w:rsid w:val="5725766D"/>
    <w:rsid w:val="577C3DE5"/>
    <w:rsid w:val="591E43ED"/>
    <w:rsid w:val="5A28135D"/>
    <w:rsid w:val="5BD87666"/>
    <w:rsid w:val="5C2A5F05"/>
    <w:rsid w:val="5C5D42DB"/>
    <w:rsid w:val="5CC8090D"/>
    <w:rsid w:val="5D203BC0"/>
    <w:rsid w:val="5D7C09B1"/>
    <w:rsid w:val="5DD65EF0"/>
    <w:rsid w:val="5E385812"/>
    <w:rsid w:val="5E3A1ABF"/>
    <w:rsid w:val="5EAA0990"/>
    <w:rsid w:val="5F79089F"/>
    <w:rsid w:val="5FAD6E6F"/>
    <w:rsid w:val="5FC02849"/>
    <w:rsid w:val="5FD222A4"/>
    <w:rsid w:val="5FF4603E"/>
    <w:rsid w:val="6091304A"/>
    <w:rsid w:val="60AF1549"/>
    <w:rsid w:val="60C942A6"/>
    <w:rsid w:val="6161242D"/>
    <w:rsid w:val="618B1287"/>
    <w:rsid w:val="61B43F4D"/>
    <w:rsid w:val="61E46E4D"/>
    <w:rsid w:val="620B7E93"/>
    <w:rsid w:val="623430C9"/>
    <w:rsid w:val="63D16CB7"/>
    <w:rsid w:val="6420385A"/>
    <w:rsid w:val="644B27DB"/>
    <w:rsid w:val="65040235"/>
    <w:rsid w:val="65571676"/>
    <w:rsid w:val="66A972C7"/>
    <w:rsid w:val="67913250"/>
    <w:rsid w:val="679A02AB"/>
    <w:rsid w:val="679C6F15"/>
    <w:rsid w:val="67C6477D"/>
    <w:rsid w:val="68696D44"/>
    <w:rsid w:val="688F305E"/>
    <w:rsid w:val="69150B92"/>
    <w:rsid w:val="699E388C"/>
    <w:rsid w:val="6B465BBC"/>
    <w:rsid w:val="6B6B6391"/>
    <w:rsid w:val="6BA022D7"/>
    <w:rsid w:val="6BC55678"/>
    <w:rsid w:val="6BD81D37"/>
    <w:rsid w:val="6C040984"/>
    <w:rsid w:val="6C0D4189"/>
    <w:rsid w:val="6C563255"/>
    <w:rsid w:val="6CA93555"/>
    <w:rsid w:val="6CFA0A01"/>
    <w:rsid w:val="6D476BF9"/>
    <w:rsid w:val="6E334415"/>
    <w:rsid w:val="6E3F3F80"/>
    <w:rsid w:val="6E425627"/>
    <w:rsid w:val="6E8367C4"/>
    <w:rsid w:val="6F0725BA"/>
    <w:rsid w:val="701B62AD"/>
    <w:rsid w:val="70666EEE"/>
    <w:rsid w:val="70D252DD"/>
    <w:rsid w:val="70E749B3"/>
    <w:rsid w:val="71261C81"/>
    <w:rsid w:val="714027A8"/>
    <w:rsid w:val="719279F1"/>
    <w:rsid w:val="74120FF8"/>
    <w:rsid w:val="742831A1"/>
    <w:rsid w:val="743D509F"/>
    <w:rsid w:val="75567BC3"/>
    <w:rsid w:val="75E67674"/>
    <w:rsid w:val="771C2ECB"/>
    <w:rsid w:val="77580B48"/>
    <w:rsid w:val="77C25D33"/>
    <w:rsid w:val="78600FA2"/>
    <w:rsid w:val="79027B03"/>
    <w:rsid w:val="79A66CA3"/>
    <w:rsid w:val="7B0E64F7"/>
    <w:rsid w:val="7B711669"/>
    <w:rsid w:val="7B9A75B2"/>
    <w:rsid w:val="7BB05313"/>
    <w:rsid w:val="7BCD2267"/>
    <w:rsid w:val="7BF60716"/>
    <w:rsid w:val="7C8C70DD"/>
    <w:rsid w:val="7CCB4A80"/>
    <w:rsid w:val="7DC74AB5"/>
    <w:rsid w:val="7EB6155F"/>
    <w:rsid w:val="7FC624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paragraph" w:styleId="4">
    <w:name w:val="heading 1"/>
    <w:basedOn w:val="5"/>
    <w:next w:val="1"/>
    <w:qFormat/>
    <w:uiPriority w:val="99"/>
    <w:pPr>
      <w:keepNext/>
      <w:keepLines/>
      <w:spacing w:before="340" w:after="330" w:line="578" w:lineRule="auto"/>
    </w:pPr>
    <w:rPr>
      <w:rFonts w:ascii="Times New Roman" w:hAnsi="Times New Roman" w:cs="Times New Roman"/>
      <w:kern w:val="44"/>
      <w:sz w:val="44"/>
      <w:szCs w:val="44"/>
    </w:rPr>
  </w:style>
  <w:style w:type="character" w:default="1" w:styleId="10">
    <w:name w:val="Default Paragraph Font"/>
    <w:semiHidden/>
    <w:qForma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customStyle="1" w:styleId="2">
    <w:name w:val="BodyText1I2"/>
    <w:basedOn w:val="3"/>
    <w:next w:val="1"/>
    <w:qFormat/>
    <w:uiPriority w:val="0"/>
    <w:pPr>
      <w:ind w:firstLine="420"/>
    </w:pPr>
  </w:style>
  <w:style w:type="paragraph" w:customStyle="1" w:styleId="3">
    <w:name w:val="BodyTextIndent"/>
    <w:basedOn w:val="1"/>
    <w:qFormat/>
    <w:uiPriority w:val="0"/>
    <w:pPr>
      <w:ind w:left="420" w:leftChars="200"/>
    </w:pPr>
  </w:style>
  <w:style w:type="paragraph" w:styleId="5">
    <w:name w:val="Title"/>
    <w:basedOn w:val="1"/>
    <w:next w:val="1"/>
    <w:qFormat/>
    <w:uiPriority w:val="99"/>
    <w:pPr>
      <w:spacing w:before="240" w:after="60"/>
      <w:jc w:val="center"/>
      <w:outlineLvl w:val="0"/>
    </w:pPr>
    <w:rPr>
      <w:rFonts w:ascii="Arial" w:hAnsi="Arial" w:cs="Arial"/>
      <w:b/>
      <w:bCs/>
    </w:rPr>
  </w:style>
  <w:style w:type="paragraph" w:styleId="6">
    <w:name w:val="Normal Indent"/>
    <w:basedOn w:val="1"/>
    <w:unhideWhenUsed/>
    <w:qFormat/>
    <w:uiPriority w:val="99"/>
    <w:pPr>
      <w:snapToGrid w:val="0"/>
      <w:spacing w:line="300" w:lineRule="auto"/>
      <w:ind w:firstLine="556"/>
    </w:pPr>
    <w:rPr>
      <w:rFonts w:ascii="仿宋_GB2312" w:hAnsi="宋体" w:cs="宋体"/>
      <w:kern w:val="0"/>
      <w:szCs w:val="24"/>
    </w:rPr>
  </w:style>
  <w:style w:type="paragraph" w:styleId="7">
    <w:name w:val="Body Text"/>
    <w:basedOn w:val="1"/>
    <w:qFormat/>
    <w:uiPriority w:val="0"/>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11">
    <w:name w:val="Default"/>
    <w:basedOn w:val="1"/>
    <w:qFormat/>
    <w:uiPriority w:val="0"/>
    <w:pPr>
      <w:autoSpaceDE w:val="0"/>
      <w:autoSpaceDN w:val="0"/>
      <w:adjustRightInd w:val="0"/>
      <w:jc w:val="left"/>
    </w:pPr>
    <w:rPr>
      <w:rFonts w:hint="eastAsia" w:ascii="宋体" w:hAnsi="Times New Roman" w:eastAsia="宋体" w:cs="Times New Roman"/>
      <w:color w:val="00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Pages>
  <Words>0</Words>
  <Characters>0</Characters>
  <Lines>0</Lines>
  <Paragraphs>0</Paragraphs>
  <TotalTime>33</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kdadmin</cp:lastModifiedBy>
  <cp:lastPrinted>2023-05-26T07:58:00Z</cp:lastPrinted>
  <dcterms:modified xsi:type="dcterms:W3CDTF">2024-08-12T06:17:12Z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