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82604">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w:t>
      </w:r>
    </w:p>
    <w:p w14:paraId="7D0046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五华区区级预算支出部门评价表</w:t>
      </w:r>
    </w:p>
    <w:p w14:paraId="2D7CB5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2023</w:t>
      </w:r>
      <w:r>
        <w:rPr>
          <w:rFonts w:hint="eastAsia" w:ascii="方正小标宋简体" w:hAnsi="黑体" w:eastAsia="方正小标宋简体" w:cs="Times New Roman"/>
          <w:color w:val="000000"/>
          <w:sz w:val="32"/>
          <w:szCs w:val="32"/>
          <w:lang w:eastAsia="zh-CN"/>
        </w:rPr>
        <w:t>）年度</w:t>
      </w:r>
    </w:p>
    <w:tbl>
      <w:tblPr>
        <w:tblStyle w:val="7"/>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7966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7CB4408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7719ED2B">
            <w:pPr>
              <w:keepNext w:val="0"/>
              <w:keepLines w:val="0"/>
              <w:pageBreakBefore w:val="0"/>
              <w:widowControl w:val="0"/>
              <w:tabs>
                <w:tab w:val="left" w:pos="1281"/>
              </w:tabs>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lang w:eastAsia="zh-CN"/>
              </w:rPr>
            </w:pPr>
            <w:r>
              <w:rPr>
                <w:rFonts w:hint="eastAsia" w:ascii="宋体" w:hAnsi="宋体"/>
                <w:sz w:val="18"/>
                <w:szCs w:val="18"/>
                <w:lang w:eastAsia="zh-CN"/>
              </w:rPr>
              <w:tab/>
            </w:r>
            <w:r>
              <w:rPr>
                <w:rFonts w:hint="eastAsia" w:ascii="宋体" w:hAnsi="宋体"/>
                <w:sz w:val="18"/>
                <w:szCs w:val="18"/>
                <w:lang w:eastAsia="zh-CN"/>
              </w:rPr>
              <w:t>2023年科普专项省对下转移支付农函大培训经费</w:t>
            </w:r>
          </w:p>
        </w:tc>
      </w:tr>
      <w:tr w14:paraId="2311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7BEFEFA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614945D8">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五华区科学技术协会</w:t>
            </w:r>
          </w:p>
        </w:tc>
        <w:tc>
          <w:tcPr>
            <w:tcW w:w="2069" w:type="dxa"/>
            <w:gridSpan w:val="3"/>
            <w:noWrap w:val="0"/>
            <w:vAlign w:val="center"/>
          </w:tcPr>
          <w:p w14:paraId="1391942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2EF958E0">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五华区科学技术协会</w:t>
            </w:r>
          </w:p>
        </w:tc>
      </w:tr>
      <w:tr w14:paraId="02F0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17E7A03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56074BF5">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李志坚</w:t>
            </w:r>
          </w:p>
        </w:tc>
        <w:tc>
          <w:tcPr>
            <w:tcW w:w="2069" w:type="dxa"/>
            <w:gridSpan w:val="3"/>
            <w:noWrap w:val="0"/>
            <w:vAlign w:val="center"/>
          </w:tcPr>
          <w:p w14:paraId="71DE6A2D">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32C3DF4C">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63625644</w:t>
            </w:r>
          </w:p>
        </w:tc>
      </w:tr>
      <w:tr w14:paraId="7B72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3089C008">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480852B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经常性项目（</w:t>
            </w:r>
            <w:r>
              <w:rPr>
                <w:rFonts w:hint="default" w:ascii="Arial" w:hAnsi="Arial" w:eastAsia="宋体" w:cs="Arial"/>
                <w:sz w:val="18"/>
                <w:szCs w:val="18"/>
              </w:rPr>
              <w:t>√</w:t>
            </w:r>
            <w:r>
              <w:rPr>
                <w:rFonts w:hint="eastAsia" w:ascii="宋体" w:hAnsi="宋体" w:eastAsia="宋体"/>
                <w:sz w:val="18"/>
                <w:szCs w:val="18"/>
              </w:rPr>
              <w:t xml:space="preserve"> ）       一次性项目（  ）</w:t>
            </w:r>
          </w:p>
        </w:tc>
      </w:tr>
      <w:tr w14:paraId="73D8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7639CB2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6C61EFA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070DB10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3802AA4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5E4F3DD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505F27A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09D7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E8A7B8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493EAC4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农函大培训经费</w:t>
            </w:r>
          </w:p>
        </w:tc>
        <w:tc>
          <w:tcPr>
            <w:tcW w:w="1614" w:type="dxa"/>
            <w:gridSpan w:val="3"/>
            <w:noWrap w:val="0"/>
            <w:vAlign w:val="center"/>
          </w:tcPr>
          <w:p w14:paraId="2D3DC7C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3.50</w:t>
            </w:r>
          </w:p>
        </w:tc>
        <w:tc>
          <w:tcPr>
            <w:tcW w:w="1523" w:type="dxa"/>
            <w:gridSpan w:val="2"/>
            <w:noWrap w:val="0"/>
            <w:vAlign w:val="center"/>
          </w:tcPr>
          <w:p w14:paraId="31DF013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3.50</w:t>
            </w:r>
          </w:p>
        </w:tc>
        <w:tc>
          <w:tcPr>
            <w:tcW w:w="1334" w:type="dxa"/>
            <w:noWrap w:val="0"/>
            <w:vAlign w:val="center"/>
          </w:tcPr>
          <w:p w14:paraId="324CE21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3.50</w:t>
            </w:r>
          </w:p>
        </w:tc>
        <w:tc>
          <w:tcPr>
            <w:tcW w:w="790" w:type="dxa"/>
            <w:noWrap w:val="0"/>
            <w:vAlign w:val="center"/>
          </w:tcPr>
          <w:p w14:paraId="7CE1DD1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100%</w:t>
            </w:r>
          </w:p>
        </w:tc>
      </w:tr>
      <w:tr w14:paraId="3B6A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70BA5AF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6AE0983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6F212D7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002495A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449C6EB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421BF96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5F9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13AD27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49DF868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0362F8E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6C9BE21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4F9BDD4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7461FB8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02A2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6E22C98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348686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095D975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6A5B96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19FC1BB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4A3D5F9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056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06348F3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236DA44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6CB193C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44B0BC8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1B562C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6BAE701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2832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8E293D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noWrap w:val="0"/>
            <w:vAlign w:val="center"/>
          </w:tcPr>
          <w:p w14:paraId="051D5F2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b/>
                <w:bCs/>
                <w:sz w:val="18"/>
                <w:szCs w:val="18"/>
                <w:lang w:val="en-US" w:eastAsia="zh-CN"/>
              </w:rPr>
              <w:t>3.50</w:t>
            </w:r>
          </w:p>
        </w:tc>
        <w:tc>
          <w:tcPr>
            <w:tcW w:w="1523" w:type="dxa"/>
            <w:gridSpan w:val="2"/>
            <w:noWrap w:val="0"/>
            <w:vAlign w:val="center"/>
          </w:tcPr>
          <w:p w14:paraId="24AAC5A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b/>
                <w:bCs/>
                <w:sz w:val="18"/>
                <w:szCs w:val="18"/>
                <w:lang w:val="en-US" w:eastAsia="zh-CN"/>
              </w:rPr>
              <w:t>3.50</w:t>
            </w:r>
          </w:p>
        </w:tc>
        <w:tc>
          <w:tcPr>
            <w:tcW w:w="1334" w:type="dxa"/>
            <w:noWrap w:val="0"/>
            <w:vAlign w:val="center"/>
          </w:tcPr>
          <w:p w14:paraId="1211FDA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b/>
                <w:bCs/>
                <w:sz w:val="18"/>
                <w:szCs w:val="18"/>
                <w:lang w:val="en-US" w:eastAsia="zh-CN"/>
              </w:rPr>
              <w:t>3.50</w:t>
            </w:r>
          </w:p>
        </w:tc>
        <w:tc>
          <w:tcPr>
            <w:tcW w:w="790" w:type="dxa"/>
            <w:noWrap w:val="0"/>
            <w:vAlign w:val="center"/>
          </w:tcPr>
          <w:p w14:paraId="5C9BC71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b/>
                <w:bCs/>
                <w:sz w:val="18"/>
                <w:szCs w:val="18"/>
                <w:lang w:val="en-US" w:eastAsia="zh-CN"/>
              </w:rPr>
            </w:pPr>
            <w:r>
              <w:rPr>
                <w:rFonts w:hint="eastAsia" w:ascii="宋体" w:hAnsi="宋体"/>
                <w:b/>
                <w:bCs/>
                <w:sz w:val="18"/>
                <w:szCs w:val="18"/>
                <w:lang w:val="en-US" w:eastAsia="zh-CN"/>
              </w:rPr>
              <w:t>100%</w:t>
            </w:r>
          </w:p>
        </w:tc>
      </w:tr>
      <w:tr w14:paraId="2630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B851C9D">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21B32924">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467CFFC6">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1B1AF3AC">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55CDE51">
            <w:pPr>
              <w:spacing w:line="300" w:lineRule="exact"/>
              <w:ind w:left="0" w:leftChars="0" w:right="0" w:rightChars="0" w:firstLine="0" w:firstLineChars="0"/>
              <w:jc w:val="center"/>
              <w:rPr>
                <w:rFonts w:hint="eastAsia" w:ascii="宋体" w:hAnsi="宋体" w:eastAsia="宋体"/>
                <w:sz w:val="18"/>
                <w:szCs w:val="18"/>
              </w:rPr>
            </w:pPr>
          </w:p>
        </w:tc>
      </w:tr>
      <w:tr w14:paraId="4A7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5E2756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2E1CC07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3.50</w:t>
            </w:r>
            <w:r>
              <w:rPr>
                <w:rFonts w:hint="eastAsia" w:ascii="宋体" w:hAnsi="宋体" w:eastAsia="宋体"/>
                <w:sz w:val="18"/>
                <w:szCs w:val="18"/>
                <w:lang w:val="en-US" w:eastAsia="zh-CN"/>
              </w:rPr>
              <w:t xml:space="preserve">   </w:t>
            </w:r>
          </w:p>
        </w:tc>
        <w:tc>
          <w:tcPr>
            <w:tcW w:w="1523" w:type="dxa"/>
            <w:gridSpan w:val="2"/>
            <w:noWrap w:val="0"/>
            <w:vAlign w:val="center"/>
          </w:tcPr>
          <w:p w14:paraId="524E8424">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3.50</w:t>
            </w:r>
          </w:p>
        </w:tc>
        <w:tc>
          <w:tcPr>
            <w:tcW w:w="1334" w:type="dxa"/>
            <w:noWrap w:val="0"/>
            <w:vAlign w:val="center"/>
          </w:tcPr>
          <w:p w14:paraId="0940428E">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3.50</w:t>
            </w:r>
          </w:p>
        </w:tc>
        <w:tc>
          <w:tcPr>
            <w:tcW w:w="790" w:type="dxa"/>
            <w:noWrap w:val="0"/>
            <w:vAlign w:val="center"/>
          </w:tcPr>
          <w:p w14:paraId="7E277BBA">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100%</w:t>
            </w:r>
          </w:p>
        </w:tc>
      </w:tr>
      <w:tr w14:paraId="1512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0CE165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4E3E67B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6519522E">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799BF0C9">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43C3547D">
            <w:pPr>
              <w:spacing w:line="300" w:lineRule="exact"/>
              <w:ind w:left="0" w:leftChars="0" w:right="0" w:rightChars="0" w:firstLine="0" w:firstLineChars="0"/>
              <w:jc w:val="center"/>
              <w:rPr>
                <w:rFonts w:hint="eastAsia" w:ascii="宋体" w:hAnsi="宋体" w:eastAsia="宋体"/>
                <w:sz w:val="18"/>
                <w:szCs w:val="18"/>
              </w:rPr>
            </w:pPr>
          </w:p>
        </w:tc>
      </w:tr>
      <w:tr w14:paraId="1FAA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4201E79">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noWrap w:val="0"/>
            <w:vAlign w:val="center"/>
          </w:tcPr>
          <w:p w14:paraId="0ACC9CF3">
            <w:pPr>
              <w:spacing w:line="300" w:lineRule="exact"/>
              <w:ind w:left="0" w:leftChars="0" w:right="0" w:rightChars="0" w:firstLine="0" w:firstLineChars="0"/>
              <w:jc w:val="center"/>
              <w:rPr>
                <w:rFonts w:hint="eastAsia" w:ascii="宋体" w:hAnsi="宋体" w:eastAsia="宋体"/>
                <w:sz w:val="18"/>
                <w:szCs w:val="18"/>
                <w:lang w:val="en-US" w:eastAsia="zh-CN"/>
              </w:rPr>
            </w:pPr>
          </w:p>
        </w:tc>
        <w:tc>
          <w:tcPr>
            <w:tcW w:w="1523" w:type="dxa"/>
            <w:gridSpan w:val="2"/>
            <w:noWrap w:val="0"/>
            <w:vAlign w:val="center"/>
          </w:tcPr>
          <w:p w14:paraId="5C63C6F8">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10B5EC4">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F42319D">
            <w:pPr>
              <w:spacing w:line="300" w:lineRule="exact"/>
              <w:ind w:left="0" w:leftChars="0" w:right="0" w:rightChars="0" w:firstLine="0" w:firstLineChars="0"/>
              <w:jc w:val="center"/>
              <w:rPr>
                <w:rFonts w:hint="eastAsia" w:ascii="宋体" w:hAnsi="宋体" w:eastAsia="宋体"/>
                <w:sz w:val="18"/>
                <w:szCs w:val="18"/>
              </w:rPr>
            </w:pPr>
          </w:p>
        </w:tc>
      </w:tr>
      <w:tr w14:paraId="0C1A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47F7AB5E">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noWrap w:val="0"/>
            <w:vAlign w:val="center"/>
          </w:tcPr>
          <w:p w14:paraId="3BFB2BD1">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58ABD78B">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3FC8ABEF">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E63D880">
            <w:pPr>
              <w:spacing w:line="300" w:lineRule="exact"/>
              <w:ind w:left="0" w:leftChars="0" w:right="0" w:rightChars="0" w:firstLine="0" w:firstLineChars="0"/>
              <w:jc w:val="center"/>
              <w:rPr>
                <w:rFonts w:hint="eastAsia" w:ascii="宋体" w:hAnsi="宋体" w:eastAsia="宋体"/>
                <w:sz w:val="18"/>
                <w:szCs w:val="18"/>
              </w:rPr>
            </w:pPr>
          </w:p>
        </w:tc>
      </w:tr>
      <w:tr w14:paraId="2133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519EBBEF">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225B512F">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43D4F526">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3687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019" w:hRule="atLeast"/>
          <w:jc w:val="center"/>
        </w:trPr>
        <w:tc>
          <w:tcPr>
            <w:tcW w:w="1787" w:type="dxa"/>
            <w:gridSpan w:val="3"/>
            <w:vMerge w:val="continue"/>
            <w:noWrap w:val="0"/>
            <w:vAlign w:val="center"/>
          </w:tcPr>
          <w:p w14:paraId="40CF857C">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04665026">
            <w:pPr>
              <w:pStyle w:val="6"/>
              <w:snapToGrid/>
              <w:spacing w:after="120" w:line="240" w:lineRule="auto"/>
              <w:ind w:firstLine="0" w:firstLineChars="0"/>
              <w:jc w:val="both"/>
              <w:rPr>
                <w:rFonts w:hint="eastAsia" w:ascii="宋体" w:hAnsi="宋体" w:eastAsia="宋体"/>
                <w:sz w:val="18"/>
                <w:szCs w:val="18"/>
              </w:rPr>
            </w:pPr>
            <w:r>
              <w:rPr>
                <w:rFonts w:hint="eastAsia" w:ascii="宋体" w:hAnsi="宋体" w:eastAsia="宋体" w:cs="Times New Roman"/>
                <w:sz w:val="18"/>
                <w:szCs w:val="18"/>
              </w:rPr>
              <w:t>根据《云南省农村致富技术函授大学工作考核管理试行办法》（云农函大〔2013〕7号文件）、昆明市科学技术协会《关于印发&lt;2014年昆明市农函大工作考核管理办法&gt;的通知》（昆科协通〔2014〕18号）和昆明市科学技术协会《关于印发&lt;昆明市农函大办学补助经费管理办法&gt;的通知》（昆科协党字〔2022〕23号）的规定，按照2022年各地完成农函大培训任务进行核算，补助五华区农函大培训经费。</w:t>
            </w:r>
          </w:p>
        </w:tc>
        <w:tc>
          <w:tcPr>
            <w:tcW w:w="3647" w:type="dxa"/>
            <w:gridSpan w:val="4"/>
            <w:noWrap w:val="0"/>
            <w:vAlign w:val="center"/>
          </w:tcPr>
          <w:p w14:paraId="259AFE2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2023年，共举办各种类农函大培训班 19个，开设农业技术和实用技术专业10个。培训总人数 1016人，其中省统办专业 539人，地方特色专业477人，圆满超额完成上级下达的招生任务。通过扎实的教学，严格的管理，不断提高办学质量，切实为推动乡村振兴建设工作服务。</w:t>
            </w:r>
          </w:p>
          <w:p w14:paraId="5C9D4CAC">
            <w:pPr>
              <w:pStyle w:val="6"/>
              <w:rPr>
                <w:rFonts w:hint="eastAsia" w:ascii="宋体" w:hAnsi="宋体" w:eastAsia="宋体"/>
                <w:sz w:val="18"/>
                <w:szCs w:val="18"/>
              </w:rPr>
            </w:pPr>
          </w:p>
          <w:p w14:paraId="6C0465B9">
            <w:pPr>
              <w:pStyle w:val="6"/>
              <w:rPr>
                <w:rFonts w:hint="eastAsia" w:ascii="宋体" w:hAnsi="宋体" w:eastAsia="宋体"/>
                <w:sz w:val="18"/>
                <w:szCs w:val="18"/>
              </w:rPr>
            </w:pPr>
          </w:p>
          <w:p w14:paraId="6A118D4D">
            <w:pPr>
              <w:pStyle w:val="6"/>
              <w:rPr>
                <w:rFonts w:hint="eastAsia" w:ascii="宋体" w:hAnsi="宋体" w:eastAsia="宋体"/>
                <w:sz w:val="18"/>
                <w:szCs w:val="18"/>
              </w:rPr>
            </w:pPr>
          </w:p>
          <w:p w14:paraId="34CDAF01">
            <w:pPr>
              <w:pStyle w:val="6"/>
              <w:rPr>
                <w:rFonts w:hint="eastAsia" w:ascii="宋体" w:hAnsi="宋体" w:eastAsia="宋体"/>
                <w:sz w:val="18"/>
                <w:szCs w:val="18"/>
              </w:rPr>
            </w:pPr>
          </w:p>
        </w:tc>
      </w:tr>
      <w:tr w14:paraId="0E5A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6EC6A073">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绩效评价指标评分（参考）</w:t>
            </w:r>
          </w:p>
        </w:tc>
      </w:tr>
      <w:tr w14:paraId="5FCF6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370E97C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5F64CCE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E156D1D">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B87473D">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70EFE1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8AC053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5C39EC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6397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D4541C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6D7D3D6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4C2B89F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739E539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625F9C1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FF7972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8D9915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85BAE6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1F3B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0D43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C765D8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0AE0577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10922E7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A1BAC1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B6428F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A5A4D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02D4A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7C0CA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0EAF076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6D4711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7235460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F7A124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597FC7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17F53D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057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287B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0BCB674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AF316B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636BBF3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87246C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400CA9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83C251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CA7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5872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77163BE4">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E539F2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03DE8">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13E2EB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62161A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34BBE0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30335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1044AC5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0E1E82AE">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84F4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1C01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553930D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BD7F35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2AC765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5A72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68E68B1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4DB286C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4AC1773">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978937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1A224A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3A0268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E464E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F24D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F8505">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05C33172">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06F17">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9A32B">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1E47F5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65C59E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86D769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40A4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0AD9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705B58F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21F1CF1">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709F1C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2BDEDD3">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34BDEA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F86519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14:paraId="1326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3FDFD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00765EDE">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225EF2D3">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6676A214">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6C05D9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CF29E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EBEC8C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2B82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9ABC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08215B41">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52A589A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7D1EBBB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776179E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111757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712C5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F8C0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6962AD9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B99FD3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D29AC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4CD2A6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2094E27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培训新型农民</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321F18F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95DD1B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15</w:t>
            </w:r>
          </w:p>
        </w:tc>
      </w:tr>
      <w:tr w14:paraId="2EC3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7E3D6C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06DB35D">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557165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16AD7C8F">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8B7C54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农函大培训出勤率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5CA0702F">
            <w:pPr>
              <w:tabs>
                <w:tab w:val="left" w:pos="410"/>
              </w:tabs>
              <w:autoSpaceDN w:val="0"/>
              <w:spacing w:line="300" w:lineRule="exact"/>
              <w:ind w:left="0" w:leftChars="0" w:right="0" w:rightChars="0" w:firstLine="0" w:firstLineChars="0"/>
              <w:jc w:val="left"/>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eastAsia="zh-CN"/>
              </w:rPr>
              <w:tab/>
            </w:r>
            <w:r>
              <w:rPr>
                <w:rFonts w:hint="eastAsia" w:ascii="宋体" w:hAnsi="宋体"/>
                <w:color w:val="000000"/>
                <w:sz w:val="18"/>
                <w:szCs w:val="18"/>
                <w:lang w:val="en-US" w:eastAsia="zh-CN"/>
              </w:rPr>
              <w:t>15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333897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15</w:t>
            </w:r>
          </w:p>
        </w:tc>
      </w:tr>
      <w:tr w14:paraId="4831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930697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E45FD81">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69766A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06D0DDE2">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4278BF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经济成本指标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2D73894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7C08F9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1DC8E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19B938B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186F02">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8A958CD">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6745F4BB">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66DF41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科普工作覆盖率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6913503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0114A4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1DA7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0A85CEB5">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70BF37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360A011">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4F7509C">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auto" w:sz="4" w:space="0"/>
              <w:left w:val="single" w:color="000000" w:sz="4" w:space="0"/>
              <w:bottom w:val="single" w:color="000000" w:sz="4" w:space="0"/>
              <w:right w:val="single" w:color="000000" w:sz="4" w:space="0"/>
            </w:tcBorders>
            <w:noWrap w:val="0"/>
            <w:vAlign w:val="center"/>
          </w:tcPr>
          <w:p w14:paraId="5DCAC91F">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社会公众或服务对象满意度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F10CE0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BCD905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1722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11B1519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15795A5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A9E0CE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734AFD7">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551E9F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55AA5EA">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C88A58A">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100</w:t>
            </w:r>
          </w:p>
        </w:tc>
      </w:tr>
      <w:tr w14:paraId="3F2C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7F73B18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4429973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52"/>
            </w:r>
            <w:r>
              <w:rPr>
                <w:rFonts w:hint="eastAsia" w:ascii="宋体" w:hAnsi="宋体" w:eastAsia="宋体" w:cs="宋体"/>
                <w:color w:val="000000"/>
                <w:kern w:val="0"/>
                <w:sz w:val="18"/>
                <w:szCs w:val="18"/>
              </w:rPr>
              <w:t xml:space="preserve">        良□       中 □       差□</w:t>
            </w:r>
          </w:p>
        </w:tc>
      </w:tr>
      <w:tr w14:paraId="203D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3A51263B">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727F630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3107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413" w:type="dxa"/>
            <w:noWrap w:val="0"/>
            <w:vAlign w:val="center"/>
          </w:tcPr>
          <w:p w14:paraId="20E6362C">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34644155">
            <w:pPr>
              <w:pStyle w:val="6"/>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无</w:t>
            </w:r>
          </w:p>
        </w:tc>
      </w:tr>
      <w:tr w14:paraId="23BC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0CFF6FB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highlight w:val="none"/>
                <w:lang w:val="en-US" w:eastAsia="zh-CN"/>
              </w:rPr>
              <w:t>评价人员</w:t>
            </w:r>
          </w:p>
        </w:tc>
      </w:tr>
      <w:tr w14:paraId="6656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53A3C4C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236A9C7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5419369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7D0A516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0960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26109A8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王慧卿</w:t>
            </w:r>
          </w:p>
        </w:tc>
        <w:tc>
          <w:tcPr>
            <w:tcW w:w="2159" w:type="dxa"/>
            <w:gridSpan w:val="3"/>
            <w:noWrap w:val="0"/>
            <w:vAlign w:val="top"/>
          </w:tcPr>
          <w:p w14:paraId="0F536EF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党组书记、主席</w:t>
            </w:r>
          </w:p>
        </w:tc>
        <w:tc>
          <w:tcPr>
            <w:tcW w:w="2832" w:type="dxa"/>
            <w:gridSpan w:val="4"/>
            <w:noWrap w:val="0"/>
            <w:vAlign w:val="top"/>
          </w:tcPr>
          <w:p w14:paraId="393CF0A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五华区科协</w:t>
            </w:r>
          </w:p>
        </w:tc>
        <w:tc>
          <w:tcPr>
            <w:tcW w:w="2429" w:type="dxa"/>
            <w:gridSpan w:val="3"/>
            <w:noWrap w:val="0"/>
            <w:vAlign w:val="top"/>
          </w:tcPr>
          <w:p w14:paraId="58FCA5A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66F2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3C632DE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罗凤莲</w:t>
            </w:r>
          </w:p>
        </w:tc>
        <w:tc>
          <w:tcPr>
            <w:tcW w:w="2159" w:type="dxa"/>
            <w:gridSpan w:val="3"/>
            <w:noWrap w:val="0"/>
            <w:vAlign w:val="top"/>
          </w:tcPr>
          <w:p w14:paraId="3371D73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党组成员、副主席</w:t>
            </w:r>
          </w:p>
        </w:tc>
        <w:tc>
          <w:tcPr>
            <w:tcW w:w="2832" w:type="dxa"/>
            <w:gridSpan w:val="4"/>
            <w:noWrap w:val="0"/>
            <w:vAlign w:val="top"/>
          </w:tcPr>
          <w:p w14:paraId="6E981E5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五华区科协</w:t>
            </w:r>
          </w:p>
        </w:tc>
        <w:tc>
          <w:tcPr>
            <w:tcW w:w="2429" w:type="dxa"/>
            <w:gridSpan w:val="3"/>
            <w:noWrap w:val="0"/>
            <w:vAlign w:val="top"/>
          </w:tcPr>
          <w:p w14:paraId="40C6880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E1B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42968B7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李志坚</w:t>
            </w:r>
          </w:p>
        </w:tc>
        <w:tc>
          <w:tcPr>
            <w:tcW w:w="2159" w:type="dxa"/>
            <w:gridSpan w:val="3"/>
            <w:noWrap w:val="0"/>
            <w:vAlign w:val="top"/>
          </w:tcPr>
          <w:p w14:paraId="2D40DE75">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工作人员</w:t>
            </w:r>
          </w:p>
        </w:tc>
        <w:tc>
          <w:tcPr>
            <w:tcW w:w="2832" w:type="dxa"/>
            <w:gridSpan w:val="4"/>
            <w:noWrap w:val="0"/>
            <w:vAlign w:val="top"/>
          </w:tcPr>
          <w:p w14:paraId="79974C9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五华区科协</w:t>
            </w:r>
          </w:p>
        </w:tc>
        <w:tc>
          <w:tcPr>
            <w:tcW w:w="2429" w:type="dxa"/>
            <w:gridSpan w:val="3"/>
            <w:noWrap w:val="0"/>
            <w:vAlign w:val="top"/>
          </w:tcPr>
          <w:p w14:paraId="1D33631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69DE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7E18B93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531C692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5C72F91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533F42D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19A8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0A24BC18">
            <w:pPr>
              <w:spacing w:line="400" w:lineRule="exact"/>
            </w:pPr>
            <w:r>
              <w:rPr>
                <w:rFonts w:hint="eastAsia"/>
              </w:rPr>
              <w:t xml:space="preserve">填报人（签字）：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日                                        </w:t>
            </w:r>
          </w:p>
          <w:p w14:paraId="4ACB79AE">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评价组组长（签字）：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 xml:space="preserve">年   </w:t>
            </w:r>
            <w:r>
              <w:rPr>
                <w:rFonts w:hint="eastAsia" w:ascii="Times New Roman" w:hAnsi="Times New Roman" w:cs="Times New Roman"/>
                <w:lang w:val="en-US" w:eastAsia="zh-CN"/>
              </w:rPr>
              <w:t xml:space="preserve"> </w:t>
            </w:r>
            <w:r>
              <w:rPr>
                <w:rFonts w:hint="eastAsia" w:ascii="Times New Roman" w:hAnsi="Times New Roman" w:eastAsia="宋体" w:cs="Times New Roman"/>
              </w:rPr>
              <w:t xml:space="preserve">月   </w:t>
            </w:r>
            <w:r>
              <w:rPr>
                <w:rFonts w:hint="eastAsia" w:ascii="Times New Roman" w:hAnsi="Times New Roman" w:cs="Times New Roman"/>
                <w:lang w:val="en-US" w:eastAsia="zh-CN"/>
              </w:rPr>
              <w:t xml:space="preserve"> </w:t>
            </w:r>
            <w:r>
              <w:rPr>
                <w:rFonts w:hint="eastAsia" w:ascii="Times New Roman" w:hAnsi="Times New Roman" w:eastAsia="宋体" w:cs="Times New Roman"/>
              </w:rPr>
              <w:t>日</w:t>
            </w:r>
          </w:p>
          <w:p w14:paraId="659416F7">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 xml:space="preserve">价部门负责人（签字并盖章）：                        年  </w:t>
            </w:r>
            <w:r>
              <w:rPr>
                <w:rFonts w:hint="eastAsia" w:ascii="Times New Roman" w:hAnsi="Times New Roman" w:cs="Times New Roman"/>
                <w:lang w:val="en-US" w:eastAsia="zh-CN"/>
              </w:rPr>
              <w:t xml:space="preserve"> </w:t>
            </w:r>
            <w:r>
              <w:rPr>
                <w:rFonts w:hint="eastAsia" w:ascii="Times New Roman" w:hAnsi="Times New Roman" w:eastAsia="宋体" w:cs="Times New Roman"/>
                <w:lang w:val="en-US" w:eastAsia="zh-CN"/>
              </w:rPr>
              <w:t xml:space="preserve"> 月  </w:t>
            </w:r>
            <w:r>
              <w:rPr>
                <w:rFonts w:hint="eastAsia" w:ascii="Times New Roman" w:hAnsi="Times New Roman" w:cs="Times New Roman"/>
                <w:lang w:val="en-US" w:eastAsia="zh-CN"/>
              </w:rPr>
              <w:t xml:space="preserve"> </w:t>
            </w:r>
            <w:r>
              <w:rPr>
                <w:rFonts w:hint="eastAsia" w:ascii="Times New Roman" w:hAnsi="Times New Roman" w:eastAsia="宋体" w:cs="Times New Roman"/>
                <w:lang w:val="en-US" w:eastAsia="zh-CN"/>
              </w:rPr>
              <w:t xml:space="preserve"> 日</w:t>
            </w:r>
          </w:p>
        </w:tc>
      </w:tr>
    </w:tbl>
    <w:p w14:paraId="2EEF8AE3">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53368FF6">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p>
    <w:p w14:paraId="1F60E4FC">
      <w:pPr>
        <w:pStyle w:val="6"/>
        <w:rPr>
          <w:rFonts w:hint="eastAsia"/>
          <w:lang w:val="en-US" w:eastAsia="zh-CN"/>
        </w:rPr>
      </w:pPr>
    </w:p>
    <w:p w14:paraId="1453C8F3">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66734CFE">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607A3DE7">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520DAF2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667D5CC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（一）项目概况。包括项目背景、主要内容及实施情况、资金投入和使用情况等。</w:t>
      </w:r>
    </w:p>
    <w:p w14:paraId="2420460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1.项目背景：</w:t>
      </w:r>
    </w:p>
    <w:p w14:paraId="43A055D1">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3</w:t>
      </w:r>
      <w:r>
        <w:rPr>
          <w:rFonts w:hint="eastAsia" w:ascii="仿宋_GB2312" w:hAnsi="宋体" w:eastAsia="仿宋_GB2312"/>
          <w:sz w:val="32"/>
          <w:szCs w:val="32"/>
        </w:rPr>
        <w:t>年，昆明市农函大五华区分校在省市科协、省市农函大的指导下，在区委、区政府的关心重视和支持下，紧紧围绕党委和政府的中心工作，坚持为“三农”服务的办学宗旨和“实际、实效、实用”的培训原则，以</w:t>
      </w:r>
      <w:r>
        <w:rPr>
          <w:rFonts w:hint="eastAsia" w:ascii="仿宋_GB2312" w:eastAsia="仿宋_GB2312"/>
          <w:sz w:val="32"/>
          <w:szCs w:val="32"/>
        </w:rPr>
        <w:t>进一步提高农村党员、干部和群众的科技文化素质，不断增强农村实用人才的学习能力、科技应用能力、创新能力与带动致富能力为目标。</w:t>
      </w:r>
    </w:p>
    <w:p w14:paraId="06B9EE18">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资金投入和使用情况：</w:t>
      </w:r>
    </w:p>
    <w:p w14:paraId="734DCBE0">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2023年科普专项省对下转移支付农涵大培训经费</w:t>
      </w:r>
      <w:r>
        <w:rPr>
          <w:rFonts w:hint="eastAsia" w:ascii="仿宋_GB2312" w:eastAsia="仿宋_GB2312"/>
          <w:sz w:val="32"/>
          <w:szCs w:val="32"/>
          <w:lang w:val="en-US" w:eastAsia="zh-CN"/>
        </w:rPr>
        <w:t>预算收入3.50万元，支出3.50万元，预算执行率100%。</w:t>
      </w:r>
    </w:p>
    <w:p w14:paraId="47793D5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（二）项目绩效目标。包括总体目标、阶段性目标。</w:t>
      </w:r>
    </w:p>
    <w:p w14:paraId="69A4123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总体目标</w:t>
      </w:r>
      <w:r>
        <w:rPr>
          <w:rFonts w:hint="eastAsia" w:ascii="仿宋_GB2312" w:hAnsi="仿宋_GB2312" w:eastAsia="仿宋_GB2312" w:cs="仿宋_GB2312"/>
          <w:color w:val="auto"/>
          <w:sz w:val="32"/>
          <w:szCs w:val="32"/>
          <w:lang w:eastAsia="zh-CN"/>
        </w:rPr>
        <w:t>：</w:t>
      </w:r>
    </w:p>
    <w:p w14:paraId="09B5EED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为深入学习贯彻党的二十大精神，推动科技助力乡村振兴战略的实施。进一步推动农函大工作稳步发展，提升全市农业科技骨干教师的素质水平，开展实用技术培训，培养新型农民，增强群众致富能力。</w:t>
      </w:r>
    </w:p>
    <w:p w14:paraId="7649E35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lang w:val="en-US" w:eastAsia="zh-CN"/>
        </w:rPr>
      </w:pPr>
      <w:r>
        <w:rPr>
          <w:rFonts w:hint="eastAsia" w:ascii="仿宋_GB2312" w:hAnsi="仿宋_GB2312" w:eastAsia="仿宋_GB2312" w:cs="仿宋_GB2312"/>
          <w:color w:val="auto"/>
          <w:sz w:val="32"/>
          <w:szCs w:val="32"/>
          <w:lang w:val="en-US" w:eastAsia="zh-CN"/>
        </w:rPr>
        <w:t>阶段性目标：做好农函大培训工作。</w:t>
      </w:r>
    </w:p>
    <w:p w14:paraId="66C7017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项目组织管理情况。包括项目相关方职责分工、管理流程、组织实施、制度建设情况等。</w:t>
      </w:r>
    </w:p>
    <w:p w14:paraId="7745D49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区委、区政府的统一领导下，采取部门联合办学的方式，由区科协具体主抓，农业局、科技局、办事处等各部门积极配合，协同作战，齐抓共管，各尽其力，充分发挥各单位的优势，整合资源，确保农函大培训工作顺利有序的开展。</w:t>
      </w:r>
    </w:p>
    <w:p w14:paraId="5E6D04BD">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组织实施：根据上级年度工作安排，制定辖区年度农函大教学计划。根据每年农民对培训的实际需求，确定年度农函大教育教学专业设置。购买培训服务。向省农村致富技术函授大学领取教育教学培训教材并交纳年度培训学员教材费。负责监督管理好农函大教育教学。负责汇总农函大各项报表，材料和工作总结计划，做好文档归档工作。做好每年度上级对农函大工作的量化考核迎考工作。</w:t>
      </w:r>
    </w:p>
    <w:p w14:paraId="3460EDF4">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制度建设：</w:t>
      </w:r>
      <w:r>
        <w:rPr>
          <w:rFonts w:hint="eastAsia" w:ascii="仿宋_GB2312" w:hAnsi="仿宋_GB2312" w:eastAsia="仿宋_GB2312" w:cs="仿宋_GB2312"/>
          <w:sz w:val="32"/>
          <w:szCs w:val="32"/>
        </w:rPr>
        <w:t>为加强项目资金的管理</w:t>
      </w:r>
      <w:r>
        <w:rPr>
          <w:rFonts w:hint="eastAsia" w:ascii="仿宋_GB2312" w:hAnsi="仿宋_GB2312" w:eastAsia="仿宋_GB2312" w:cs="仿宋_GB2312"/>
          <w:sz w:val="32"/>
          <w:szCs w:val="32"/>
          <w:lang w:eastAsia="zh-CN"/>
        </w:rPr>
        <w:t>，</w:t>
      </w:r>
      <w:r>
        <w:rPr>
          <w:rFonts w:hint="eastAsia" w:ascii="仿宋_GB2312" w:hAnsi="仿宋" w:eastAsia="仿宋_GB2312"/>
          <w:sz w:val="32"/>
          <w:szCs w:val="32"/>
          <w:lang w:val="en-US" w:eastAsia="zh-CN"/>
        </w:rPr>
        <w:t>遵照执行</w:t>
      </w:r>
      <w:r>
        <w:rPr>
          <w:rFonts w:hint="eastAsia" w:ascii="仿宋_GB2312" w:hAnsi="仿宋" w:eastAsia="仿宋_GB2312"/>
          <w:spacing w:val="20"/>
          <w:sz w:val="32"/>
          <w:szCs w:val="32"/>
        </w:rPr>
        <w:t>《云南省农村致富技术函授大学工作考核管理试行办法》（</w:t>
      </w:r>
      <w:r>
        <w:rPr>
          <w:rFonts w:hint="eastAsia" w:ascii="仿宋_GB2312" w:hAnsi="仿宋" w:eastAsia="仿宋_GB2312"/>
          <w:sz w:val="32"/>
          <w:szCs w:val="32"/>
        </w:rPr>
        <w:t>云农函大〔2013〕7号）</w:t>
      </w:r>
      <w:r>
        <w:rPr>
          <w:rFonts w:hint="eastAsia" w:ascii="仿宋_GB2312" w:hAnsi="仿宋" w:eastAsia="仿宋_GB2312"/>
          <w:sz w:val="32"/>
          <w:szCs w:val="32"/>
          <w:lang w:val="en-US" w:eastAsia="zh-CN"/>
        </w:rPr>
        <w:t>以及《五华区科学技术性协会财务管理制度》《五华区科协三重一大决策制度》等制度。</w:t>
      </w:r>
    </w:p>
    <w:p w14:paraId="467E4800">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040A656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14:paraId="62B13E0F">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绩效评价的目的：一是通过了解、计算、分析、衡量项目投入、过程、产出、效果涉及的各项指标，客观公正地反映项目财政支出资金实际使用和产生的绩效状况，为今后该项目实施方向及管理方式的改进提供指导，逐步树立以结果为导向、讲求绩效的理财观念；二是通过评价、总结项目实施的做法和经验、教训，提出改进措施和建设性意见，为进一步加强项目绩效管理提供决策参考及政策制定依据；三是培训绩效评价队伍，构建财政资金项目绩效考评机制。</w:t>
      </w:r>
    </w:p>
    <w:p w14:paraId="76F99A53">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2.评价的对象和范围：“2023年科普专项省对下转移支付农涵大培训经费”项目自评。</w:t>
      </w:r>
    </w:p>
    <w:p w14:paraId="7178E05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（二）绩效评价原则、依据、评价指标体系（附表说明）、评价方法、评价标准、评价抽样等。</w:t>
      </w:r>
    </w:p>
    <w:p w14:paraId="709CAE72">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与评价对象密切相关，全面反映项目决策、项目和资金管理、产出和效益;优先选取最具代表性、最能直接反映产出和效益的核心指标，精简实用;指标内涵应当明确、具体、可衡量、数据及佐证资料应当可采集，可获得同类项目绩效评价指标和标准应具有一致性，便于评价结果相互比较。</w:t>
      </w:r>
    </w:p>
    <w:p w14:paraId="1B2ABFA8">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绩效评价工作过程。</w:t>
      </w:r>
    </w:p>
    <w:p w14:paraId="245C8438">
      <w:pPr>
        <w:spacing w:line="560" w:lineRule="exact"/>
        <w:ind w:firstLine="640" w:firstLineChars="200"/>
        <w:rPr>
          <w:rFonts w:hint="eastAsia"/>
        </w:rPr>
      </w:pPr>
      <w:r>
        <w:rPr>
          <w:rFonts w:hint="eastAsia" w:ascii="仿宋_GB2312" w:hAnsi="仿宋_GB2312" w:eastAsia="仿宋_GB2312" w:cs="仿宋_GB2312"/>
          <w:sz w:val="32"/>
          <w:szCs w:val="32"/>
        </w:rPr>
        <w:t>确认当年度单位项目支出的绩效目标→梳理单位内部管理制度及存量资源→分析确定当年度单位项目支出的评价重点→构建绩效评价指标体系。</w:t>
      </w:r>
    </w:p>
    <w:p w14:paraId="082ABAD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14:paraId="4440DA2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14:paraId="15BCA5B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2023年科普专项省对下转移支付农涵大培训经费</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支出绩效目标明确，符合法律法规及经济社会发展规划的要求，经对绩效目标设定、资金管理、资产管理、财务管理、各项目产出、社会效益等方面进行了绩效评价。</w:t>
      </w:r>
    </w:p>
    <w:p w14:paraId="5CDCB05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评价综合得分为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分，评分等级为优，能准确反映出项目绩效支出。</w:t>
      </w:r>
    </w:p>
    <w:p w14:paraId="326A1B11">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（二）绩效目标实现情况等。</w:t>
      </w:r>
    </w:p>
    <w:p w14:paraId="38FA357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2023年，共举办各种类农函大培训班 19个，开设农业技术和实用技术专业10个。培训总人数 1016人，其中省统办专业 539人，地方特色专业477人，圆满超额完成上级下达的招生任务。通过扎实的教学，严格的管理，不断提高办学质量，切实为推动乡村振兴建设工作服务。</w:t>
      </w:r>
    </w:p>
    <w:p w14:paraId="0C16E39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5BC43E1C">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5DAFF639">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1.项目的立项依据充分:符合国家法律法规、国民经济发展规划，与部门职责范围相符，属于部门职责所需，属于财政支持的范围；</w:t>
      </w:r>
    </w:p>
    <w:p w14:paraId="2EE46AD5">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2.项目的立项程序规范:按照规定的程序申请设立，审批文件、材料符合相关要求；</w:t>
      </w:r>
    </w:p>
    <w:p w14:paraId="4173A909">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3.项目绩效目标合理：设定的绩效目标依据合理、充分，与实际工作内容具有相关性，预期产出的效益和效果符合正常的水平；</w:t>
      </w:r>
    </w:p>
    <w:p w14:paraId="4040714A">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4.项目绩效指标明确：项目设定的绩效指标明确，是清晰、细化的；</w:t>
      </w:r>
    </w:p>
    <w:p w14:paraId="0FDAB74F">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5.预算编制科学：预算编制有明确的标准，资金额度与年度目标相适应；</w:t>
      </w:r>
    </w:p>
    <w:p w14:paraId="12C38A0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6.资金分配合理：项目预算资金分配有测算依据，分配合理与项目单位相适应。</w:t>
      </w:r>
    </w:p>
    <w:p w14:paraId="2FCC5EDD">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项目过程情况分析。</w:t>
      </w:r>
    </w:p>
    <w:p w14:paraId="1489F15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1.资金到位率：资金到位率=（实际到位资金/预算资金）*100%=</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7328E17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2.预算执行率：预算执行率=（实际支出资金/年初预算资金）*100%=</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7084787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使用合规性：资金使用合规，符合国家财经法规，按照本单位财务管理制度进行开支，支付的资金有完整的审批程序和手续，符合项目预算批复或合同规定的用途，不存在截留、挤占、挪用、虚列支出等情况；</w:t>
      </w:r>
    </w:p>
    <w:p w14:paraId="4F6A0AE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4.管理制度健全性：管理制度健全、合法、合规、完整，能保障项目顺利实施；</w:t>
      </w:r>
    </w:p>
    <w:p w14:paraId="1E0FC4D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5.制度执行有效性：遵守相关法律法规和相关管理规定，项目支出手续完整，项目支出的项目附件资料齐全并及时归档。</w:t>
      </w:r>
    </w:p>
    <w:p w14:paraId="472D2BEF">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（三）项目产出情况分析。</w:t>
      </w:r>
    </w:p>
    <w:p w14:paraId="6CD330F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共举办各种类农函大培训班 19个，开设农业技术和实用技术专业10个。培训总人数 1016人，其中省统办专业 539人，地方特色专业477人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培训出勤率大于80%。</w:t>
      </w:r>
    </w:p>
    <w:p w14:paraId="0EB5979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14:paraId="4E61267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结合我区农业、农村和农民的实际现状，充分发挥区、办事处、社区、小组四级农函大阵地的作用，通过农函大培训，不仅提高了广大农民的综合素质，同时促进我区农民较好地运用农业实用技术，提高了农业增效、农民增收的实际效果。 </w:t>
      </w:r>
    </w:p>
    <w:p w14:paraId="64AF943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3ACAF9E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14:paraId="3484A9FA">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14:paraId="31335FBC">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7CE70394">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14:paraId="6B49278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513A2B5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7BE7343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无</w:t>
      </w:r>
    </w:p>
    <w:p w14:paraId="13398F91">
      <w:pPr>
        <w:keepNext w:val="0"/>
        <w:keepLines w:val="0"/>
        <w:pageBreakBefore w:val="0"/>
        <w:widowControl/>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sz w:val="30"/>
          <w:szCs w:val="30"/>
        </w:rPr>
      </w:pPr>
    </w:p>
    <w:p w14:paraId="26C2ABF7">
      <w:pPr>
        <w:pStyle w:val="6"/>
        <w:rPr>
          <w:rFonts w:hint="eastAsia"/>
          <w:lang w:eastAsia="zh-CN"/>
        </w:rPr>
      </w:pPr>
    </w:p>
    <w:p w14:paraId="6F45CEC9">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3：</w:t>
      </w:r>
    </w:p>
    <w:p w14:paraId="507BE0B7">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p>
    <w:p w14:paraId="633B27BD">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五华区</w:t>
      </w:r>
      <w:r>
        <w:rPr>
          <w:rFonts w:hint="eastAsia" w:ascii="方正小标宋简体" w:hAnsi="方正小标宋简体" w:eastAsia="方正小标宋简体" w:cs="方正小标宋简体"/>
          <w:color w:val="auto"/>
          <w:sz w:val="44"/>
          <w:szCs w:val="44"/>
          <w:lang w:val="en-US" w:eastAsia="zh-CN"/>
        </w:rPr>
        <w:t>科学技术协会</w:t>
      </w:r>
      <w:r>
        <w:rPr>
          <w:rFonts w:hint="eastAsia" w:ascii="方正小标宋简体" w:hAnsi="方正小标宋简体" w:eastAsia="方正小标宋简体" w:cs="方正小标宋简体"/>
          <w:color w:val="auto"/>
          <w:sz w:val="44"/>
          <w:szCs w:val="44"/>
        </w:rPr>
        <w:t>2023年科普专项省对下转移支付农</w:t>
      </w:r>
      <w:r>
        <w:rPr>
          <w:rFonts w:hint="eastAsia" w:ascii="方正小标宋简体" w:hAnsi="方正小标宋简体" w:eastAsia="方正小标宋简体" w:cs="方正小标宋简体"/>
          <w:color w:val="auto"/>
          <w:sz w:val="44"/>
          <w:szCs w:val="44"/>
          <w:lang w:eastAsia="zh-CN"/>
        </w:rPr>
        <w:t>函</w:t>
      </w:r>
      <w:bookmarkStart w:id="0" w:name="_GoBack"/>
      <w:bookmarkEnd w:id="0"/>
      <w:r>
        <w:rPr>
          <w:rFonts w:hint="eastAsia" w:ascii="方正小标宋简体" w:hAnsi="方正小标宋简体" w:eastAsia="方正小标宋简体" w:cs="方正小标宋简体"/>
          <w:color w:val="auto"/>
          <w:sz w:val="44"/>
          <w:szCs w:val="44"/>
        </w:rPr>
        <w:t>大培训经费</w:t>
      </w:r>
      <w:r>
        <w:rPr>
          <w:rFonts w:hint="eastAsia" w:ascii="方正小标宋简体" w:hAnsi="方正小标宋简体" w:eastAsia="方正小标宋简体" w:cs="方正小标宋简体"/>
          <w:color w:val="auto"/>
          <w:sz w:val="44"/>
          <w:szCs w:val="44"/>
          <w:lang w:val="en-US" w:eastAsia="zh-CN"/>
        </w:rPr>
        <w:t>项目</w:t>
      </w:r>
    </w:p>
    <w:p w14:paraId="2C7EC8E5">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7"/>
        <w:tblpPr w:leftFromText="180" w:rightFromText="180" w:vertAnchor="text" w:horzAnchor="page" w:tblpXSpec="center" w:tblpY="269"/>
        <w:tblOverlap w:val="never"/>
        <w:tblW w:w="9118" w:type="dxa"/>
        <w:jc w:val="center"/>
        <w:tblLayout w:type="fixed"/>
        <w:tblCellMar>
          <w:top w:w="0" w:type="dxa"/>
          <w:left w:w="108" w:type="dxa"/>
          <w:bottom w:w="0" w:type="dxa"/>
          <w:right w:w="108" w:type="dxa"/>
        </w:tblCellMar>
      </w:tblPr>
      <w:tblGrid>
        <w:gridCol w:w="2594"/>
        <w:gridCol w:w="886"/>
        <w:gridCol w:w="2018"/>
        <w:gridCol w:w="3620"/>
      </w:tblGrid>
      <w:tr w14:paraId="2BC9CD11">
        <w:tblPrEx>
          <w:tblCellMar>
            <w:top w:w="0" w:type="dxa"/>
            <w:left w:w="108" w:type="dxa"/>
            <w:bottom w:w="0" w:type="dxa"/>
            <w:right w:w="108" w:type="dxa"/>
          </w:tblCellMar>
        </w:tblPrEx>
        <w:trPr>
          <w:trHeight w:val="589"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1CE3BDFF">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C4C5D45">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C6E1E6F">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8528F96">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1E46FB0F">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60363CC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项目立项存在的问题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E07F124">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8F13F66">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8FE8860">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14E0E4D">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27C3F">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C32B5D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5E7DC7F">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2589D83">
            <w:pPr>
              <w:spacing w:line="420" w:lineRule="exact"/>
              <w:rPr>
                <w:rFonts w:ascii="宋体" w:hAnsi="宋体" w:cs="宋体"/>
                <w:color w:val="000000"/>
                <w:sz w:val="22"/>
                <w:szCs w:val="22"/>
              </w:rPr>
            </w:pPr>
          </w:p>
        </w:tc>
      </w:tr>
      <w:tr w14:paraId="42865244">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AACD4">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76B174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DD1F2D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1BAD9B3">
            <w:pPr>
              <w:spacing w:line="420" w:lineRule="exact"/>
              <w:rPr>
                <w:rFonts w:ascii="宋体" w:hAnsi="宋体" w:cs="宋体"/>
                <w:color w:val="000000"/>
                <w:sz w:val="22"/>
                <w:szCs w:val="22"/>
              </w:rPr>
            </w:pPr>
          </w:p>
        </w:tc>
      </w:tr>
      <w:tr w14:paraId="7E47757D">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48D7976B">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资金管理存在的问题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79658C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91CE6AF">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063BE864">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2E297C7D">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D39CBB">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840C6A2">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1A28F80">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0327AB3">
            <w:pPr>
              <w:spacing w:line="420" w:lineRule="exact"/>
              <w:rPr>
                <w:rFonts w:ascii="宋体" w:hAnsi="宋体" w:cs="宋体"/>
                <w:color w:val="000000"/>
                <w:sz w:val="22"/>
                <w:szCs w:val="22"/>
              </w:rPr>
            </w:pPr>
          </w:p>
        </w:tc>
      </w:tr>
      <w:tr w14:paraId="5AB16581">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0337C">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FBCA4A2">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5CB43D6">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5846828">
            <w:pPr>
              <w:spacing w:line="420" w:lineRule="exact"/>
              <w:rPr>
                <w:rFonts w:ascii="宋体" w:hAnsi="宋体" w:cs="宋体"/>
                <w:color w:val="000000"/>
                <w:sz w:val="22"/>
                <w:szCs w:val="22"/>
              </w:rPr>
            </w:pPr>
          </w:p>
        </w:tc>
      </w:tr>
      <w:tr w14:paraId="71F7FC11">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52C7C40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业务管理存在的问题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9A710B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32AC5BC">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EC478B6">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01340E4C">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84EF9B">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255161F">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62FCA61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E9272BE">
            <w:pPr>
              <w:spacing w:line="420" w:lineRule="exact"/>
              <w:rPr>
                <w:rFonts w:ascii="宋体" w:hAnsi="宋体" w:cs="宋体"/>
                <w:color w:val="000000"/>
                <w:sz w:val="22"/>
                <w:szCs w:val="22"/>
              </w:rPr>
            </w:pPr>
          </w:p>
        </w:tc>
      </w:tr>
      <w:tr w14:paraId="591A1F4C">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6FD27">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7310F4D">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AB7967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82B0BE7">
            <w:pPr>
              <w:spacing w:line="420" w:lineRule="exact"/>
              <w:rPr>
                <w:rFonts w:ascii="宋体" w:hAnsi="宋体" w:cs="宋体"/>
                <w:color w:val="000000"/>
                <w:sz w:val="22"/>
                <w:szCs w:val="22"/>
              </w:rPr>
            </w:pPr>
          </w:p>
        </w:tc>
      </w:tr>
      <w:tr w14:paraId="59216955">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4B314A2E">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项目产出存在的问题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AE395AE">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D3F876A">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8E1D178">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235E2B35">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A14AF">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737C37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D8CE593">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09A0C2A9">
            <w:pPr>
              <w:spacing w:line="420" w:lineRule="exact"/>
              <w:rPr>
                <w:rFonts w:ascii="宋体" w:hAnsi="宋体" w:cs="宋体"/>
                <w:color w:val="000000"/>
                <w:sz w:val="22"/>
                <w:szCs w:val="22"/>
              </w:rPr>
            </w:pPr>
          </w:p>
        </w:tc>
      </w:tr>
      <w:tr w14:paraId="0F2D8267">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E66E31">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E24244C">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8DF715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48BEAA1A">
            <w:pPr>
              <w:spacing w:line="420" w:lineRule="exact"/>
              <w:rPr>
                <w:rFonts w:ascii="宋体" w:hAnsi="宋体" w:cs="宋体"/>
                <w:color w:val="000000"/>
                <w:sz w:val="22"/>
                <w:szCs w:val="22"/>
              </w:rPr>
            </w:pPr>
          </w:p>
        </w:tc>
      </w:tr>
      <w:tr w14:paraId="45AF6FB8">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11FF8B36">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项目效益存在的问题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4B2843CC">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7ED6690">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B68F18E">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13016D9">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41545E">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510AE5A">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B66DEE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7A18239">
            <w:pPr>
              <w:spacing w:line="420" w:lineRule="exact"/>
              <w:rPr>
                <w:rFonts w:ascii="宋体" w:hAnsi="宋体" w:cs="宋体"/>
                <w:color w:val="000000"/>
                <w:sz w:val="22"/>
                <w:szCs w:val="22"/>
              </w:rPr>
            </w:pPr>
          </w:p>
        </w:tc>
      </w:tr>
      <w:tr w14:paraId="18D4D5D2">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E52A89">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EF82089">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839F75D">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4ABA224">
            <w:pPr>
              <w:spacing w:line="420" w:lineRule="exact"/>
              <w:rPr>
                <w:rFonts w:ascii="宋体" w:hAnsi="宋体" w:cs="宋体"/>
                <w:color w:val="000000"/>
                <w:sz w:val="22"/>
                <w:szCs w:val="22"/>
              </w:rPr>
            </w:pPr>
          </w:p>
        </w:tc>
      </w:tr>
      <w:tr w14:paraId="6666469E">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nil"/>
              <w:right w:val="single" w:color="000000" w:sz="4" w:space="0"/>
            </w:tcBorders>
            <w:noWrap/>
            <w:vAlign w:val="center"/>
          </w:tcPr>
          <w:p w14:paraId="0D851EF2">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其他问题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2CDA77B">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BA72671">
            <w:pPr>
              <w:spacing w:line="420" w:lineRule="exac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五华区科协</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C963264">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5302EE58">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nil"/>
              <w:right w:val="single" w:color="000000" w:sz="4" w:space="0"/>
            </w:tcBorders>
            <w:noWrap w:val="0"/>
            <w:vAlign w:val="center"/>
          </w:tcPr>
          <w:p w14:paraId="40CC8244">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66C7DAE">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B18465F">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C510AB5">
            <w:pPr>
              <w:spacing w:line="420" w:lineRule="exact"/>
              <w:rPr>
                <w:rFonts w:ascii="宋体" w:hAnsi="宋体" w:cs="宋体"/>
                <w:color w:val="000000"/>
                <w:sz w:val="22"/>
                <w:szCs w:val="22"/>
              </w:rPr>
            </w:pPr>
          </w:p>
        </w:tc>
      </w:tr>
      <w:tr w14:paraId="2FB416BD">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nil"/>
              <w:right w:val="single" w:color="000000" w:sz="4" w:space="0"/>
            </w:tcBorders>
            <w:noWrap w:val="0"/>
            <w:vAlign w:val="center"/>
          </w:tcPr>
          <w:p w14:paraId="2168F997">
            <w:pPr>
              <w:widowControl/>
              <w:jc w:val="left"/>
              <w:rPr>
                <w:rFonts w:ascii="宋体" w:hAnsi="宋体" w:cs="宋体"/>
                <w:color w:val="000000"/>
                <w:kern w:val="0"/>
                <w:sz w:val="24"/>
              </w:rPr>
            </w:pPr>
          </w:p>
        </w:tc>
        <w:tc>
          <w:tcPr>
            <w:tcW w:w="886" w:type="dxa"/>
            <w:tcBorders>
              <w:top w:val="single" w:color="000000" w:sz="4" w:space="0"/>
              <w:left w:val="single" w:color="000000" w:sz="4" w:space="0"/>
              <w:bottom w:val="nil"/>
              <w:right w:val="single" w:color="000000" w:sz="4" w:space="0"/>
            </w:tcBorders>
            <w:noWrap/>
            <w:vAlign w:val="center"/>
          </w:tcPr>
          <w:p w14:paraId="1CBC6016">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2018" w:type="dxa"/>
            <w:tcBorders>
              <w:top w:val="single" w:color="000000" w:sz="4" w:space="0"/>
              <w:left w:val="single" w:color="000000" w:sz="4" w:space="0"/>
              <w:bottom w:val="nil"/>
              <w:right w:val="single" w:color="000000" w:sz="4" w:space="0"/>
            </w:tcBorders>
            <w:noWrap/>
            <w:vAlign w:val="center"/>
          </w:tcPr>
          <w:p w14:paraId="557765BD">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nil"/>
              <w:right w:val="single" w:color="000000" w:sz="4" w:space="0"/>
            </w:tcBorders>
            <w:noWrap/>
            <w:vAlign w:val="center"/>
          </w:tcPr>
          <w:p w14:paraId="40E535BE">
            <w:pPr>
              <w:spacing w:line="420" w:lineRule="exact"/>
              <w:rPr>
                <w:rFonts w:ascii="宋体" w:hAnsi="宋体" w:cs="宋体"/>
                <w:color w:val="000000"/>
                <w:sz w:val="22"/>
                <w:szCs w:val="22"/>
              </w:rPr>
            </w:pPr>
          </w:p>
        </w:tc>
      </w:tr>
      <w:tr w14:paraId="3A5A01B1">
        <w:tblPrEx>
          <w:tblCellMar>
            <w:top w:w="0" w:type="dxa"/>
            <w:left w:w="108" w:type="dxa"/>
            <w:bottom w:w="0" w:type="dxa"/>
            <w:right w:w="108" w:type="dxa"/>
          </w:tblCellMar>
        </w:tblPrEx>
        <w:trPr>
          <w:trHeight w:val="680" w:hRule="exact"/>
          <w:jc w:val="center"/>
        </w:trPr>
        <w:tc>
          <w:tcPr>
            <w:tcW w:w="9118" w:type="dxa"/>
            <w:gridSpan w:val="4"/>
            <w:tcBorders>
              <w:top w:val="single" w:color="000000" w:sz="4" w:space="0"/>
              <w:left w:val="single" w:color="000000" w:sz="4" w:space="0"/>
              <w:bottom w:val="single" w:color="000000" w:sz="4" w:space="0"/>
              <w:right w:val="single" w:color="000000" w:sz="4" w:space="0"/>
            </w:tcBorders>
            <w:noWrap/>
            <w:vAlign w:val="top"/>
          </w:tcPr>
          <w:p w14:paraId="4CE8B7B2">
            <w:pPr>
              <w:spacing w:line="420" w:lineRule="exact"/>
              <w:rPr>
                <w:rFonts w:hint="eastAsia" w:ascii="宋体" w:hAnsi="宋体" w:cs="宋体"/>
                <w:color w:val="000000"/>
                <w:kern w:val="0"/>
                <w:sz w:val="24"/>
              </w:rPr>
            </w:pPr>
            <w:r>
              <w:rPr>
                <w:rFonts w:hint="eastAsia" w:ascii="宋体" w:hAnsi="宋体" w:cs="宋体"/>
                <w:color w:val="000000"/>
                <w:kern w:val="0"/>
                <w:sz w:val="24"/>
              </w:rPr>
              <w:t>备  注</w:t>
            </w:r>
            <w:r>
              <w:rPr>
                <w:rFonts w:hint="eastAsia" w:ascii="宋体" w:hAnsi="宋体" w:cs="宋体"/>
                <w:color w:val="000000"/>
                <w:kern w:val="0"/>
                <w:sz w:val="24"/>
                <w:lang w:eastAsia="zh-CN"/>
              </w:rPr>
              <w:t>：</w:t>
            </w:r>
          </w:p>
          <w:p w14:paraId="0A889283">
            <w:pPr>
              <w:spacing w:line="420" w:lineRule="exact"/>
              <w:rPr>
                <w:rFonts w:hint="eastAsia" w:ascii="宋体" w:hAnsi="宋体" w:cs="宋体"/>
                <w:color w:val="000000"/>
                <w:kern w:val="0"/>
                <w:sz w:val="24"/>
              </w:rPr>
            </w:pPr>
          </w:p>
        </w:tc>
      </w:tr>
    </w:tbl>
    <w:p w14:paraId="74A2B996"/>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11DCC">
    <w:pPr>
      <w:pStyle w:val="4"/>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7CB0622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3438C">
    <w:pPr>
      <w:pStyle w:val="4"/>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5FDCCCB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D20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47AF5"/>
    <w:multiLevelType w:val="singleLevel"/>
    <w:tmpl w:val="8F247AF5"/>
    <w:lvl w:ilvl="0" w:tentative="0">
      <w:start w:val="2"/>
      <w:numFmt w:val="chineseCounting"/>
      <w:suff w:val="nothing"/>
      <w:lvlText w:val="（%1）"/>
      <w:lvlJc w:val="left"/>
      <w:rPr>
        <w:rFonts w:hint="eastAsia"/>
      </w:rPr>
    </w:lvl>
  </w:abstractNum>
  <w:abstractNum w:abstractNumId="1">
    <w:nsid w:val="9B093588"/>
    <w:multiLevelType w:val="singleLevel"/>
    <w:tmpl w:val="9B093588"/>
    <w:lvl w:ilvl="0" w:tentative="0">
      <w:start w:val="6"/>
      <w:numFmt w:val="chineseCounting"/>
      <w:suff w:val="nothing"/>
      <w:lvlText w:val="%1、"/>
      <w:lvlJc w:val="left"/>
      <w:rPr>
        <w:rFonts w:hint="eastAsia"/>
      </w:rPr>
    </w:lvl>
  </w:abstractNum>
  <w:abstractNum w:abstractNumId="2">
    <w:nsid w:val="7B2286AC"/>
    <w:multiLevelType w:val="singleLevel"/>
    <w:tmpl w:val="7B2286AC"/>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NjVlNjE1NmZlYzg0MDUzMmMwNDc3ZDI2MTRmYWMifQ=="/>
  </w:docVars>
  <w:rsids>
    <w:rsidRoot w:val="11546A04"/>
    <w:rsid w:val="11546A04"/>
    <w:rsid w:val="19F04897"/>
    <w:rsid w:val="2E6379A4"/>
    <w:rsid w:val="43CF77AB"/>
    <w:rsid w:val="4FCD6D74"/>
    <w:rsid w:val="5A5906B0"/>
    <w:rsid w:val="76240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Calibri" w:hAnsi="Calibri" w:eastAsia="宋体" w:cs="Times New Roman"/>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3637</Words>
  <Characters>3894</Characters>
  <Lines>0</Lines>
  <Paragraphs>0</Paragraphs>
  <TotalTime>62</TotalTime>
  <ScaleCrop>false</ScaleCrop>
  <LinksUpToDate>false</LinksUpToDate>
  <CharactersWithSpaces>4216</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2024-05-06T07:03:00Z</dcterms:created>
  <dc:creator>暮年年木木</dc:creator>
  <cp:lastModifiedBy>L.Z</cp:lastModifiedBy>
  <cp:lastPrinted>2024-05-13T01:13:00Z</cp:lastPrinted>
  <dcterms:modified xsi:type="dcterms:W3CDTF">2024-07-25T03:27:30Z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C37C6B0BC6FE4E0684C80A0ADE4749F4_11</vt:lpwstr>
  </property>
</Properties>
</file>