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0" w:leftChars="0" w:right="0" w:rightChars="0" w:firstLine="0" w:firstLineChars="0"/>
        <w:jc w:val="center"/>
        <w:rPr>
          <w:rFonts w:hint="default" w:ascii="Times New Roman" w:hAnsi="Times New Roman" w:eastAsia="黑体" w:cs="Times New Roman"/>
          <w:spacing w:val="-20"/>
          <w:sz w:val="56"/>
          <w:szCs w:val="56"/>
          <w:lang w:eastAsia="zh-CN"/>
        </w:rPr>
      </w:pPr>
      <w:r>
        <w:rPr>
          <w:rFonts w:hint="default" w:ascii="Times New Roman" w:hAnsi="Times New Roman" w:eastAsia="黑体" w:cs="Times New Roman"/>
          <w:spacing w:val="-20"/>
          <w:sz w:val="56"/>
          <w:szCs w:val="56"/>
          <w:lang w:eastAsia="zh-CN"/>
        </w:rPr>
        <w:t>昆明市生态环境局五华分局</w:t>
      </w:r>
    </w:p>
    <w:p>
      <w:pPr>
        <w:ind w:left="0" w:leftChars="0" w:right="0" w:rightChars="0" w:firstLine="0" w:firstLineChars="0"/>
        <w:jc w:val="center"/>
        <w:rPr>
          <w:rFonts w:hint="default" w:ascii="Times New Roman" w:hAnsi="Times New Roman" w:eastAsia="黑体" w:cs="Times New Roman"/>
          <w:spacing w:val="-20"/>
          <w:sz w:val="56"/>
          <w:szCs w:val="56"/>
        </w:rPr>
      </w:pPr>
      <w:bookmarkStart w:id="0" w:name="_Toc17970"/>
      <w:bookmarkStart w:id="1" w:name="_Toc9091"/>
      <w:bookmarkStart w:id="2" w:name="_Toc23666"/>
      <w:bookmarkStart w:id="3" w:name="_Toc13367"/>
      <w:r>
        <w:rPr>
          <w:rFonts w:hint="default" w:ascii="Times New Roman" w:hAnsi="Times New Roman" w:eastAsia="黑体" w:cs="Times New Roman"/>
          <w:spacing w:val="-20"/>
          <w:sz w:val="56"/>
          <w:szCs w:val="56"/>
        </w:rPr>
        <w:t>项目支出绩效评价报告</w:t>
      </w:r>
      <w:bookmarkEnd w:id="0"/>
      <w:bookmarkEnd w:id="1"/>
      <w:bookmarkEnd w:id="2"/>
      <w:bookmarkEnd w:id="3"/>
    </w:p>
    <w:p>
      <w:pPr>
        <w:topLinePunct/>
        <w:ind w:firstLine="632"/>
        <w:rPr>
          <w:rFonts w:hint="default" w:ascii="Times New Roman" w:hAnsi="Times New Roman" w:eastAsia="仿宋_GB2312" w:cs="Times New Roman"/>
          <w:szCs w:val="32"/>
        </w:rPr>
      </w:pPr>
      <w:bookmarkStart w:id="76" w:name="_GoBack"/>
      <w:bookmarkEnd w:id="76"/>
    </w:p>
    <w:p>
      <w:pPr>
        <w:topLinePunct/>
        <w:ind w:firstLine="656"/>
        <w:rPr>
          <w:rFonts w:hint="default" w:ascii="Times New Roman" w:hAnsi="Times New Roman" w:eastAsia="仿宋_GB2312" w:cs="Times New Roman"/>
          <w:color w:val="000000"/>
          <w:spacing w:val="6"/>
          <w:sz w:val="32"/>
          <w:szCs w:val="32"/>
        </w:rPr>
      </w:pPr>
      <w:r>
        <w:rPr>
          <w:rFonts w:hint="default" w:ascii="Times New Roman" w:hAnsi="Times New Roman" w:eastAsia="仿宋_GB2312" w:cs="Times New Roman"/>
          <w:color w:val="000000"/>
          <w:spacing w:val="6"/>
          <w:sz w:val="32"/>
          <w:szCs w:val="32"/>
        </w:rPr>
        <w:t>昆明市人民政府《关于全面实施预算绩效管理的实施意见》（昆发〔2019〕12号）、《昆明市本级部门预算绩效自评管理暂行办法》（昆财绩〔2018〕60号</w:t>
      </w:r>
      <w:r>
        <w:rPr>
          <w:rFonts w:hint="default" w:ascii="Times New Roman" w:hAnsi="Times New Roman" w:eastAsia="仿宋_GB2312" w:cs="Times New Roman"/>
          <w:color w:val="000000"/>
          <w:spacing w:val="6"/>
          <w:sz w:val="32"/>
          <w:szCs w:val="32"/>
          <w:highlight w:val="none"/>
        </w:rPr>
        <w:t>）和昆明市财政局《关于开展202</w:t>
      </w:r>
      <w:r>
        <w:rPr>
          <w:rFonts w:hint="default" w:ascii="Times New Roman" w:hAnsi="Times New Roman" w:cs="Times New Roman"/>
          <w:color w:val="000000"/>
          <w:spacing w:val="6"/>
          <w:sz w:val="32"/>
          <w:szCs w:val="32"/>
          <w:highlight w:val="none"/>
          <w:lang w:val="en-US" w:eastAsia="zh-CN"/>
        </w:rPr>
        <w:t>3</w:t>
      </w:r>
      <w:r>
        <w:rPr>
          <w:rFonts w:hint="default" w:ascii="Times New Roman" w:hAnsi="Times New Roman" w:eastAsia="仿宋_GB2312" w:cs="Times New Roman"/>
          <w:color w:val="000000"/>
          <w:spacing w:val="6"/>
          <w:sz w:val="32"/>
          <w:szCs w:val="32"/>
          <w:highlight w:val="none"/>
        </w:rPr>
        <w:t>年度市本级部门预算支出绩效自评工作的通知》</w:t>
      </w:r>
      <w:r>
        <w:rPr>
          <w:rFonts w:hint="default" w:ascii="Times New Roman" w:hAnsi="Times New Roman" w:eastAsia="仿宋_GB2312" w:cs="Times New Roman"/>
          <w:color w:val="000000"/>
          <w:spacing w:val="6"/>
          <w:sz w:val="32"/>
          <w:szCs w:val="32"/>
        </w:rPr>
        <w:t>（昆财绩〔20</w:t>
      </w:r>
      <w:r>
        <w:rPr>
          <w:rFonts w:hint="default" w:ascii="Times New Roman" w:hAnsi="Times New Roman" w:cs="Times New Roman"/>
          <w:color w:val="000000"/>
          <w:spacing w:val="6"/>
          <w:sz w:val="32"/>
          <w:szCs w:val="32"/>
          <w:lang w:val="en-US" w:eastAsia="zh-CN"/>
        </w:rPr>
        <w:t>24</w:t>
      </w:r>
      <w:r>
        <w:rPr>
          <w:rFonts w:hint="default" w:ascii="Times New Roman" w:hAnsi="Times New Roman" w:eastAsia="仿宋_GB2312" w:cs="Times New Roman"/>
          <w:color w:val="000000"/>
          <w:spacing w:val="6"/>
          <w:sz w:val="32"/>
          <w:szCs w:val="32"/>
        </w:rPr>
        <w:t>〕</w:t>
      </w:r>
      <w:r>
        <w:rPr>
          <w:rFonts w:hint="default" w:ascii="Times New Roman" w:hAnsi="Times New Roman" w:cs="Times New Roman"/>
          <w:color w:val="000000"/>
          <w:spacing w:val="6"/>
          <w:sz w:val="32"/>
          <w:szCs w:val="32"/>
          <w:lang w:val="en-US" w:eastAsia="zh-CN"/>
        </w:rPr>
        <w:t>3</w:t>
      </w:r>
      <w:r>
        <w:rPr>
          <w:rFonts w:hint="default" w:ascii="Times New Roman" w:hAnsi="Times New Roman" w:eastAsia="仿宋_GB2312" w:cs="Times New Roman"/>
          <w:color w:val="000000"/>
          <w:spacing w:val="6"/>
          <w:sz w:val="32"/>
          <w:szCs w:val="32"/>
        </w:rPr>
        <w:t>号</w:t>
      </w:r>
      <w:r>
        <w:rPr>
          <w:rFonts w:hint="default" w:ascii="Times New Roman" w:hAnsi="Times New Roman" w:eastAsia="仿宋_GB2312" w:cs="Times New Roman"/>
          <w:color w:val="000000"/>
          <w:spacing w:val="6"/>
          <w:sz w:val="32"/>
          <w:szCs w:val="32"/>
          <w:highlight w:val="none"/>
        </w:rPr>
        <w:t>）的</w:t>
      </w:r>
      <w:r>
        <w:rPr>
          <w:rFonts w:hint="default" w:ascii="Times New Roman" w:hAnsi="Times New Roman" w:eastAsia="仿宋_GB2312" w:cs="Times New Roman"/>
          <w:color w:val="000000"/>
          <w:spacing w:val="6"/>
          <w:sz w:val="32"/>
          <w:szCs w:val="32"/>
        </w:rPr>
        <w:t>要求，</w:t>
      </w:r>
      <w:r>
        <w:rPr>
          <w:rFonts w:hint="default" w:ascii="Times New Roman" w:hAnsi="Times New Roman" w:eastAsia="仿宋_GB2312" w:cs="Times New Roman"/>
          <w:color w:val="000000"/>
          <w:spacing w:val="6"/>
          <w:sz w:val="32"/>
          <w:szCs w:val="32"/>
          <w:lang w:val="en-US" w:eastAsia="zh-CN"/>
        </w:rPr>
        <w:t>为加强财政支出管理、强化支出责任，规范财政支出绩效评价行为，提高财政资金使用效益，</w:t>
      </w:r>
      <w:r>
        <w:rPr>
          <w:rFonts w:hint="default" w:ascii="Times New Roman" w:hAnsi="Times New Roman" w:eastAsia="仿宋_GB2312" w:cs="Times New Roman"/>
          <w:color w:val="000000"/>
          <w:spacing w:val="6"/>
          <w:sz w:val="32"/>
          <w:szCs w:val="32"/>
        </w:rPr>
        <w:t>现将评价情况报告如下：</w:t>
      </w:r>
    </w:p>
    <w:p>
      <w:pPr>
        <w:pStyle w:val="3"/>
        <w:ind w:firstLine="634"/>
        <w:rPr>
          <w:rFonts w:hint="default" w:ascii="Times New Roman" w:hAnsi="Times New Roman" w:cs="Times New Roman"/>
          <w:sz w:val="32"/>
          <w:szCs w:val="32"/>
        </w:rPr>
      </w:pPr>
      <w:bookmarkStart w:id="4" w:name="_Toc20269"/>
      <w:bookmarkStart w:id="5" w:name="_Toc22274"/>
      <w:r>
        <w:rPr>
          <w:rFonts w:hint="default" w:ascii="Times New Roman" w:hAnsi="Times New Roman" w:cs="Times New Roman"/>
          <w:sz w:val="32"/>
          <w:szCs w:val="32"/>
        </w:rPr>
        <w:t>一、项目基本情况</w:t>
      </w:r>
      <w:bookmarkEnd w:id="4"/>
      <w:bookmarkEnd w:id="5"/>
    </w:p>
    <w:p>
      <w:pPr>
        <w:pStyle w:val="4"/>
        <w:ind w:firstLine="634"/>
        <w:rPr>
          <w:rFonts w:hint="default" w:ascii="Times New Roman" w:hAnsi="Times New Roman" w:cs="Times New Roman"/>
          <w:b w:val="0"/>
          <w:bCs/>
          <w:sz w:val="32"/>
          <w:szCs w:val="32"/>
        </w:rPr>
      </w:pPr>
      <w:bookmarkStart w:id="6" w:name="_Toc20681"/>
      <w:bookmarkStart w:id="7" w:name="_Toc14329"/>
      <w:r>
        <w:rPr>
          <w:rFonts w:hint="default" w:ascii="Times New Roman" w:hAnsi="Times New Roman" w:cs="Times New Roman"/>
          <w:b w:val="0"/>
          <w:bCs/>
          <w:sz w:val="32"/>
          <w:szCs w:val="32"/>
        </w:rPr>
        <w:t>（一）项目概况</w:t>
      </w:r>
      <w:bookmarkEnd w:id="6"/>
      <w:bookmarkEnd w:id="7"/>
    </w:p>
    <w:p>
      <w:pPr>
        <w:pStyle w:val="5"/>
        <w:ind w:firstLine="632"/>
        <w:rPr>
          <w:rFonts w:hint="default" w:ascii="Times New Roman" w:hAnsi="Times New Roman" w:eastAsia="仿宋_GB2312" w:cs="Times New Roman"/>
          <w:b/>
          <w:bCs/>
          <w:sz w:val="32"/>
          <w:szCs w:val="32"/>
        </w:rPr>
      </w:pPr>
      <w:bookmarkStart w:id="8" w:name="_Toc23002"/>
      <w:bookmarkStart w:id="9" w:name="_Toc30659"/>
      <w:r>
        <w:rPr>
          <w:rFonts w:hint="default" w:ascii="Times New Roman" w:hAnsi="Times New Roman" w:eastAsia="仿宋_GB2312" w:cs="Times New Roman"/>
          <w:b/>
          <w:bCs/>
          <w:sz w:val="32"/>
          <w:szCs w:val="32"/>
        </w:rPr>
        <w:t>1.立项背景及目的</w:t>
      </w:r>
      <w:bookmarkEnd w:id="8"/>
      <w:bookmarkEnd w:id="9"/>
    </w:p>
    <w:p>
      <w:pPr>
        <w:ind w:firstLine="632"/>
        <w:rPr>
          <w:rFonts w:hint="default" w:ascii="Times New Roman" w:hAnsi="Times New Roman" w:eastAsia="仿宋_GB2312" w:cs="Times New Roman"/>
          <w:sz w:val="32"/>
          <w:szCs w:val="32"/>
        </w:rPr>
      </w:pPr>
      <w:bookmarkStart w:id="10" w:name="_Toc32276"/>
      <w:bookmarkStart w:id="11" w:name="_Toc31896"/>
      <w:r>
        <w:rPr>
          <w:rFonts w:hint="default" w:ascii="Times New Roman" w:hAnsi="Times New Roman" w:eastAsia="仿宋_GB2312" w:cs="Times New Roman"/>
          <w:sz w:val="32"/>
          <w:szCs w:val="32"/>
        </w:rPr>
        <w:t>为进一步加强对中央生态环境保护督察涉及五华区的问题整改，2022年1月24日，区政府邹新宇副区长主持召开中央生态环境保护督察整改五华区领导小组第1次会议，相关成员单位分管负责同志参加会议。</w:t>
      </w:r>
    </w:p>
    <w:p>
      <w:pPr>
        <w:ind w:firstLine="632"/>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sz w:val="32"/>
          <w:szCs w:val="32"/>
        </w:rPr>
        <w:t>会上，中央生态环境保护督察整改五华区领导小组办公室（以下简称“区环督办”）通报了第二轮中央环保督察整改工作推进情况、市级第3轮监督检查反馈及区级现场复核情况，并对开展区级验收相关事宜进行工作安排。市生态环境局五华分局、区自然资源局、区城市管理局、区交通运输局、交警一大队、区城市更新局、区住房城乡建设局、黑林铺街道办事处、大观街道办事处、龙翔街道办事处分别对牵头未办结、市级第3轮监督检查反馈整改不到位投诉件的整改情况、存在问题和下步计划进行了汇报。会议还对辖区10个重点区域内餐饮业禁建区行政审批相关事项进行了研究</w:t>
      </w:r>
      <w:r>
        <w:rPr>
          <w:rFonts w:hint="default" w:ascii="Times New Roman" w:hAnsi="Times New Roman" w:eastAsia="仿宋_GB2312" w:cs="Times New Roman"/>
          <w:sz w:val="32"/>
          <w:szCs w:val="32"/>
          <w:lang w:eastAsia="zh-CN"/>
        </w:rPr>
        <w:t>。</w:t>
      </w:r>
    </w:p>
    <w:p>
      <w:pPr>
        <w:pStyle w:val="5"/>
        <w:ind w:firstLine="63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2.项目实施情况</w:t>
      </w:r>
      <w:bookmarkEnd w:id="10"/>
      <w:bookmarkEnd w:id="11"/>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Times New Roman" w:hAnsi="Times New Roman" w:eastAsia="仿宋_GB2312" w:cs="Times New Roman"/>
          <w:bCs/>
          <w:color w:val="000000"/>
          <w:sz w:val="32"/>
          <w:szCs w:val="32"/>
          <w:lang w:val="en-US" w:eastAsia="zh-CN"/>
        </w:rPr>
      </w:pPr>
      <w:bookmarkStart w:id="12" w:name="_Toc25520"/>
      <w:bookmarkStart w:id="13" w:name="_Toc4309"/>
      <w:r>
        <w:rPr>
          <w:rFonts w:hint="default" w:ascii="Times New Roman" w:hAnsi="Times New Roman" w:eastAsia="仿宋_GB2312" w:cs="Times New Roman"/>
          <w:bCs/>
          <w:color w:val="auto"/>
          <w:sz w:val="32"/>
          <w:szCs w:val="32"/>
          <w:lang w:eastAsia="zh-CN"/>
        </w:rPr>
        <w:t>2016中央生态环境保护督察交办件涉及我局牵头办理</w:t>
      </w:r>
      <w:r>
        <w:rPr>
          <w:rFonts w:hint="default" w:ascii="Times New Roman" w:hAnsi="Times New Roman" w:eastAsia="仿宋_GB2312" w:cs="Times New Roman"/>
          <w:bCs/>
          <w:color w:val="auto"/>
          <w:sz w:val="32"/>
          <w:szCs w:val="32"/>
          <w:lang w:val="en-US" w:eastAsia="zh-CN"/>
        </w:rPr>
        <w:t>50件，已完成整改验收；2017年云南省环保督察</w:t>
      </w:r>
      <w:r>
        <w:rPr>
          <w:rFonts w:hint="default" w:ascii="Times New Roman" w:hAnsi="Times New Roman" w:eastAsia="仿宋_GB2312" w:cs="Times New Roman"/>
          <w:bCs/>
          <w:color w:val="auto"/>
          <w:sz w:val="32"/>
          <w:szCs w:val="32"/>
          <w:lang w:eastAsia="zh-CN"/>
        </w:rPr>
        <w:t>交办件涉及我局牵头办理</w:t>
      </w:r>
      <w:r>
        <w:rPr>
          <w:rFonts w:hint="default" w:ascii="Times New Roman" w:hAnsi="Times New Roman" w:eastAsia="仿宋_GB2312" w:cs="Times New Roman"/>
          <w:bCs/>
          <w:color w:val="auto"/>
          <w:sz w:val="32"/>
          <w:szCs w:val="32"/>
          <w:lang w:val="en-US" w:eastAsia="zh-CN"/>
        </w:rPr>
        <w:t xml:space="preserve">11件，已完成整改验收；2018中央生态环保督察“回头看” </w:t>
      </w:r>
      <w:r>
        <w:rPr>
          <w:rFonts w:hint="default" w:ascii="Times New Roman" w:hAnsi="Times New Roman" w:eastAsia="仿宋_GB2312" w:cs="Times New Roman"/>
          <w:bCs/>
          <w:color w:val="auto"/>
          <w:sz w:val="32"/>
          <w:szCs w:val="32"/>
          <w:lang w:eastAsia="zh-CN"/>
        </w:rPr>
        <w:t>交办件涉及我局牵头办理</w:t>
      </w:r>
      <w:r>
        <w:rPr>
          <w:rFonts w:hint="default" w:ascii="Times New Roman" w:hAnsi="Times New Roman" w:eastAsia="仿宋_GB2312" w:cs="Times New Roman"/>
          <w:bCs/>
          <w:color w:val="auto"/>
          <w:sz w:val="32"/>
          <w:szCs w:val="32"/>
          <w:lang w:val="en-US" w:eastAsia="zh-CN"/>
        </w:rPr>
        <w:t>17件，已完成整改验收；2021中央生态环境保护第二轮督察交办件</w:t>
      </w:r>
      <w:r>
        <w:rPr>
          <w:rFonts w:hint="default" w:ascii="Times New Roman" w:hAnsi="Times New Roman" w:eastAsia="仿宋_GB2312" w:cs="Times New Roman"/>
          <w:bCs/>
          <w:color w:val="auto"/>
          <w:sz w:val="32"/>
          <w:szCs w:val="32"/>
          <w:lang w:eastAsia="zh-CN"/>
        </w:rPr>
        <w:t>涉及我局牵头办理</w:t>
      </w:r>
      <w:r>
        <w:rPr>
          <w:rFonts w:hint="default" w:ascii="Times New Roman" w:hAnsi="Times New Roman" w:eastAsia="仿宋_GB2312" w:cs="Times New Roman"/>
          <w:bCs/>
          <w:color w:val="auto"/>
          <w:sz w:val="32"/>
          <w:szCs w:val="32"/>
          <w:lang w:val="en-US" w:eastAsia="zh-CN"/>
        </w:rPr>
        <w:t>21件，已完成整改验收，其中</w:t>
      </w:r>
      <w:r>
        <w:rPr>
          <w:rFonts w:hint="default" w:ascii="Times New Roman" w:hAnsi="Times New Roman" w:eastAsia="仿宋_GB2312" w:cs="Times New Roman"/>
          <w:b w:val="0"/>
          <w:bCs w:val="0"/>
          <w:color w:val="auto"/>
          <w:sz w:val="32"/>
          <w:szCs w:val="32"/>
          <w:lang w:val="en-US" w:eastAsia="zh-CN"/>
        </w:rPr>
        <w:t>云铜异味扰民（1件）完成区级验收目前正在等待市级分批组织现场验收</w:t>
      </w:r>
      <w:r>
        <w:rPr>
          <w:rFonts w:hint="default" w:ascii="Times New Roman" w:hAnsi="Times New Roman" w:eastAsia="仿宋_GB2312" w:cs="Times New Roman"/>
          <w:bCs/>
          <w:color w:val="auto"/>
          <w:sz w:val="32"/>
          <w:szCs w:val="32"/>
          <w:lang w:val="en-US" w:eastAsia="zh-CN"/>
        </w:rPr>
        <w:t>；2023年云南省第二轮生态环境保护督察</w:t>
      </w:r>
      <w:r>
        <w:rPr>
          <w:rFonts w:hint="default" w:ascii="Times New Roman" w:hAnsi="Times New Roman" w:eastAsia="仿宋_GB2312" w:cs="Times New Roman"/>
          <w:bCs/>
          <w:color w:val="auto"/>
          <w:sz w:val="32"/>
          <w:szCs w:val="32"/>
          <w:lang w:eastAsia="zh-CN"/>
        </w:rPr>
        <w:t>交办件涉及我局牵头办理</w:t>
      </w:r>
      <w:r>
        <w:rPr>
          <w:rFonts w:hint="default" w:ascii="Times New Roman" w:hAnsi="Times New Roman" w:eastAsia="仿宋_GB2312" w:cs="Times New Roman"/>
          <w:bCs/>
          <w:color w:val="auto"/>
          <w:sz w:val="32"/>
          <w:szCs w:val="32"/>
          <w:lang w:val="en-US" w:eastAsia="zh-CN"/>
        </w:rPr>
        <w:t xml:space="preserve">5件，已完成整改验收。云南省第二轮生态环境保护督察反馈涉及五华区问题清单我局牵头16项，目前已上报整改措施。 </w:t>
      </w:r>
      <w:r>
        <w:rPr>
          <w:rFonts w:hint="default" w:ascii="Times New Roman" w:hAnsi="Times New Roman" w:eastAsia="仿宋_GB2312" w:cs="Times New Roman"/>
          <w:bCs/>
          <w:color w:val="000000"/>
          <w:sz w:val="32"/>
          <w:szCs w:val="32"/>
          <w:lang w:val="en-US" w:eastAsia="zh-CN"/>
        </w:rPr>
        <w:t xml:space="preserve"> </w:t>
      </w:r>
    </w:p>
    <w:p>
      <w:pPr>
        <w:pStyle w:val="5"/>
        <w:ind w:firstLine="63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3.资金来源及使用情况</w:t>
      </w:r>
      <w:bookmarkEnd w:id="12"/>
      <w:bookmarkEnd w:id="13"/>
    </w:p>
    <w:p>
      <w:pPr>
        <w:ind w:firstLine="632"/>
        <w:rPr>
          <w:rFonts w:hint="default" w:ascii="Times New Roman" w:hAnsi="Times New Roman" w:eastAsia="仿宋_GB2312" w:cs="Times New Roman"/>
          <w:kern w:val="0"/>
          <w:sz w:val="31"/>
          <w:szCs w:val="31"/>
        </w:rPr>
      </w:pPr>
      <w:r>
        <w:rPr>
          <w:rFonts w:hint="default" w:ascii="Times New Roman" w:hAnsi="Times New Roman" w:eastAsia="仿宋_GB2312" w:cs="Times New Roman"/>
          <w:kern w:val="0"/>
          <w:sz w:val="31"/>
          <w:szCs w:val="31"/>
          <w:lang w:eastAsia="zh-CN"/>
        </w:rPr>
        <w:t>2023年</w:t>
      </w:r>
      <w:r>
        <w:rPr>
          <w:rFonts w:hint="default" w:ascii="Times New Roman" w:hAnsi="Times New Roman" w:eastAsia="仿宋_GB2312" w:cs="Times New Roman"/>
          <w:spacing w:val="6"/>
          <w:szCs w:val="32"/>
          <w:lang w:eastAsia="zh-CN"/>
        </w:rPr>
        <w:t>中央环保督察整改工作经费项目</w:t>
      </w:r>
      <w:r>
        <w:rPr>
          <w:rFonts w:hint="default" w:ascii="Times New Roman" w:hAnsi="Times New Roman" w:eastAsia="仿宋_GB2312" w:cs="Times New Roman"/>
          <w:kern w:val="0"/>
          <w:sz w:val="31"/>
          <w:szCs w:val="31"/>
        </w:rPr>
        <w:t>实际收到市财政拨入资金为</w:t>
      </w:r>
      <w:r>
        <w:rPr>
          <w:rFonts w:hint="default" w:ascii="Times New Roman" w:hAnsi="Times New Roman" w:eastAsia="仿宋_GB2312" w:cs="Times New Roman"/>
          <w:kern w:val="0"/>
          <w:sz w:val="31"/>
          <w:szCs w:val="31"/>
          <w:lang w:val="en-US" w:eastAsia="zh-CN"/>
        </w:rPr>
        <w:t>66.80万</w:t>
      </w:r>
      <w:r>
        <w:rPr>
          <w:rFonts w:hint="default" w:ascii="Times New Roman" w:hAnsi="Times New Roman" w:eastAsia="仿宋_GB2312" w:cs="Times New Roman"/>
          <w:kern w:val="0"/>
          <w:sz w:val="31"/>
          <w:szCs w:val="31"/>
        </w:rPr>
        <w:t>元，实际项目支出资金为</w:t>
      </w:r>
      <w:r>
        <w:rPr>
          <w:rFonts w:hint="default" w:ascii="Times New Roman" w:hAnsi="Times New Roman" w:eastAsia="仿宋_GB2312" w:cs="Times New Roman"/>
          <w:kern w:val="0"/>
          <w:sz w:val="31"/>
          <w:szCs w:val="31"/>
          <w:lang w:val="en-US" w:eastAsia="zh-CN"/>
        </w:rPr>
        <w:t>66.80万</w:t>
      </w:r>
      <w:r>
        <w:rPr>
          <w:rFonts w:hint="default" w:ascii="Times New Roman" w:hAnsi="Times New Roman" w:eastAsia="仿宋_GB2312" w:cs="Times New Roman"/>
          <w:kern w:val="0"/>
          <w:sz w:val="31"/>
          <w:szCs w:val="31"/>
        </w:rPr>
        <w:t>元，年末项目结转结余资金0.00万元。</w:t>
      </w:r>
      <w:bookmarkStart w:id="14" w:name="_Toc18210"/>
      <w:bookmarkStart w:id="15" w:name="_Toc24874"/>
    </w:p>
    <w:p>
      <w:pPr>
        <w:pStyle w:val="5"/>
        <w:ind w:firstLine="632"/>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4.组织及管理情况</w:t>
      </w:r>
      <w:bookmarkEnd w:id="14"/>
      <w:bookmarkEnd w:id="15"/>
    </w:p>
    <w:p>
      <w:pPr>
        <w:autoSpaceDE w:val="0"/>
        <w:autoSpaceDN w:val="0"/>
        <w:adjustRightInd w:val="0"/>
        <w:ind w:firstLine="640" w:firstLineChars="200"/>
        <w:jc w:val="left"/>
        <w:rPr>
          <w:rFonts w:hint="default" w:ascii="Times New Roman" w:hAnsi="Times New Roman" w:cs="Times New Roman"/>
          <w:sz w:val="32"/>
          <w:szCs w:val="32"/>
          <w:highlight w:val="none"/>
        </w:rPr>
      </w:pPr>
      <w:bookmarkStart w:id="16" w:name="_Toc32397"/>
      <w:bookmarkStart w:id="17" w:name="_Toc10578"/>
      <w:r>
        <w:rPr>
          <w:rFonts w:hint="default" w:ascii="Times New Roman" w:hAnsi="Times New Roman" w:eastAsia="仿宋_GB2312" w:cs="Times New Roman"/>
          <w:color w:val="000000" w:themeColor="text1"/>
          <w:sz w:val="32"/>
          <w:szCs w:val="32"/>
          <w14:textFill>
            <w14:solidFill>
              <w14:schemeClr w14:val="tx1"/>
            </w14:solidFill>
          </w14:textFill>
        </w:rPr>
        <w:t>把项目推进与年度目标任务相结合量化到处室，责任到人。让分管领导和项目实施处室（负责人）把项目推进、资金使用及目标工作完成有序</w:t>
      </w:r>
      <w:r>
        <w:rPr>
          <w:rFonts w:hint="default" w:ascii="Times New Roman" w:hAnsi="Times New Roman" w:eastAsia="仿宋_GB2312" w:cs="Times New Roman"/>
          <w:color w:val="000000" w:themeColor="text1"/>
          <w:sz w:val="32"/>
          <w:szCs w:val="32"/>
          <w:lang w:eastAsia="zh-CN"/>
          <w14:textFill>
            <w14:solidFill>
              <w14:schemeClr w14:val="tx1"/>
            </w14:solidFill>
          </w14:textFill>
        </w:rPr>
        <w:t>地</w:t>
      </w:r>
      <w:r>
        <w:rPr>
          <w:rFonts w:hint="default" w:ascii="Times New Roman" w:hAnsi="Times New Roman" w:eastAsia="仿宋_GB2312" w:cs="Times New Roman"/>
          <w:color w:val="000000" w:themeColor="text1"/>
          <w:sz w:val="32"/>
          <w:szCs w:val="32"/>
          <w14:textFill>
            <w14:solidFill>
              <w14:schemeClr w14:val="tx1"/>
            </w14:solidFill>
          </w14:textFill>
        </w:rPr>
        <w:t>结合起来，季度末根据工作完成情况、项目推进进度、预算执行进度及时报领导及</w:t>
      </w:r>
      <w:r>
        <w:rPr>
          <w:rFonts w:hint="default" w:ascii="Times New Roman" w:hAnsi="Times New Roman" w:cs="Times New Roman"/>
          <w:color w:val="000000" w:themeColor="text1"/>
          <w:sz w:val="32"/>
          <w:szCs w:val="32"/>
          <w:lang w:val="en-US" w:eastAsia="zh-CN"/>
          <w14:textFill>
            <w14:solidFill>
              <w14:schemeClr w14:val="tx1"/>
            </w14:solidFill>
          </w14:textFill>
        </w:rPr>
        <w:t>相关责任处室</w:t>
      </w:r>
      <w:r>
        <w:rPr>
          <w:rFonts w:hint="default" w:ascii="Times New Roman" w:hAnsi="Times New Roman" w:eastAsia="仿宋_GB2312" w:cs="Times New Roman"/>
          <w:color w:val="000000" w:themeColor="text1"/>
          <w:sz w:val="32"/>
          <w:szCs w:val="32"/>
          <w14:textFill>
            <w14:solidFill>
              <w14:schemeClr w14:val="tx1"/>
            </w14:solidFill>
          </w14:textFill>
        </w:rPr>
        <w:t>研究，通过领导督</w:t>
      </w:r>
      <w:r>
        <w:rPr>
          <w:rFonts w:hint="default" w:ascii="Times New Roman" w:hAnsi="Times New Roman" w:eastAsia="仿宋_GB2312" w:cs="Times New Roman"/>
          <w:sz w:val="32"/>
          <w:szCs w:val="32"/>
        </w:rPr>
        <w:t>促、督办，推动项目实施及资金支出进度按计划完成。强化预算执行过程中的跟踪监控，定期采集支出信息汇总分析，及时发现和纠正预算执行中出现的偏差，把绩效管理贯穿到预算前、预算中、预算后各个环节。做到“用钱必问效，无效必问责”，确保每一分钱用到实处，发挥最大效益。根据工作开展进度及完成情况督促项目实施处室合理使用项目资金，把工作成果及任务安排，</w:t>
      </w:r>
      <w:r>
        <w:rPr>
          <w:rFonts w:hint="default" w:ascii="Times New Roman" w:hAnsi="Times New Roman" w:eastAsia="仿宋_GB2312" w:cs="Times New Roman"/>
          <w:sz w:val="32"/>
          <w:szCs w:val="32"/>
          <w:lang w:eastAsia="zh-CN"/>
        </w:rPr>
        <w:t>作为</w:t>
      </w:r>
      <w:r>
        <w:rPr>
          <w:rFonts w:hint="default" w:ascii="Times New Roman" w:hAnsi="Times New Roman" w:eastAsia="仿宋_GB2312" w:cs="Times New Roman"/>
          <w:sz w:val="32"/>
          <w:szCs w:val="32"/>
        </w:rPr>
        <w:t>经费支出的依据。</w:t>
      </w:r>
      <w:r>
        <w:rPr>
          <w:rFonts w:hint="default" w:ascii="Times New Roman" w:hAnsi="Times New Roman" w:eastAsia="仿宋_GB2312" w:cs="Times New Roman"/>
          <w:color w:val="222127"/>
          <w:kern w:val="0"/>
          <w:sz w:val="32"/>
          <w:szCs w:val="32"/>
        </w:rPr>
        <w:t>根据《预算法</w:t>
      </w:r>
      <w:r>
        <w:rPr>
          <w:rFonts w:hint="default" w:ascii="Times New Roman" w:hAnsi="Times New Roman" w:eastAsia="仿宋_GB2312" w:cs="Times New Roman"/>
          <w:color w:val="222127"/>
          <w:kern w:val="0"/>
          <w:sz w:val="32"/>
          <w:szCs w:val="32"/>
          <w:lang w:eastAsia="zh-CN"/>
        </w:rPr>
        <w:t>》《</w:t>
      </w:r>
      <w:r>
        <w:rPr>
          <w:rFonts w:hint="default" w:ascii="Times New Roman" w:hAnsi="Times New Roman" w:eastAsia="仿宋_GB2312" w:cs="Times New Roman"/>
          <w:color w:val="222127"/>
          <w:kern w:val="0"/>
          <w:sz w:val="32"/>
          <w:szCs w:val="32"/>
        </w:rPr>
        <w:t>会计法</w:t>
      </w:r>
      <w:r>
        <w:rPr>
          <w:rFonts w:hint="default" w:ascii="Times New Roman" w:hAnsi="Times New Roman" w:eastAsia="仿宋_GB2312" w:cs="Times New Roman"/>
          <w:color w:val="222127"/>
          <w:kern w:val="0"/>
          <w:sz w:val="32"/>
          <w:szCs w:val="32"/>
          <w:lang w:eastAsia="zh-CN"/>
        </w:rPr>
        <w:t>》《</w:t>
      </w:r>
      <w:r>
        <w:rPr>
          <w:rFonts w:hint="default" w:ascii="Times New Roman" w:hAnsi="Times New Roman" w:eastAsia="仿宋_GB2312" w:cs="Times New Roman"/>
          <w:color w:val="222127"/>
          <w:kern w:val="0"/>
          <w:sz w:val="32"/>
          <w:szCs w:val="32"/>
        </w:rPr>
        <w:t>行政单位财务规则》和《政府会计制度》规范财务行为，贯彻执行国家有关</w:t>
      </w:r>
      <w:r>
        <w:rPr>
          <w:rFonts w:hint="default" w:ascii="Times New Roman" w:hAnsi="Times New Roman" w:eastAsia="仿宋_GB2312" w:cs="Times New Roman"/>
          <w:color w:val="222127"/>
          <w:kern w:val="0"/>
          <w:sz w:val="32"/>
          <w:szCs w:val="32"/>
          <w:lang w:eastAsia="zh-CN"/>
        </w:rPr>
        <w:t>法律法规</w:t>
      </w:r>
      <w:r>
        <w:rPr>
          <w:rFonts w:hint="default" w:ascii="Times New Roman" w:hAnsi="Times New Roman" w:eastAsia="仿宋_GB2312" w:cs="Times New Roman"/>
          <w:color w:val="222127"/>
          <w:kern w:val="0"/>
          <w:sz w:val="32"/>
          <w:szCs w:val="32"/>
        </w:rPr>
        <w:t>和财务规章制度。做到统筹安排，综合管理；精打细算，量入为出；一月一报，及时结算；保障重点，兼顾一般；勤俭节约，讲求实效；加强收支管理，规范财务行为，保障资金安全</w:t>
      </w:r>
      <w:r>
        <w:rPr>
          <w:rFonts w:hint="default" w:ascii="Times New Roman" w:hAnsi="Times New Roman" w:eastAsia="仿宋_GB2312" w:cs="Times New Roman"/>
          <w:color w:val="3C3B3F"/>
          <w:kern w:val="0"/>
          <w:sz w:val="32"/>
          <w:szCs w:val="32"/>
        </w:rPr>
        <w:t>。</w:t>
      </w:r>
      <w:r>
        <w:rPr>
          <w:rFonts w:hint="default" w:ascii="Times New Roman" w:hAnsi="Times New Roman" w:eastAsia="仿宋_GB2312" w:cs="Times New Roman"/>
          <w:color w:val="222127"/>
          <w:kern w:val="0"/>
          <w:sz w:val="32"/>
          <w:szCs w:val="32"/>
        </w:rPr>
        <w:t>合理编制并严格执行经费收支预算，并对预算执行过程进行控制和管理；如实反映财务收支情况，开展财务活动分析，科学配置国有资源，努力节约支出，提高资金使用效益；加强资产和资金管理，防止国有资产流失；建立健全财务规章制度，规范会内经济秩序，如实反映</w:t>
      </w:r>
      <w:r>
        <w:rPr>
          <w:rFonts w:hint="default" w:ascii="Times New Roman" w:hAnsi="Times New Roman" w:cs="Times New Roman"/>
          <w:color w:val="222127"/>
          <w:kern w:val="0"/>
          <w:sz w:val="32"/>
          <w:szCs w:val="32"/>
          <w:lang w:val="en-US" w:eastAsia="zh-CN"/>
        </w:rPr>
        <w:t>市环保局五华分局</w:t>
      </w:r>
      <w:r>
        <w:rPr>
          <w:rFonts w:hint="default" w:ascii="Times New Roman" w:hAnsi="Times New Roman" w:eastAsia="仿宋_GB2312" w:cs="Times New Roman"/>
          <w:color w:val="222127"/>
          <w:kern w:val="0"/>
          <w:sz w:val="32"/>
          <w:szCs w:val="32"/>
        </w:rPr>
        <w:t>的财务状况，对</w:t>
      </w:r>
      <w:r>
        <w:rPr>
          <w:rFonts w:hint="default" w:ascii="Times New Roman" w:hAnsi="Times New Roman" w:cs="Times New Roman"/>
          <w:color w:val="222127"/>
          <w:kern w:val="0"/>
          <w:sz w:val="32"/>
          <w:szCs w:val="32"/>
          <w:lang w:val="en-US" w:eastAsia="zh-CN"/>
        </w:rPr>
        <w:t>市环保局五华分局</w:t>
      </w:r>
      <w:r>
        <w:rPr>
          <w:rFonts w:hint="default" w:ascii="Times New Roman" w:hAnsi="Times New Roman" w:eastAsia="仿宋_GB2312" w:cs="Times New Roman"/>
          <w:color w:val="222127"/>
          <w:kern w:val="0"/>
          <w:sz w:val="32"/>
          <w:szCs w:val="32"/>
        </w:rPr>
        <w:t>经济活动的合法性、合规性、合理性进行监督。</w:t>
      </w:r>
    </w:p>
    <w:p>
      <w:pPr>
        <w:pStyle w:val="4"/>
        <w:ind w:firstLine="634"/>
        <w:rPr>
          <w:rFonts w:hint="default" w:ascii="Times New Roman" w:hAnsi="Times New Roman" w:cs="Times New Roman"/>
          <w:b w:val="0"/>
          <w:bCs/>
          <w:sz w:val="32"/>
          <w:szCs w:val="32"/>
        </w:rPr>
      </w:pPr>
      <w:r>
        <w:rPr>
          <w:rFonts w:hint="default" w:ascii="Times New Roman" w:hAnsi="Times New Roman" w:cs="Times New Roman"/>
          <w:b w:val="0"/>
          <w:bCs/>
          <w:sz w:val="32"/>
          <w:szCs w:val="32"/>
        </w:rPr>
        <w:t>（二）绩效目标</w:t>
      </w:r>
      <w:bookmarkEnd w:id="16"/>
      <w:bookmarkEnd w:id="17"/>
    </w:p>
    <w:p>
      <w:pPr>
        <w:pStyle w:val="5"/>
        <w:ind w:firstLine="632"/>
        <w:rPr>
          <w:rFonts w:hint="default" w:ascii="Times New Roman" w:hAnsi="Times New Roman" w:eastAsia="仿宋_GB2312" w:cs="Times New Roman"/>
          <w:b/>
          <w:bCs/>
          <w:sz w:val="32"/>
          <w:szCs w:val="32"/>
          <w:lang w:val="en-US" w:eastAsia="zh-CN"/>
        </w:rPr>
      </w:pPr>
      <w:bookmarkStart w:id="18" w:name="_Toc28472"/>
      <w:bookmarkStart w:id="19" w:name="_Toc27793"/>
      <w:r>
        <w:rPr>
          <w:rFonts w:hint="default" w:ascii="Times New Roman" w:hAnsi="Times New Roman" w:eastAsia="仿宋_GB2312" w:cs="Times New Roman"/>
          <w:b/>
          <w:bCs/>
          <w:sz w:val="32"/>
          <w:szCs w:val="32"/>
          <w:lang w:val="en-US" w:eastAsia="zh-CN"/>
        </w:rPr>
        <w:t>1.总目标</w:t>
      </w:r>
      <w:bookmarkEnd w:id="18"/>
      <w:bookmarkEnd w:id="19"/>
    </w:p>
    <w:p>
      <w:pPr>
        <w:pStyle w:val="5"/>
        <w:ind w:firstLine="632"/>
        <w:rPr>
          <w:rFonts w:hint="default" w:ascii="Times New Roman" w:hAnsi="Times New Roman" w:eastAsia="宋体" w:cs="Times New Roman"/>
          <w:color w:val="222127"/>
          <w:kern w:val="0"/>
          <w:sz w:val="32"/>
          <w:szCs w:val="32"/>
          <w:lang w:val="en-US" w:eastAsia="zh-CN" w:bidi="ar-SA"/>
        </w:rPr>
      </w:pPr>
      <w:bookmarkStart w:id="20" w:name="_Toc25572"/>
      <w:bookmarkStart w:id="21" w:name="_Toc14878"/>
      <w:r>
        <w:rPr>
          <w:rFonts w:hint="default" w:ascii="Times New Roman" w:hAnsi="Times New Roman" w:eastAsia="宋体" w:cs="Times New Roman"/>
          <w:color w:val="222127"/>
          <w:kern w:val="0"/>
          <w:sz w:val="32"/>
          <w:szCs w:val="32"/>
          <w:lang w:val="en-US" w:eastAsia="zh-CN" w:bidi="ar-SA"/>
        </w:rPr>
        <w:t>完成2023年区政府中央督察整改工作安排五华区的问题整改环境监测技术服务项目及五华区母格村污泥场地混堆区域内污泥层上层回填土开展土壤环境质量现状调查。</w:t>
      </w:r>
    </w:p>
    <w:p>
      <w:pPr>
        <w:pStyle w:val="5"/>
        <w:ind w:firstLine="63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2.年度目标</w:t>
      </w:r>
      <w:bookmarkEnd w:id="20"/>
      <w:bookmarkEnd w:id="21"/>
    </w:p>
    <w:p>
      <w:pPr>
        <w:pStyle w:val="5"/>
        <w:ind w:firstLine="632"/>
        <w:rPr>
          <w:rFonts w:hint="default" w:ascii="Times New Roman" w:hAnsi="Times New Roman" w:eastAsia="宋体" w:cs="Times New Roman"/>
          <w:color w:val="222127"/>
          <w:kern w:val="0"/>
          <w:sz w:val="32"/>
          <w:szCs w:val="32"/>
          <w:lang w:val="en-US" w:eastAsia="zh-CN" w:bidi="ar-SA"/>
        </w:rPr>
      </w:pPr>
      <w:bookmarkStart w:id="22" w:name="_Toc3150"/>
      <w:bookmarkStart w:id="23" w:name="_Toc20364"/>
      <w:r>
        <w:rPr>
          <w:rFonts w:hint="default" w:ascii="Times New Roman" w:hAnsi="Times New Roman" w:eastAsia="宋体" w:cs="Times New Roman"/>
          <w:color w:val="222127"/>
          <w:kern w:val="0"/>
          <w:sz w:val="32"/>
          <w:szCs w:val="32"/>
          <w:lang w:val="en-US" w:eastAsia="zh-CN" w:bidi="ar-SA"/>
        </w:rPr>
        <w:t>完成2023年区政府中央督察整改工作安排——五华区的问题整改环境监测技术服务项目及五华区母格村污泥场地混堆区域内污泥层上层回填土开展土壤环境质量现状调查。</w:t>
      </w:r>
    </w:p>
    <w:p>
      <w:pPr>
        <w:pStyle w:val="3"/>
        <w:ind w:firstLine="634"/>
        <w:rPr>
          <w:rFonts w:hint="default" w:ascii="Times New Roman" w:hAnsi="Times New Roman" w:cs="Times New Roman"/>
          <w:sz w:val="32"/>
          <w:szCs w:val="32"/>
        </w:rPr>
      </w:pPr>
      <w:r>
        <w:rPr>
          <w:rFonts w:hint="default" w:ascii="Times New Roman" w:hAnsi="Times New Roman" w:cs="Times New Roman"/>
          <w:sz w:val="32"/>
          <w:szCs w:val="32"/>
        </w:rPr>
        <w:t>二、绩效评价工作情况</w:t>
      </w:r>
      <w:bookmarkEnd w:id="22"/>
      <w:bookmarkEnd w:id="23"/>
    </w:p>
    <w:p>
      <w:pPr>
        <w:pStyle w:val="4"/>
        <w:ind w:firstLine="634"/>
        <w:rPr>
          <w:rFonts w:hint="default" w:ascii="Times New Roman" w:hAnsi="Times New Roman" w:cs="Times New Roman"/>
          <w:b w:val="0"/>
          <w:bCs/>
          <w:sz w:val="32"/>
          <w:szCs w:val="32"/>
          <w:lang w:val="en-US" w:eastAsia="zh-CN"/>
        </w:rPr>
      </w:pPr>
      <w:bookmarkStart w:id="24" w:name="_Toc9002"/>
      <w:bookmarkStart w:id="25" w:name="_Toc5756"/>
      <w:r>
        <w:rPr>
          <w:rFonts w:hint="default" w:ascii="Times New Roman" w:hAnsi="Times New Roman" w:cs="Times New Roman"/>
          <w:b w:val="0"/>
          <w:bCs/>
          <w:sz w:val="32"/>
          <w:szCs w:val="32"/>
          <w:lang w:val="en-US" w:eastAsia="zh-CN"/>
        </w:rPr>
        <w:t>（一）绩效评价目的</w:t>
      </w:r>
      <w:bookmarkEnd w:id="24"/>
      <w:bookmarkEnd w:id="25"/>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cs="Times New Roman"/>
          <w:color w:val="000000" w:themeColor="text1"/>
          <w:szCs w:val="32"/>
          <w14:textFill>
            <w14:solidFill>
              <w14:schemeClr w14:val="tx1"/>
            </w14:solidFill>
          </w14:textFill>
        </w:rPr>
      </w:pPr>
      <w:bookmarkStart w:id="26" w:name="_Toc12066"/>
      <w:bookmarkStart w:id="27" w:name="_Toc15490"/>
      <w:r>
        <w:rPr>
          <w:rFonts w:hint="default" w:ascii="Times New Roman" w:hAnsi="Times New Roman" w:eastAsia="仿宋_GB2312" w:cs="Times New Roman"/>
          <w:b w:val="0"/>
          <w:color w:val="222127"/>
          <w:kern w:val="0"/>
          <w:sz w:val="32"/>
          <w:szCs w:val="32"/>
          <w:lang w:val="en-US" w:eastAsia="zh-CN" w:bidi="ar-SA"/>
        </w:rPr>
        <w:t>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财政绩效评价是从一般意义上的评价发展而来的。评价是目标管理的基本环节之一</w:t>
      </w:r>
      <w:r>
        <w:rPr>
          <w:rFonts w:hint="default" w:ascii="Times New Roman" w:hAnsi="Times New Roman" w:eastAsia="仿宋_GB2312" w:cs="Times New Roman"/>
          <w:sz w:val="32"/>
          <w:szCs w:val="32"/>
        </w:rPr>
        <w:t>，它是指管理目标与运行</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管理</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结果之间的对比。评价的目的有两个：一是指明事物的状态，即说明事物运动的现实状态是否偏离目标。二是总结经验，为改善政府管理、纠正目标与实际的偏差提供依据。因此，评价是管理的一个基本环节。全面了解项目管理过程是否规范、产出目标是否完成以及效果目标是否实现等方面的内容，总结经验，查找不足，为项目在以后年度的开展提供可行性参考建议。在此基础上，重点分析项目预算编制的合理性、成本支出的真实性和控制有效性，评价财政资金的使用效率和效果，为以后年度编制项目预算、选择项目实施主体等提供参考依据。</w:t>
      </w:r>
    </w:p>
    <w:p>
      <w:pPr>
        <w:pStyle w:val="4"/>
        <w:ind w:firstLine="634"/>
        <w:rPr>
          <w:rFonts w:hint="default" w:ascii="Times New Roman" w:hAnsi="Times New Roman" w:cs="Times New Roman"/>
          <w:b w:val="0"/>
          <w:bCs/>
          <w:sz w:val="32"/>
          <w:szCs w:val="32"/>
          <w:lang w:val="en-US" w:eastAsia="zh-CN"/>
        </w:rPr>
      </w:pPr>
      <w:r>
        <w:rPr>
          <w:rFonts w:hint="default" w:ascii="Times New Roman" w:hAnsi="Times New Roman" w:cs="Times New Roman"/>
          <w:b w:val="0"/>
          <w:bCs/>
          <w:sz w:val="32"/>
          <w:szCs w:val="32"/>
          <w:lang w:val="en-US" w:eastAsia="zh-CN"/>
        </w:rPr>
        <w:t>（二）绩效评价工作方案制定过程</w:t>
      </w:r>
      <w:bookmarkEnd w:id="26"/>
      <w:bookmarkEnd w:id="27"/>
    </w:p>
    <w:p>
      <w:pPr>
        <w:pStyle w:val="5"/>
        <w:ind w:firstLine="632"/>
        <w:rPr>
          <w:rFonts w:hint="default" w:ascii="Times New Roman" w:hAnsi="Times New Roman" w:eastAsia="仿宋_GB2312" w:cs="Times New Roman"/>
          <w:b/>
          <w:bCs/>
          <w:sz w:val="32"/>
          <w:szCs w:val="32"/>
          <w:lang w:val="en-US" w:eastAsia="zh-CN"/>
        </w:rPr>
      </w:pPr>
      <w:bookmarkStart w:id="28" w:name="_Toc15170"/>
      <w:bookmarkStart w:id="29" w:name="_Toc1058"/>
      <w:r>
        <w:rPr>
          <w:rFonts w:hint="default" w:ascii="Times New Roman" w:hAnsi="Times New Roman" w:eastAsia="仿宋_GB2312" w:cs="Times New Roman"/>
          <w:b/>
          <w:bCs/>
          <w:sz w:val="32"/>
          <w:szCs w:val="32"/>
          <w:lang w:val="en-US" w:eastAsia="zh-CN"/>
        </w:rPr>
        <w:t>1.前期调研</w:t>
      </w:r>
      <w:bookmarkEnd w:id="28"/>
      <w:bookmarkEnd w:id="29"/>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昆明市生态环境局五华分局</w:t>
      </w:r>
      <w:r>
        <w:rPr>
          <w:rFonts w:hint="default" w:ascii="Times New Roman" w:hAnsi="Times New Roman" w:eastAsia="仿宋_GB2312" w:cs="Times New Roman"/>
          <w:sz w:val="32"/>
          <w:szCs w:val="32"/>
        </w:rPr>
        <w:t>成立绩效评价工作小组，对本单位的项目报送情况进行整理，结合掌握情况，对报送的项目实施情况进行调研分析、核查落实，在核查无误的情况下进行汇总，奠定绩效评价工作基础。</w:t>
      </w:r>
    </w:p>
    <w:p>
      <w:pPr>
        <w:pStyle w:val="5"/>
        <w:ind w:firstLine="632"/>
        <w:rPr>
          <w:rFonts w:hint="default" w:ascii="Times New Roman" w:hAnsi="Times New Roman" w:eastAsia="仿宋_GB2312" w:cs="Times New Roman"/>
          <w:b/>
          <w:bCs/>
          <w:sz w:val="32"/>
          <w:szCs w:val="32"/>
          <w:lang w:val="en-US" w:eastAsia="zh-CN"/>
        </w:rPr>
      </w:pPr>
      <w:bookmarkStart w:id="30" w:name="_Toc31068"/>
      <w:bookmarkStart w:id="31" w:name="_Toc10740"/>
      <w:r>
        <w:rPr>
          <w:rFonts w:hint="default" w:ascii="Times New Roman" w:hAnsi="Times New Roman" w:eastAsia="仿宋_GB2312" w:cs="Times New Roman"/>
          <w:b/>
          <w:bCs/>
          <w:sz w:val="32"/>
          <w:szCs w:val="32"/>
          <w:lang w:val="en-US" w:eastAsia="zh-CN"/>
        </w:rPr>
        <w:t>2.研究文件</w:t>
      </w:r>
      <w:bookmarkEnd w:id="30"/>
      <w:bookmarkEnd w:id="31"/>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bookmarkStart w:id="32" w:name="_Toc23388"/>
      <w:bookmarkStart w:id="33" w:name="_Toc10635"/>
      <w:r>
        <w:rPr>
          <w:rFonts w:hint="default" w:ascii="Times New Roman" w:hAnsi="Times New Roman" w:eastAsia="仿宋_GB2312" w:cs="Times New Roman"/>
          <w:sz w:val="32"/>
          <w:szCs w:val="32"/>
          <w:lang w:val="en-US" w:eastAsia="zh-CN"/>
        </w:rPr>
        <w:t>昆明市生态环境局五华分局</w:t>
      </w:r>
      <w:r>
        <w:rPr>
          <w:rFonts w:hint="default" w:ascii="Times New Roman" w:hAnsi="Times New Roman" w:eastAsia="仿宋_GB2312" w:cs="Times New Roman"/>
          <w:sz w:val="32"/>
          <w:szCs w:val="32"/>
        </w:rPr>
        <w:t>根据《中华人民共和国预算法》规定和昆明市五华区财政局《</w:t>
      </w:r>
      <w:r>
        <w:rPr>
          <w:rFonts w:hint="default" w:ascii="Times New Roman" w:hAnsi="Times New Roman" w:eastAsia="仿宋_GB2312" w:cs="Times New Roman"/>
          <w:sz w:val="32"/>
          <w:szCs w:val="32"/>
          <w:lang w:eastAsia="zh-CN"/>
        </w:rPr>
        <w:t>五华区财政局关于开展20</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lang w:eastAsia="zh-CN"/>
        </w:rPr>
        <w:t>年度区级预算支出部门绩效评价工作的通知</w:t>
      </w:r>
      <w:r>
        <w:rPr>
          <w:rFonts w:hint="default" w:ascii="Times New Roman" w:hAnsi="Times New Roman" w:eastAsia="仿宋_GB2312" w:cs="Times New Roman"/>
          <w:sz w:val="32"/>
          <w:szCs w:val="32"/>
        </w:rPr>
        <w:t>》（五财〔</w:t>
      </w:r>
      <w:r>
        <w:rPr>
          <w:rFonts w:hint="default" w:ascii="Times New Roman" w:hAnsi="Times New Roman" w:eastAsia="仿宋_GB2312" w:cs="Times New Roman"/>
          <w:sz w:val="32"/>
          <w:szCs w:val="32"/>
          <w:lang w:val="en-US" w:eastAsia="zh-CN"/>
        </w:rPr>
        <w:t>2024</w:t>
      </w:r>
      <w:r>
        <w:rPr>
          <w:rFonts w:hint="default" w:ascii="Times New Roman" w:hAnsi="Times New Roman" w:eastAsia="仿宋_GB2312" w:cs="Times New Roman"/>
          <w:sz w:val="32"/>
          <w:szCs w:val="32"/>
        </w:rPr>
        <w:t>〕</w:t>
      </w:r>
      <w:r>
        <w:rPr>
          <w:rFonts w:hint="default" w:ascii="Times New Roman" w:hAnsi="Times New Roman" w:eastAsia="仿宋_GB2312" w:cs="Times New Roman"/>
          <w:sz w:val="32"/>
          <w:szCs w:val="32"/>
          <w:lang w:val="en-US" w:eastAsia="zh-CN"/>
        </w:rPr>
        <w:t>23</w:t>
      </w:r>
      <w:r>
        <w:rPr>
          <w:rFonts w:hint="default" w:ascii="Times New Roman" w:hAnsi="Times New Roman" w:eastAsia="仿宋_GB2312" w:cs="Times New Roman"/>
          <w:sz w:val="32"/>
          <w:szCs w:val="32"/>
        </w:rPr>
        <w:t>号）文件要求，查看单位年度工作任务目标</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专项资金项目</w:t>
      </w:r>
      <w:r>
        <w:rPr>
          <w:rFonts w:hint="default" w:ascii="Times New Roman" w:hAnsi="Times New Roman" w:eastAsia="仿宋_GB2312" w:cs="Times New Roman"/>
          <w:sz w:val="32"/>
          <w:szCs w:val="32"/>
          <w:lang w:val="en-US" w:eastAsia="zh-CN"/>
        </w:rPr>
        <w:t>资料</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绩效目标申报表，为开展绩效评价工作奠定基础。</w:t>
      </w:r>
    </w:p>
    <w:p>
      <w:pPr>
        <w:pStyle w:val="5"/>
        <w:ind w:firstLine="63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3.绩效评价指标体系及工作方案的设计</w:t>
      </w:r>
      <w:bookmarkEnd w:id="32"/>
      <w:bookmarkEnd w:id="33"/>
    </w:p>
    <w:p>
      <w:pPr>
        <w:pStyle w:val="5"/>
        <w:ind w:firstLine="632"/>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（1）绩效评价指标体系</w:t>
      </w:r>
    </w:p>
    <w:p>
      <w:pPr>
        <w:pStyle w:val="5"/>
        <w:ind w:firstLine="632"/>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绩效评价</w:t>
      </w:r>
      <w:r>
        <w:rPr>
          <w:rFonts w:hint="default" w:ascii="Times New Roman" w:hAnsi="Times New Roman" w:eastAsia="仿宋_GB2312" w:cs="Times New Roman"/>
          <w:sz w:val="32"/>
          <w:szCs w:val="32"/>
          <w:lang w:val="en-US" w:eastAsia="zh-CN"/>
        </w:rPr>
        <w:t>指标体</w:t>
      </w:r>
      <w:r>
        <w:rPr>
          <w:rFonts w:hint="default" w:ascii="Times New Roman" w:hAnsi="Times New Roman" w:eastAsia="仿宋_GB2312" w:cs="Times New Roman"/>
          <w:sz w:val="32"/>
          <w:szCs w:val="32"/>
        </w:rPr>
        <w:t>系共设一级指标三个，分别为项目决策（20%）、项目管理（20%）、项目绩效（60%）；二级指标七个，分别为项目立项、项目目标、投入管理、财务管理、项目实施、项目产出、项目效益；再根据项目具体情况细化为三级指标及四级指标。</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（2）工作方案</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绩效评价工作小组组织召开绩效评价会议，确定绩效评价重点，选取适合的绩效评价方式，制定绩效评价指标体系，明确绩效评价标准和评分标准，对相关单位的绩效资料报送情况进行核查、搜集证据材料，并形成评价结论，得出绩效评分。</w:t>
      </w:r>
    </w:p>
    <w:p>
      <w:pPr>
        <w:pStyle w:val="4"/>
        <w:ind w:firstLine="634"/>
        <w:rPr>
          <w:rFonts w:hint="default" w:ascii="Times New Roman" w:hAnsi="Times New Roman" w:cs="Times New Roman"/>
          <w:b w:val="0"/>
          <w:bCs/>
          <w:sz w:val="32"/>
          <w:szCs w:val="32"/>
        </w:rPr>
      </w:pPr>
      <w:bookmarkStart w:id="34" w:name="_Toc25528"/>
      <w:bookmarkStart w:id="35" w:name="_Toc21440"/>
      <w:r>
        <w:rPr>
          <w:rFonts w:hint="default" w:ascii="Times New Roman" w:hAnsi="Times New Roman" w:cs="Times New Roman"/>
          <w:b w:val="0"/>
          <w:bCs/>
          <w:sz w:val="32"/>
          <w:szCs w:val="32"/>
        </w:rPr>
        <w:t>（三）绩效评价原则、评价方法</w:t>
      </w:r>
      <w:bookmarkEnd w:id="34"/>
      <w:bookmarkEnd w:id="35"/>
    </w:p>
    <w:p>
      <w:pPr>
        <w:pStyle w:val="5"/>
        <w:ind w:firstLine="632"/>
        <w:rPr>
          <w:rFonts w:hint="default" w:ascii="Times New Roman" w:hAnsi="Times New Roman" w:eastAsia="仿宋_GB2312" w:cs="Times New Roman"/>
          <w:b/>
          <w:bCs/>
          <w:sz w:val="32"/>
          <w:szCs w:val="32"/>
          <w:lang w:val="en-US" w:eastAsia="zh-CN"/>
        </w:rPr>
      </w:pPr>
      <w:bookmarkStart w:id="36" w:name="_Toc9516"/>
      <w:bookmarkStart w:id="37" w:name="_Toc30324"/>
      <w:r>
        <w:rPr>
          <w:rFonts w:hint="default" w:ascii="Times New Roman" w:hAnsi="Times New Roman" w:eastAsia="仿宋_GB2312" w:cs="Times New Roman"/>
          <w:b/>
          <w:bCs/>
          <w:sz w:val="32"/>
          <w:szCs w:val="32"/>
          <w:lang w:val="en-US" w:eastAsia="zh-CN"/>
        </w:rPr>
        <w:t>1.绩效评价原则</w:t>
      </w:r>
      <w:bookmarkEnd w:id="36"/>
      <w:bookmarkEnd w:id="37"/>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（1）绩效导向原则。预算管理各个环节的活动都要以绩效为核心导向，将绩效管理贯穿于预算管理的全过程，实现财政资金运行和预算管理效益最大化。</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（2）目标管理原则。预算编制时要设定明确的绩效目标、预算执行中要实施绩效跟踪，预算完成后要评价绩效目标实现等情况，围绕绩效目标及其实现的途径和方式开展全过程预算绩效管理。</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（3）有序推进原则。以预算绩效管理工作规划为指导，有序推进预算绩效管理工作，要借助各级人大、纪检监察、审计、社会中介等各方力量，合力推动，逐步实现预算绩效管理范围和内容的全覆盖。</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（4）科学规范原则。采用科学的体系、规范的程序、适当的方法、明确的措施，保障各项预算绩效管理工作的有效性，提高全过程预算绩效管理质量。</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（5）绩效问责原则。强化预算支出责任和管理责任，将预算绩效管理主体实施绩效管理情况纳入政府绩效考核范围，促进政府职能部门履职能力的提升。</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6）信息公开原则。预算绩效管理主体要按照政府信息公开有关规定，建立健全预算绩效信息公开制度，完善预算绩效信息公开机制，推进预算绩效信息的逐步公开，自觉接受各方监督，不断提高财政资金使用的透明度。</w:t>
      </w:r>
    </w:p>
    <w:p>
      <w:pPr>
        <w:pStyle w:val="5"/>
        <w:ind w:firstLine="632"/>
        <w:rPr>
          <w:rFonts w:hint="default" w:ascii="Times New Roman" w:hAnsi="Times New Roman" w:eastAsia="仿宋_GB2312" w:cs="Times New Roman"/>
          <w:b/>
          <w:bCs/>
          <w:sz w:val="32"/>
          <w:szCs w:val="32"/>
          <w:lang w:val="en-US" w:eastAsia="zh-CN"/>
        </w:rPr>
      </w:pPr>
      <w:bookmarkStart w:id="38" w:name="_Toc22056"/>
      <w:bookmarkStart w:id="39" w:name="_Toc8145"/>
      <w:r>
        <w:rPr>
          <w:rFonts w:hint="default" w:ascii="Times New Roman" w:hAnsi="Times New Roman" w:eastAsia="仿宋_GB2312" w:cs="Times New Roman"/>
          <w:b/>
          <w:bCs/>
          <w:sz w:val="32"/>
          <w:szCs w:val="32"/>
          <w:lang w:val="en-US" w:eastAsia="zh-CN"/>
        </w:rPr>
        <w:t>2.绩效评价的方法</w:t>
      </w:r>
      <w:bookmarkEnd w:id="38"/>
      <w:bookmarkEnd w:id="39"/>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主要采用《昆明市本级部门预算绩效自评管理暂行办法》（昆财绩〔2018〕60号）所确定的绩效评价方法，在实施过程中，根据市投资促进局部门整体预算执行及项目执行情况，主要采用比较法、因素分析法和公众评判法等，了解</w:t>
      </w:r>
      <w:r>
        <w:rPr>
          <w:rFonts w:hint="default" w:ascii="Times New Roman" w:hAnsi="Times New Roman" w:eastAsia="仿宋_GB2312" w:cs="Times New Roman"/>
          <w:sz w:val="32"/>
          <w:szCs w:val="32"/>
          <w:lang w:eastAsia="zh-CN"/>
        </w:rPr>
        <w:t>市</w:t>
      </w:r>
      <w:r>
        <w:rPr>
          <w:rFonts w:hint="default" w:ascii="Times New Roman" w:hAnsi="Times New Roman" w:eastAsia="仿宋_GB2312" w:cs="Times New Roman"/>
          <w:sz w:val="32"/>
          <w:szCs w:val="32"/>
        </w:rPr>
        <w:t>投资促进局在项目资金使用管理、项目组织实施、项目跟踪、项目制度建设、项目产出效果以及产生的社会、经济、环境效益及可持续发展等情况，对项目支出进行绩效评价。</w:t>
      </w:r>
    </w:p>
    <w:p>
      <w:pPr>
        <w:pStyle w:val="4"/>
        <w:ind w:firstLine="634"/>
        <w:rPr>
          <w:rFonts w:hint="default" w:ascii="Times New Roman" w:hAnsi="Times New Roman" w:cs="Times New Roman"/>
          <w:b w:val="0"/>
          <w:bCs/>
          <w:sz w:val="32"/>
          <w:szCs w:val="32"/>
        </w:rPr>
      </w:pPr>
      <w:bookmarkStart w:id="40" w:name="_Toc7240"/>
      <w:bookmarkStart w:id="41" w:name="_Toc18201"/>
      <w:r>
        <w:rPr>
          <w:rFonts w:hint="default" w:ascii="Times New Roman" w:hAnsi="Times New Roman" w:cs="Times New Roman"/>
          <w:b w:val="0"/>
          <w:bCs/>
          <w:sz w:val="32"/>
          <w:szCs w:val="32"/>
        </w:rPr>
        <w:t>（四）绩效评价实施过程</w:t>
      </w:r>
      <w:bookmarkEnd w:id="40"/>
      <w:bookmarkEnd w:id="41"/>
    </w:p>
    <w:p>
      <w:pPr>
        <w:pStyle w:val="5"/>
        <w:ind w:firstLine="632"/>
        <w:rPr>
          <w:rFonts w:hint="default" w:ascii="Times New Roman" w:hAnsi="Times New Roman" w:eastAsia="仿宋_GB2312" w:cs="Times New Roman"/>
          <w:b/>
          <w:bCs/>
          <w:sz w:val="32"/>
          <w:szCs w:val="32"/>
          <w:lang w:val="en-US" w:eastAsia="zh-CN"/>
        </w:rPr>
      </w:pPr>
      <w:bookmarkStart w:id="42" w:name="_Toc8138"/>
      <w:bookmarkStart w:id="43" w:name="_Toc21346"/>
      <w:r>
        <w:rPr>
          <w:rFonts w:hint="default" w:ascii="Times New Roman" w:hAnsi="Times New Roman" w:eastAsia="仿宋_GB2312" w:cs="Times New Roman"/>
          <w:b/>
          <w:bCs/>
          <w:sz w:val="32"/>
          <w:szCs w:val="32"/>
          <w:lang w:val="en-US" w:eastAsia="zh-CN"/>
        </w:rPr>
        <w:t>1.数据填报和采集</w:t>
      </w:r>
      <w:bookmarkEnd w:id="42"/>
      <w:bookmarkEnd w:id="43"/>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本次绩效评价数据来源于预算批复及明细、部门决算报表、绩效目标申报表、绩效目标完成情况、部门年度工作总结，根据以上资料进行分析汇总，形成绩效自评报告的基础数据。</w:t>
      </w:r>
    </w:p>
    <w:p>
      <w:pPr>
        <w:pStyle w:val="5"/>
        <w:ind w:firstLine="632"/>
        <w:rPr>
          <w:rFonts w:hint="default" w:ascii="Times New Roman" w:hAnsi="Times New Roman" w:eastAsia="仿宋_GB2312" w:cs="Times New Roman"/>
          <w:b/>
          <w:bCs/>
          <w:sz w:val="32"/>
          <w:szCs w:val="32"/>
          <w:lang w:val="en-US" w:eastAsia="zh-CN"/>
        </w:rPr>
      </w:pPr>
      <w:bookmarkStart w:id="44" w:name="_Toc11658"/>
      <w:bookmarkStart w:id="45" w:name="_Toc9748"/>
      <w:r>
        <w:rPr>
          <w:rFonts w:hint="default" w:ascii="Times New Roman" w:hAnsi="Times New Roman" w:eastAsia="仿宋_GB2312" w:cs="Times New Roman"/>
          <w:b/>
          <w:bCs/>
          <w:sz w:val="32"/>
          <w:szCs w:val="32"/>
          <w:lang w:val="en-US" w:eastAsia="zh-CN"/>
        </w:rPr>
        <w:t>2.社会调查</w:t>
      </w:r>
      <w:bookmarkEnd w:id="44"/>
      <w:bookmarkEnd w:id="45"/>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eastAsia="zh-CN"/>
        </w:rPr>
        <w:t>昆明市生态环境局五华分局</w:t>
      </w:r>
      <w:r>
        <w:rPr>
          <w:rFonts w:hint="default" w:ascii="Times New Roman" w:hAnsi="Times New Roman" w:eastAsia="仿宋_GB2312" w:cs="Times New Roman"/>
          <w:sz w:val="32"/>
          <w:szCs w:val="32"/>
        </w:rPr>
        <w:t>绩效评价工作小组根据项目的开展情况，设计相关的调查问卷，对社会公众对象进行满意度调查，并对调查结果进行统计分析，形成社会调查问卷分析报告。</w:t>
      </w:r>
    </w:p>
    <w:p>
      <w:pPr>
        <w:pStyle w:val="5"/>
        <w:ind w:firstLine="632"/>
        <w:rPr>
          <w:rFonts w:hint="default" w:ascii="Times New Roman" w:hAnsi="Times New Roman" w:eastAsia="仿宋_GB2312" w:cs="Times New Roman"/>
          <w:b/>
          <w:bCs/>
          <w:sz w:val="32"/>
          <w:szCs w:val="32"/>
          <w:lang w:val="en-US" w:eastAsia="zh-CN"/>
        </w:rPr>
      </w:pPr>
      <w:bookmarkStart w:id="46" w:name="_Toc18603"/>
      <w:bookmarkStart w:id="47" w:name="_Toc29317"/>
      <w:r>
        <w:rPr>
          <w:rFonts w:hint="default" w:ascii="Times New Roman" w:hAnsi="Times New Roman" w:eastAsia="仿宋_GB2312" w:cs="Times New Roman"/>
          <w:b/>
          <w:bCs/>
          <w:sz w:val="32"/>
          <w:szCs w:val="32"/>
          <w:lang w:val="en-US" w:eastAsia="zh-CN"/>
        </w:rPr>
        <w:t>3.数据分析和撰写报告</w:t>
      </w:r>
      <w:bookmarkEnd w:id="46"/>
      <w:bookmarkEnd w:id="47"/>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根据要求，</w:t>
      </w:r>
      <w:r>
        <w:rPr>
          <w:rFonts w:hint="default" w:ascii="Times New Roman" w:hAnsi="Times New Roman" w:eastAsia="仿宋_GB2312" w:cs="Times New Roman"/>
          <w:sz w:val="32"/>
          <w:szCs w:val="32"/>
          <w:lang w:eastAsia="zh-CN"/>
        </w:rPr>
        <w:t>昆明市生态环境局五华分局</w:t>
      </w:r>
      <w:r>
        <w:rPr>
          <w:rFonts w:hint="default" w:ascii="Times New Roman" w:hAnsi="Times New Roman" w:eastAsia="仿宋_GB2312" w:cs="Times New Roman"/>
          <w:sz w:val="32"/>
          <w:szCs w:val="32"/>
        </w:rPr>
        <w:t>对</w:t>
      </w:r>
      <w:r>
        <w:rPr>
          <w:rFonts w:hint="default" w:ascii="Times New Roman" w:hAnsi="Times New Roman" w:eastAsia="仿宋_GB2312" w:cs="Times New Roman"/>
          <w:sz w:val="32"/>
          <w:szCs w:val="32"/>
          <w:lang w:eastAsia="zh-CN"/>
        </w:rPr>
        <w:t>2023年</w:t>
      </w:r>
      <w:r>
        <w:rPr>
          <w:rFonts w:hint="default" w:ascii="Times New Roman" w:hAnsi="Times New Roman" w:eastAsia="仿宋_GB2312" w:cs="Times New Roman"/>
          <w:sz w:val="32"/>
          <w:szCs w:val="32"/>
          <w:lang w:val="en-US" w:eastAsia="zh-CN"/>
        </w:rPr>
        <w:t>项目</w:t>
      </w:r>
      <w:r>
        <w:rPr>
          <w:rFonts w:hint="default" w:ascii="Times New Roman" w:hAnsi="Times New Roman" w:eastAsia="仿宋_GB2312" w:cs="Times New Roman"/>
          <w:sz w:val="32"/>
          <w:szCs w:val="32"/>
        </w:rPr>
        <w:t>支出从项目决策、项目管理、项目绩效（包括产出和效益）三个方面进行评价，得出评价结论及得分，撰写绩效自评报告。</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项目决策方面，主要是评价绩效目标的设定情况，包括绩效目标设立的充分性、明确性、合理性以及细化程度，看绩效目标的设立是否符合客观实际，是否与部门履职相一致，绩效指标是否清晰、细化、可衡量。</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管理方面，主要是资金投入和使用情况、为实现绩效目标制定的制度、采取的措施等，包括评价资金分配过程、投入方式、资金到位、预算执行和结果；看资金分配过程是否科学规范，资金投入方式是否合理，资金是否及时到位，预算执行进度是否按预期进行，资金使用是否经济有效；项目制度包括项目管理制度、财务管理制度、资产管理制度和绩效跟踪管理措施以及制度措施的落实情况。</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项目绩效方面，主要是绩效目标的实现程度和效果，绩效目标的实现程度包括产出数量、产出质量、产出时效和产出成本；效果包括社会效益、可持续影响等。</w:t>
      </w:r>
    </w:p>
    <w:p>
      <w:pPr>
        <w:pStyle w:val="4"/>
        <w:ind w:firstLine="634"/>
        <w:rPr>
          <w:rFonts w:hint="default" w:ascii="Times New Roman" w:hAnsi="Times New Roman" w:cs="Times New Roman"/>
          <w:b w:val="0"/>
          <w:bCs/>
          <w:sz w:val="32"/>
          <w:szCs w:val="32"/>
        </w:rPr>
      </w:pPr>
      <w:bookmarkStart w:id="48" w:name="_Toc18638"/>
      <w:bookmarkStart w:id="49" w:name="_Toc30675"/>
      <w:r>
        <w:rPr>
          <w:rFonts w:hint="default" w:ascii="Times New Roman" w:hAnsi="Times New Roman" w:cs="Times New Roman"/>
          <w:b w:val="0"/>
          <w:bCs/>
          <w:sz w:val="32"/>
          <w:szCs w:val="32"/>
        </w:rPr>
        <w:t>（五）本次绩效评价的局限性</w:t>
      </w:r>
      <w:bookmarkEnd w:id="48"/>
      <w:bookmarkEnd w:id="49"/>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由于本次绩效评价为自评，往往带有一定的主观性，不能全面反映各部门项目实施的实际绩效；时间及获取资料有限，可能会造成数据与客观事实之间的差距；</w:t>
      </w:r>
      <w:bookmarkStart w:id="50" w:name="OLE_LINK3"/>
      <w:r>
        <w:rPr>
          <w:rFonts w:hint="default" w:ascii="Times New Roman" w:hAnsi="Times New Roman" w:eastAsia="仿宋_GB2312" w:cs="Times New Roman"/>
          <w:sz w:val="32"/>
          <w:szCs w:val="32"/>
        </w:rPr>
        <w:t>预算绩效管理工作</w:t>
      </w:r>
      <w:bookmarkEnd w:id="50"/>
      <w:r>
        <w:rPr>
          <w:rFonts w:hint="default" w:ascii="Times New Roman" w:hAnsi="Times New Roman" w:eastAsia="仿宋_GB2312" w:cs="Times New Roman"/>
          <w:sz w:val="32"/>
          <w:szCs w:val="32"/>
        </w:rPr>
        <w:t>开展时间较短，</w:t>
      </w:r>
      <w:bookmarkStart w:id="51" w:name="OLE_LINK2"/>
      <w:r>
        <w:rPr>
          <w:rFonts w:hint="default" w:ascii="Times New Roman" w:hAnsi="Times New Roman" w:eastAsia="仿宋_GB2312" w:cs="Times New Roman"/>
          <w:sz w:val="32"/>
          <w:szCs w:val="32"/>
        </w:rPr>
        <w:t>缺乏系统的培训，对工作重点把握不到位，</w:t>
      </w:r>
      <w:bookmarkEnd w:id="51"/>
      <w:bookmarkStart w:id="52" w:name="OLE_LINK4"/>
      <w:r>
        <w:rPr>
          <w:rFonts w:hint="default" w:ascii="Times New Roman" w:hAnsi="Times New Roman" w:eastAsia="仿宋_GB2312" w:cs="Times New Roman"/>
          <w:sz w:val="32"/>
          <w:szCs w:val="32"/>
        </w:rPr>
        <w:t>预算绩效管理工作水平有限</w:t>
      </w:r>
      <w:bookmarkEnd w:id="52"/>
      <w:r>
        <w:rPr>
          <w:rFonts w:hint="default" w:ascii="Times New Roman" w:hAnsi="Times New Roman" w:eastAsia="仿宋_GB2312" w:cs="Times New Roman"/>
          <w:sz w:val="32"/>
          <w:szCs w:val="32"/>
        </w:rPr>
        <w:t>。</w:t>
      </w:r>
    </w:p>
    <w:p>
      <w:pPr>
        <w:pStyle w:val="3"/>
        <w:ind w:firstLine="634"/>
        <w:rPr>
          <w:rFonts w:hint="default" w:ascii="Times New Roman" w:hAnsi="Times New Roman" w:cs="Times New Roman"/>
          <w:sz w:val="32"/>
          <w:szCs w:val="32"/>
        </w:rPr>
      </w:pPr>
      <w:bookmarkStart w:id="53" w:name="_Toc10462"/>
      <w:bookmarkStart w:id="54" w:name="_Toc20060"/>
      <w:r>
        <w:rPr>
          <w:rFonts w:hint="default" w:ascii="Times New Roman" w:hAnsi="Times New Roman" w:cs="Times New Roman"/>
          <w:sz w:val="32"/>
          <w:szCs w:val="32"/>
        </w:rPr>
        <w:t>三、评价结论和绩效分析</w:t>
      </w:r>
      <w:bookmarkEnd w:id="53"/>
      <w:bookmarkEnd w:id="54"/>
    </w:p>
    <w:p>
      <w:pPr>
        <w:pStyle w:val="4"/>
        <w:ind w:firstLine="634"/>
        <w:rPr>
          <w:rFonts w:hint="default" w:ascii="Times New Roman" w:hAnsi="Times New Roman" w:cs="Times New Roman"/>
          <w:b w:val="0"/>
          <w:bCs/>
          <w:sz w:val="32"/>
          <w:szCs w:val="32"/>
        </w:rPr>
      </w:pPr>
      <w:bookmarkStart w:id="55" w:name="_Toc11736"/>
      <w:bookmarkStart w:id="56" w:name="_Toc24247"/>
      <w:r>
        <w:rPr>
          <w:rFonts w:hint="default" w:ascii="Times New Roman" w:hAnsi="Times New Roman" w:cs="Times New Roman"/>
          <w:b w:val="0"/>
          <w:bCs/>
          <w:sz w:val="32"/>
          <w:szCs w:val="32"/>
        </w:rPr>
        <w:t>（一）评价结论</w:t>
      </w:r>
      <w:bookmarkEnd w:id="55"/>
      <w:bookmarkEnd w:id="56"/>
    </w:p>
    <w:p>
      <w:pPr>
        <w:pStyle w:val="5"/>
        <w:ind w:firstLine="632"/>
        <w:rPr>
          <w:rFonts w:hint="default" w:ascii="Times New Roman" w:hAnsi="Times New Roman" w:eastAsia="仿宋_GB2312" w:cs="Times New Roman"/>
          <w:b/>
          <w:bCs/>
          <w:sz w:val="32"/>
          <w:szCs w:val="32"/>
          <w:lang w:val="en-US" w:eastAsia="zh-CN"/>
        </w:rPr>
      </w:pPr>
      <w:bookmarkStart w:id="57" w:name="_Toc5310"/>
      <w:bookmarkStart w:id="58" w:name="_Toc25294"/>
      <w:r>
        <w:rPr>
          <w:rFonts w:hint="default" w:ascii="Times New Roman" w:hAnsi="Times New Roman" w:eastAsia="仿宋_GB2312" w:cs="Times New Roman"/>
          <w:b/>
          <w:bCs/>
          <w:sz w:val="32"/>
          <w:szCs w:val="32"/>
          <w:lang w:val="en-US" w:eastAsia="zh-CN"/>
        </w:rPr>
        <w:t>1.评价结果</w:t>
      </w:r>
      <w:bookmarkEnd w:id="57"/>
      <w:bookmarkEnd w:id="58"/>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经评价，本次</w:t>
      </w:r>
      <w:r>
        <w:rPr>
          <w:rFonts w:hint="default" w:ascii="Times New Roman" w:hAnsi="Times New Roman" w:eastAsia="仿宋_GB2312" w:cs="Times New Roman"/>
          <w:sz w:val="32"/>
          <w:szCs w:val="32"/>
          <w:lang w:eastAsia="zh-CN"/>
        </w:rPr>
        <w:t>昆明市生态环境局五华分局</w:t>
      </w:r>
      <w:r>
        <w:rPr>
          <w:rFonts w:hint="default" w:ascii="Times New Roman" w:hAnsi="Times New Roman" w:eastAsia="仿宋_GB2312" w:cs="Times New Roman"/>
          <w:sz w:val="32"/>
          <w:szCs w:val="32"/>
        </w:rPr>
        <w:t>项目支出绩效自评得分：</w:t>
      </w:r>
      <w:r>
        <w:rPr>
          <w:rFonts w:hint="default" w:ascii="Times New Roman" w:hAnsi="Times New Roman" w:eastAsia="仿宋_GB2312" w:cs="Times New Roman"/>
          <w:sz w:val="32"/>
          <w:szCs w:val="32"/>
          <w:lang w:eastAsia="zh-CN"/>
        </w:rPr>
        <w:t>100</w:t>
      </w:r>
      <w:r>
        <w:rPr>
          <w:rFonts w:hint="default" w:ascii="Times New Roman" w:hAnsi="Times New Roman" w:eastAsia="仿宋_GB2312" w:cs="Times New Roman"/>
          <w:sz w:val="32"/>
          <w:szCs w:val="32"/>
        </w:rPr>
        <w:t>分，评价等级为“优”。</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bookmarkStart w:id="59" w:name="_Toc7913"/>
      <w:bookmarkStart w:id="60" w:name="_Toc5023"/>
      <w:r>
        <w:rPr>
          <w:rFonts w:hint="default" w:ascii="Times New Roman" w:hAnsi="Times New Roman" w:eastAsia="仿宋_GB2312" w:cs="Times New Roman"/>
          <w:sz w:val="32"/>
          <w:szCs w:val="32"/>
        </w:rPr>
        <w:t>主要绩效</w:t>
      </w:r>
      <w:bookmarkEnd w:id="59"/>
      <w:bookmarkEnd w:id="60"/>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bookmarkStart w:id="61" w:name="_Toc8920"/>
      <w:bookmarkStart w:id="62" w:name="_Toc29763"/>
      <w:r>
        <w:rPr>
          <w:rFonts w:hint="default" w:ascii="Times New Roman" w:hAnsi="Times New Roman" w:eastAsia="仿宋_GB2312" w:cs="Times New Roman"/>
          <w:sz w:val="32"/>
          <w:szCs w:val="32"/>
          <w:lang w:eastAsia="zh-CN"/>
        </w:rPr>
        <w:t>2016中央生态环境保护督察交办件涉及我局牵头办理</w:t>
      </w:r>
      <w:r>
        <w:rPr>
          <w:rFonts w:hint="default" w:ascii="Times New Roman" w:hAnsi="Times New Roman" w:eastAsia="仿宋_GB2312" w:cs="Times New Roman"/>
          <w:sz w:val="32"/>
          <w:szCs w:val="32"/>
          <w:lang w:val="en-US" w:eastAsia="zh-CN"/>
        </w:rPr>
        <w:t>50件，已完成整改验收；2017年云南省环保督察</w:t>
      </w:r>
      <w:r>
        <w:rPr>
          <w:rFonts w:hint="default" w:ascii="Times New Roman" w:hAnsi="Times New Roman" w:eastAsia="仿宋_GB2312" w:cs="Times New Roman"/>
          <w:sz w:val="32"/>
          <w:szCs w:val="32"/>
          <w:lang w:eastAsia="zh-CN"/>
        </w:rPr>
        <w:t>交办件涉及我局牵头办理</w:t>
      </w:r>
      <w:r>
        <w:rPr>
          <w:rFonts w:hint="default" w:ascii="Times New Roman" w:hAnsi="Times New Roman" w:eastAsia="仿宋_GB2312" w:cs="Times New Roman"/>
          <w:sz w:val="32"/>
          <w:szCs w:val="32"/>
          <w:lang w:val="en-US" w:eastAsia="zh-CN"/>
        </w:rPr>
        <w:t xml:space="preserve">11件，已完成整改验收；2018中央生态环保督察“回头看” </w:t>
      </w:r>
      <w:r>
        <w:rPr>
          <w:rFonts w:hint="default" w:ascii="Times New Roman" w:hAnsi="Times New Roman" w:eastAsia="仿宋_GB2312" w:cs="Times New Roman"/>
          <w:sz w:val="32"/>
          <w:szCs w:val="32"/>
          <w:lang w:eastAsia="zh-CN"/>
        </w:rPr>
        <w:t>交办件涉及我局牵头办理</w:t>
      </w:r>
      <w:r>
        <w:rPr>
          <w:rFonts w:hint="default" w:ascii="Times New Roman" w:hAnsi="Times New Roman" w:eastAsia="仿宋_GB2312" w:cs="Times New Roman"/>
          <w:sz w:val="32"/>
          <w:szCs w:val="32"/>
          <w:lang w:val="en-US" w:eastAsia="zh-CN"/>
        </w:rPr>
        <w:t>17件，已完成整改验收；2021中央生态环境保护第二轮督察交办件</w:t>
      </w:r>
      <w:r>
        <w:rPr>
          <w:rFonts w:hint="default" w:ascii="Times New Roman" w:hAnsi="Times New Roman" w:eastAsia="仿宋_GB2312" w:cs="Times New Roman"/>
          <w:sz w:val="32"/>
          <w:szCs w:val="32"/>
          <w:lang w:eastAsia="zh-CN"/>
        </w:rPr>
        <w:t>涉及我局牵头办理</w:t>
      </w:r>
      <w:r>
        <w:rPr>
          <w:rFonts w:hint="default" w:ascii="Times New Roman" w:hAnsi="Times New Roman" w:eastAsia="仿宋_GB2312" w:cs="Times New Roman"/>
          <w:sz w:val="32"/>
          <w:szCs w:val="32"/>
          <w:lang w:val="en-US" w:eastAsia="zh-CN"/>
        </w:rPr>
        <w:t>21件，已完成整改验收，其中云铜异味扰民（1件）完成区级验收目前正在等待市级分批组织现场验收；2023年云南省第二轮生态环境保护督察</w:t>
      </w:r>
      <w:r>
        <w:rPr>
          <w:rFonts w:hint="default" w:ascii="Times New Roman" w:hAnsi="Times New Roman" w:eastAsia="仿宋_GB2312" w:cs="Times New Roman"/>
          <w:sz w:val="32"/>
          <w:szCs w:val="32"/>
          <w:lang w:eastAsia="zh-CN"/>
        </w:rPr>
        <w:t>交办件涉及我局牵头办理</w:t>
      </w:r>
      <w:r>
        <w:rPr>
          <w:rFonts w:hint="default" w:ascii="Times New Roman" w:hAnsi="Times New Roman" w:eastAsia="仿宋_GB2312" w:cs="Times New Roman"/>
          <w:sz w:val="32"/>
          <w:szCs w:val="32"/>
          <w:lang w:val="en-US" w:eastAsia="zh-CN"/>
        </w:rPr>
        <w:t xml:space="preserve">5件，已完成整改验收。云南省第二轮生态环境保护督察反馈涉及五华区问题清单我局牵头16项，目前已上报整改措施。  </w:t>
      </w:r>
    </w:p>
    <w:p>
      <w:pPr>
        <w:pStyle w:val="4"/>
        <w:ind w:firstLine="634"/>
        <w:rPr>
          <w:rFonts w:hint="default" w:ascii="Times New Roman" w:hAnsi="Times New Roman" w:cs="Times New Roman"/>
          <w:b w:val="0"/>
          <w:bCs/>
          <w:sz w:val="32"/>
          <w:szCs w:val="32"/>
        </w:rPr>
      </w:pPr>
      <w:r>
        <w:rPr>
          <w:rFonts w:hint="default" w:ascii="Times New Roman" w:hAnsi="Times New Roman" w:cs="Times New Roman"/>
          <w:b w:val="0"/>
          <w:bCs/>
          <w:sz w:val="32"/>
          <w:szCs w:val="32"/>
        </w:rPr>
        <w:t>（二）具体绩效分析</w:t>
      </w:r>
      <w:bookmarkEnd w:id="61"/>
      <w:bookmarkEnd w:id="62"/>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1.项目决策部分分值为20分，占比20%，评价得</w:t>
      </w:r>
      <w:r>
        <w:rPr>
          <w:rFonts w:hint="default" w:ascii="Times New Roman" w:hAnsi="Times New Roman" w:eastAsia="仿宋_GB2312" w:cs="Times New Roman"/>
          <w:sz w:val="32"/>
          <w:szCs w:val="32"/>
          <w:lang w:val="en-US" w:eastAsia="zh-CN"/>
        </w:rPr>
        <w:t>20</w:t>
      </w:r>
      <w:r>
        <w:rPr>
          <w:rFonts w:hint="default" w:ascii="Times New Roman" w:hAnsi="Times New Roman" w:eastAsia="仿宋_GB2312" w:cs="Times New Roman"/>
          <w:sz w:val="32"/>
          <w:szCs w:val="32"/>
        </w:rPr>
        <w:t>分。</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2.项目管理部分分值为20分，占比20%，评价得20分。</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3.项目绩效部分分值为60分，占比60%，评价得60分，其中：项目产出部分分值为45分，占比45%，评价得45分；项目效益部分分值为15分，占比15%，评价得15分。</w:t>
      </w:r>
    </w:p>
    <w:p>
      <w:pPr>
        <w:pStyle w:val="3"/>
        <w:ind w:firstLine="634"/>
        <w:rPr>
          <w:rFonts w:hint="default" w:ascii="Times New Roman" w:hAnsi="Times New Roman" w:cs="Times New Roman"/>
          <w:sz w:val="32"/>
          <w:szCs w:val="32"/>
        </w:rPr>
      </w:pPr>
      <w:bookmarkStart w:id="63" w:name="_Toc4737"/>
      <w:bookmarkStart w:id="64" w:name="_Toc31274"/>
      <w:r>
        <w:rPr>
          <w:rFonts w:hint="default" w:ascii="Times New Roman" w:hAnsi="Times New Roman" w:cs="Times New Roman"/>
          <w:sz w:val="32"/>
          <w:szCs w:val="32"/>
        </w:rPr>
        <w:t>四、成本效益分析</w:t>
      </w:r>
      <w:bookmarkEnd w:id="63"/>
      <w:bookmarkEnd w:id="64"/>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rPr>
        <w:t>本项目</w:t>
      </w:r>
      <w:r>
        <w:rPr>
          <w:rFonts w:hint="default" w:ascii="Times New Roman" w:hAnsi="Times New Roman" w:eastAsia="仿宋_GB2312" w:cs="Times New Roman"/>
          <w:sz w:val="32"/>
          <w:szCs w:val="32"/>
          <w:lang w:eastAsia="zh-CN"/>
        </w:rPr>
        <w:t>2023年</w:t>
      </w:r>
      <w:r>
        <w:rPr>
          <w:rFonts w:hint="default" w:ascii="Times New Roman" w:hAnsi="Times New Roman" w:eastAsia="仿宋_GB2312" w:cs="Times New Roman"/>
          <w:sz w:val="32"/>
          <w:szCs w:val="32"/>
        </w:rPr>
        <w:t>项目预算资金为</w:t>
      </w:r>
      <w:r>
        <w:rPr>
          <w:rFonts w:hint="default" w:ascii="Times New Roman" w:hAnsi="Times New Roman" w:eastAsia="仿宋_GB2312" w:cs="Times New Roman"/>
          <w:sz w:val="32"/>
          <w:szCs w:val="32"/>
          <w:lang w:val="en-US" w:eastAsia="zh-CN"/>
        </w:rPr>
        <w:t>70万</w:t>
      </w:r>
      <w:r>
        <w:rPr>
          <w:rFonts w:hint="default" w:ascii="Times New Roman" w:hAnsi="Times New Roman" w:eastAsia="仿宋_GB2312" w:cs="Times New Roman"/>
          <w:sz w:val="32"/>
          <w:szCs w:val="32"/>
        </w:rPr>
        <w:t>元</w:t>
      </w:r>
      <w:r>
        <w:rPr>
          <w:rFonts w:hint="default"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rPr>
        <w:t>实际收到财政拨入资金为</w:t>
      </w:r>
      <w:r>
        <w:rPr>
          <w:rFonts w:hint="default" w:ascii="Times New Roman" w:hAnsi="Times New Roman" w:eastAsia="仿宋_GB2312" w:cs="Times New Roman"/>
          <w:sz w:val="32"/>
          <w:szCs w:val="32"/>
          <w:lang w:val="en-US" w:eastAsia="zh-CN"/>
        </w:rPr>
        <w:t>68.80</w:t>
      </w:r>
      <w:r>
        <w:rPr>
          <w:rFonts w:hint="default" w:ascii="Times New Roman" w:hAnsi="Times New Roman" w:eastAsia="仿宋_GB2312" w:cs="Times New Roman"/>
          <w:sz w:val="32"/>
          <w:szCs w:val="32"/>
        </w:rPr>
        <w:t>万元，实际项目支出资金为</w:t>
      </w:r>
      <w:r>
        <w:rPr>
          <w:rFonts w:hint="default" w:ascii="Times New Roman" w:hAnsi="Times New Roman" w:eastAsia="仿宋_GB2312" w:cs="Times New Roman"/>
          <w:sz w:val="32"/>
          <w:szCs w:val="32"/>
          <w:lang w:val="en-US" w:eastAsia="zh-CN"/>
        </w:rPr>
        <w:t>68.80</w:t>
      </w:r>
      <w:r>
        <w:rPr>
          <w:rFonts w:hint="default" w:ascii="Times New Roman" w:hAnsi="Times New Roman" w:eastAsia="仿宋_GB2312" w:cs="Times New Roman"/>
          <w:sz w:val="32"/>
          <w:szCs w:val="32"/>
        </w:rPr>
        <w:t>元，年末项目结转结余资金</w:t>
      </w:r>
      <w:r>
        <w:rPr>
          <w:rFonts w:hint="default" w:ascii="Times New Roman" w:hAnsi="Times New Roman" w:eastAsia="仿宋_GB2312" w:cs="Times New Roman"/>
          <w:sz w:val="32"/>
          <w:szCs w:val="32"/>
          <w:lang w:val="en-US" w:eastAsia="zh-CN"/>
        </w:rPr>
        <w:t>0</w:t>
      </w:r>
      <w:r>
        <w:rPr>
          <w:rFonts w:hint="default" w:ascii="Times New Roman" w:hAnsi="Times New Roman" w:eastAsia="仿宋_GB2312" w:cs="Times New Roman"/>
          <w:sz w:val="32"/>
          <w:szCs w:val="32"/>
        </w:rPr>
        <w:t>元。本项目做好资金使用计划并及时按要求上报申请，同时做好相应的执行安排。按照相关制度资金使用规范，做到专款专用，</w:t>
      </w:r>
      <w:r>
        <w:rPr>
          <w:rFonts w:hint="default" w:ascii="Times New Roman" w:hAnsi="Times New Roman" w:eastAsia="仿宋_GB2312" w:cs="Times New Roman"/>
          <w:sz w:val="32"/>
          <w:szCs w:val="32"/>
          <w:lang w:eastAsia="zh-CN"/>
        </w:rPr>
        <w:t>防止</w:t>
      </w:r>
      <w:r>
        <w:rPr>
          <w:rFonts w:hint="default" w:ascii="Times New Roman" w:hAnsi="Times New Roman" w:eastAsia="仿宋_GB2312" w:cs="Times New Roman"/>
          <w:sz w:val="32"/>
          <w:szCs w:val="32"/>
        </w:rPr>
        <w:t>资金挤占、挪用，引入审计审查机制，保证资金使用的合规性，并在项目实施过程中严格按照相关制度执行，保证资金支付的合理性。</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rPr>
      </w:pPr>
      <w:bookmarkStart w:id="65" w:name="_Toc11486"/>
      <w:bookmarkStart w:id="66" w:name="_Toc3962"/>
      <w:r>
        <w:rPr>
          <w:rFonts w:hint="default" w:ascii="Times New Roman" w:hAnsi="Times New Roman" w:eastAsia="仿宋_GB2312" w:cs="Times New Roman"/>
          <w:sz w:val="32"/>
          <w:szCs w:val="32"/>
        </w:rPr>
        <w:t>主要经验及做法、存在的问题和建议</w:t>
      </w:r>
      <w:bookmarkEnd w:id="65"/>
      <w:bookmarkEnd w:id="66"/>
    </w:p>
    <w:p>
      <w:pPr>
        <w:pStyle w:val="4"/>
        <w:ind w:firstLine="634"/>
        <w:rPr>
          <w:rFonts w:hint="default" w:ascii="Times New Roman" w:hAnsi="Times New Roman" w:cs="Times New Roman"/>
          <w:b w:val="0"/>
          <w:bCs/>
          <w:sz w:val="32"/>
          <w:szCs w:val="32"/>
        </w:rPr>
      </w:pPr>
      <w:r>
        <w:rPr>
          <w:rFonts w:hint="default" w:ascii="Times New Roman" w:hAnsi="Times New Roman" w:cs="Times New Roman"/>
          <w:b w:val="0"/>
          <w:bCs/>
          <w:sz w:val="32"/>
          <w:szCs w:val="32"/>
        </w:rPr>
        <w:t>（一）主要经验及做法</w:t>
      </w:r>
    </w:p>
    <w:p>
      <w:pPr>
        <w:pStyle w:val="5"/>
        <w:ind w:firstLine="632"/>
        <w:rPr>
          <w:rFonts w:hint="default" w:ascii="Times New Roman" w:hAnsi="Times New Roman" w:eastAsia="仿宋_GB2312" w:cs="Times New Roman"/>
          <w:b/>
          <w:bCs/>
          <w:sz w:val="32"/>
          <w:szCs w:val="32"/>
          <w:lang w:val="en-US" w:eastAsia="zh-CN"/>
        </w:rPr>
      </w:pPr>
      <w:bookmarkStart w:id="67" w:name="_Toc995"/>
      <w:bookmarkStart w:id="68" w:name="_Toc282"/>
      <w:bookmarkStart w:id="69" w:name="_Toc9028"/>
      <w:bookmarkStart w:id="70" w:name="_Toc15644"/>
      <w:bookmarkStart w:id="71" w:name="_Toc1778"/>
      <w:bookmarkStart w:id="72" w:name="_Toc18824"/>
      <w:bookmarkStart w:id="73" w:name="_Toc41555094"/>
      <w:r>
        <w:rPr>
          <w:rFonts w:hint="default" w:ascii="Times New Roman" w:hAnsi="Times New Roman" w:eastAsia="仿宋_GB2312" w:cs="Times New Roman"/>
          <w:b/>
          <w:bCs/>
          <w:sz w:val="32"/>
          <w:szCs w:val="32"/>
          <w:lang w:val="en-US" w:eastAsia="zh-CN"/>
        </w:rPr>
        <w:t>1、制度建设方面</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eastAsia="zh-CN"/>
        </w:rPr>
        <w:t>制定出台餐饮业选址负面清单。根据昆明市生态环境局、昆明市住房和城乡建设局、昆明市城市管理局、昆明市滇池管理局联发的《关于推广试行餐饮业选址负面清单相关工作的通知》要求，为</w:t>
      </w:r>
      <w:r>
        <w:rPr>
          <w:rFonts w:hint="default" w:ascii="Times New Roman" w:hAnsi="Times New Roman" w:eastAsia="仿宋_GB2312" w:cs="Times New Roman"/>
          <w:sz w:val="32"/>
          <w:szCs w:val="32"/>
        </w:rPr>
        <w:t>从源头上</w:t>
      </w:r>
      <w:r>
        <w:rPr>
          <w:rFonts w:hint="default" w:ascii="Times New Roman" w:hAnsi="Times New Roman" w:eastAsia="仿宋_GB2312" w:cs="Times New Roman"/>
          <w:sz w:val="32"/>
          <w:szCs w:val="32"/>
          <w:lang w:eastAsia="zh-CN"/>
        </w:rPr>
        <w:t>对</w:t>
      </w:r>
      <w:r>
        <w:rPr>
          <w:rFonts w:hint="default" w:ascii="Times New Roman" w:hAnsi="Times New Roman" w:eastAsia="仿宋_GB2312" w:cs="Times New Roman"/>
          <w:sz w:val="32"/>
          <w:szCs w:val="32"/>
        </w:rPr>
        <w:t>餐饮业污染物排放进行管控，</w:t>
      </w:r>
      <w:r>
        <w:rPr>
          <w:rFonts w:hint="default" w:ascii="Times New Roman" w:hAnsi="Times New Roman" w:eastAsia="仿宋_GB2312" w:cs="Times New Roman"/>
          <w:sz w:val="32"/>
          <w:szCs w:val="32"/>
          <w:lang w:eastAsia="zh-CN"/>
        </w:rPr>
        <w:t>解决自</w:t>
      </w:r>
      <w:r>
        <w:rPr>
          <w:rFonts w:hint="default" w:ascii="Times New Roman" w:hAnsi="Times New Roman" w:eastAsia="仿宋_GB2312" w:cs="Times New Roman"/>
          <w:sz w:val="32"/>
          <w:szCs w:val="32"/>
          <w:lang w:val="en-US" w:eastAsia="zh-CN"/>
        </w:rPr>
        <w:t>2016年中央第一轮环保督查以来反映餐饮业油烟扰民集中区域，市生态环境局五华分局牵头拟定</w:t>
      </w:r>
      <w:r>
        <w:rPr>
          <w:rFonts w:hint="default" w:ascii="Times New Roman" w:hAnsi="Times New Roman" w:eastAsia="仿宋_GB2312" w:cs="Times New Roman"/>
          <w:sz w:val="32"/>
          <w:szCs w:val="32"/>
        </w:rPr>
        <w:t>《五华区餐饮行业选址负面清单》</w:t>
      </w:r>
      <w:r>
        <w:rPr>
          <w:rFonts w:hint="default" w:ascii="Times New Roman" w:hAnsi="Times New Roman" w:eastAsia="仿宋_GB2312" w:cs="Times New Roman"/>
          <w:sz w:val="32"/>
          <w:szCs w:val="32"/>
          <w:lang w:eastAsia="zh-CN"/>
        </w:rPr>
        <w:t>，并于</w:t>
      </w:r>
      <w:r>
        <w:rPr>
          <w:rFonts w:hint="default" w:ascii="Times New Roman" w:hAnsi="Times New Roman" w:eastAsia="仿宋_GB2312" w:cs="Times New Roman"/>
          <w:sz w:val="32"/>
          <w:szCs w:val="32"/>
        </w:rPr>
        <w:t>2022年11月4日</w:t>
      </w:r>
      <w:r>
        <w:rPr>
          <w:rFonts w:hint="default" w:ascii="Times New Roman" w:hAnsi="Times New Roman" w:eastAsia="仿宋_GB2312" w:cs="Times New Roman"/>
          <w:sz w:val="32"/>
          <w:szCs w:val="32"/>
          <w:lang w:eastAsia="zh-CN"/>
        </w:rPr>
        <w:t>区政府办印发。</w:t>
      </w:r>
    </w:p>
    <w:p>
      <w:pPr>
        <w:pStyle w:val="5"/>
        <w:ind w:firstLine="63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2、日常监管方面</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加强环保工作日常巡查，增强责任感和紧迫感，真正把问题放在心上，确保检查到位、反馈到位、处理到位，完善资料档案建立。</w:t>
      </w:r>
      <w:r>
        <w:rPr>
          <w:rFonts w:hint="default" w:ascii="Times New Roman" w:hAnsi="Times New Roman" w:eastAsia="仿宋_GB2312" w:cs="Times New Roman"/>
          <w:sz w:val="32"/>
          <w:szCs w:val="32"/>
          <w:lang w:eastAsia="zh-CN"/>
        </w:rPr>
        <w:t>根据《昆明市餐饮业环境污染防治管理办法》（昆明市人民政府令149号）、《中央生态环境保护督察整改五华区领导小组办公室2022年第1次会议的会议纪要》《昆明市五华区人民政府关于印发〈五华区餐饮行业选址负面清单〉的通知》（五政办通（2022</w:t>
      </w:r>
      <w:r>
        <w:rPr>
          <w:rFonts w:hint="eastAsia" w:ascii="Times New Roman" w:hAnsi="Times New Roman" w:eastAsia="仿宋_GB2312" w:cs="Times New Roman"/>
          <w:sz w:val="32"/>
          <w:szCs w:val="32"/>
          <w:lang w:eastAsia="zh-CN"/>
        </w:rPr>
        <w:t>）</w:t>
      </w:r>
      <w:r>
        <w:rPr>
          <w:rFonts w:hint="default" w:ascii="Times New Roman" w:hAnsi="Times New Roman" w:eastAsia="仿宋_GB2312" w:cs="Times New Roman"/>
          <w:sz w:val="32"/>
          <w:szCs w:val="32"/>
          <w:lang w:eastAsia="zh-CN"/>
        </w:rPr>
        <w:t xml:space="preserve"> 64号）等文件相关开展联合选址工作，</w:t>
      </w:r>
      <w:r>
        <w:rPr>
          <w:rFonts w:hint="default" w:ascii="Times New Roman" w:hAnsi="Times New Roman" w:eastAsia="仿宋_GB2312" w:cs="Times New Roman"/>
          <w:sz w:val="32"/>
          <w:szCs w:val="32"/>
          <w:lang w:val="en-US" w:eastAsia="zh-CN"/>
        </w:rPr>
        <w:t>各职能部门对餐饮业选址工作重要性和认识度不断提高，同时也向广大市民对餐饮业设立规范进行了广大宣传。</w:t>
      </w:r>
    </w:p>
    <w:p>
      <w:pPr>
        <w:pStyle w:val="5"/>
        <w:ind w:firstLine="63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3、长效机制方面</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确保云铜普吉渣场生态环境风险隐患问题整改保持常态长效。一是与各级企事业单位联系，在人数可控的范围内以足球运动为主，承接其户外工会活动，摸索一条运动、休闲的开放方式。已先后与普吉街道办事处、市交警支队进行了相关合作。二是与五华区中、小学联系，在人数可控范围内承接其户外出游活动，在同学们亲近自然的同时培养生态环保理念，探索一条绿色科普的开放方式。三是在普吉渣场举行“环保开放日”活动，2023年8月30日，西南铜业承接了云南省生态环境厅执法局的现场教学任务，普吉渣场作为其中一个教学点，分批次接受了一百余名学员的实地参观。</w:t>
      </w:r>
    </w:p>
    <w:p>
      <w:pPr>
        <w:pStyle w:val="5"/>
        <w:ind w:firstLine="632"/>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4、群众工作方面</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为确保云铜普吉渣场生态环境风险隐患问题整改保持常态长效，进一步搭建社情民意沟通平台，切实做好“四个一律”工作，2022年12月27日，市生态环境局五华分局组织居民代表召开民情恳谈会向群众通报整改情况并发放满意度调查表10份，收回10份，满意率为100%，同时粘贴整改公示，对整改情况进行公开公示。</w:t>
      </w:r>
    </w:p>
    <w:bookmarkEnd w:id="67"/>
    <w:bookmarkEnd w:id="68"/>
    <w:bookmarkEnd w:id="69"/>
    <w:bookmarkEnd w:id="70"/>
    <w:bookmarkEnd w:id="71"/>
    <w:bookmarkEnd w:id="72"/>
    <w:bookmarkEnd w:id="73"/>
    <w:p>
      <w:pPr>
        <w:pStyle w:val="4"/>
        <w:ind w:firstLine="634"/>
        <w:rPr>
          <w:rFonts w:hint="default" w:ascii="Times New Roman" w:hAnsi="Times New Roman" w:cs="Times New Roman"/>
          <w:b w:val="0"/>
          <w:bCs/>
          <w:sz w:val="32"/>
          <w:szCs w:val="32"/>
        </w:rPr>
      </w:pPr>
      <w:bookmarkStart w:id="74" w:name="_Toc6826"/>
      <w:bookmarkStart w:id="75" w:name="_Toc7272"/>
      <w:r>
        <w:rPr>
          <w:rFonts w:hint="default" w:ascii="Times New Roman" w:hAnsi="Times New Roman" w:cs="Times New Roman"/>
          <w:b w:val="0"/>
          <w:bCs/>
          <w:sz w:val="32"/>
          <w:szCs w:val="32"/>
        </w:rPr>
        <w:t>（二）存在的问题</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围绕《关于扎实总结环保督察整改，清单式开展生态环境风险隐患排查工作的通知》要求查找问题。一是贯彻落实习近平生态文明思想不够深入。在生态环境保护上思想认识不够、政治站位不高，没有做到习近平总书记要求的“像保护眼睛一样保护生态环境，像对待生命一样对待生态环境”。生态环境保护“党政同责”“一岗双责”的意识还没有真正树立起来，有的部门和干部对于“管发展必须管环保、管生产必须管环保、管行业必须管环保”认识还不到位，行业、部门生态环境保护责任没有完全压实。二是大气污染防治监督管理需持续加强。部分企业未按要求安装烟尘废气收集处理设备，存在无组织排放现象。三是执法监管质效还需提升。执法检查手段智慧度、创新度不高，企业监管还存在薄弱环节，部分企业不同程度存在未落实环评和排污许可证要求，环境违法行为时有发生。</w:t>
      </w:r>
    </w:p>
    <w:p>
      <w:pPr>
        <w:pStyle w:val="4"/>
        <w:ind w:firstLine="634"/>
        <w:rPr>
          <w:rFonts w:hint="default" w:ascii="Times New Roman" w:hAnsi="Times New Roman" w:cs="Times New Roman"/>
          <w:b w:val="0"/>
          <w:bCs/>
          <w:sz w:val="32"/>
          <w:szCs w:val="32"/>
        </w:rPr>
      </w:pPr>
      <w:r>
        <w:rPr>
          <w:rFonts w:hint="default" w:ascii="Times New Roman" w:hAnsi="Times New Roman" w:cs="Times New Roman"/>
          <w:b w:val="0"/>
          <w:bCs/>
          <w:sz w:val="32"/>
          <w:szCs w:val="32"/>
        </w:rPr>
        <w:t>（三）建议和改进措施</w:t>
      </w:r>
    </w:p>
    <w:p>
      <w:pPr>
        <w:keepNext w:val="0"/>
        <w:keepLines w:val="0"/>
        <w:pageBreakBefore w:val="0"/>
        <w:widowControl w:val="0"/>
        <w:numPr>
          <w:ilvl w:val="0"/>
          <w:numId w:val="0"/>
        </w:numPr>
        <w:kinsoku/>
        <w:wordWrap/>
        <w:overflowPunct/>
        <w:topLinePunct/>
        <w:autoSpaceDE/>
        <w:autoSpaceDN/>
        <w:bidi w:val="0"/>
        <w:adjustRightInd/>
        <w:snapToGrid/>
        <w:spacing w:line="240" w:lineRule="auto"/>
        <w:ind w:firstLine="640" w:firstLineChars="200"/>
        <w:jc w:val="both"/>
        <w:textAlignment w:val="auto"/>
        <w:outlineLvl w:val="9"/>
        <w:rPr>
          <w:rFonts w:hint="default" w:ascii="Times New Roman" w:hAnsi="Times New Roman" w:eastAsia="仿宋_GB2312" w:cs="Times New Roman"/>
          <w:sz w:val="32"/>
          <w:szCs w:val="32"/>
          <w:lang w:val="en-US" w:eastAsia="zh-CN"/>
        </w:rPr>
      </w:pPr>
      <w:r>
        <w:rPr>
          <w:rFonts w:hint="default" w:ascii="Times New Roman" w:hAnsi="Times New Roman" w:eastAsia="仿宋_GB2312" w:cs="Times New Roman"/>
          <w:sz w:val="32"/>
          <w:szCs w:val="32"/>
          <w:lang w:val="en-US" w:eastAsia="zh-CN"/>
        </w:rPr>
        <w:t>在全面梳理总结我局历次生态环保督察整改工作开展情况的基础上，举一反三，注重梳理存在的问题，以及相关体制机制创新，总结工作经验教训，以“发现问题、消除生态环境隐患”为导向，全面组织排查，摸清本辖区、本行业生态环境问题，细化管理任务。发现问题立即整改、快速整改到位；需要一定期限整改的，认真分析研究，制定科学、操作性强的治理方案，有序推动问题解决；建立完善日常监管长效机制，巩固整改成效，确保问题不反复、不反弹。</w:t>
      </w:r>
    </w:p>
    <w:bookmarkEnd w:id="74"/>
    <w:bookmarkEnd w:id="75"/>
    <w:p>
      <w:pPr>
        <w:pStyle w:val="8"/>
        <w:ind w:left="0" w:leftChars="0" w:firstLine="0" w:firstLineChars="0"/>
        <w:rPr>
          <w:rFonts w:hint="default" w:ascii="Times New Roman" w:hAnsi="Times New Roman" w:eastAsia="仿宋_GB2312" w:cs="Times New Roman"/>
          <w:color w:val="auto"/>
          <w:sz w:val="32"/>
          <w:szCs w:val="32"/>
          <w:lang w:val="en-US" w:eastAsia="zh-CN"/>
        </w:rPr>
      </w:pPr>
    </w:p>
    <w:p>
      <w:pPr>
        <w:ind w:firstLine="5120" w:firstLineChars="1600"/>
        <w:rPr>
          <w:rFonts w:hint="default" w:ascii="Times New Roman" w:hAnsi="Times New Roman" w:cs="Times New Roman"/>
          <w:sz w:val="32"/>
          <w:szCs w:val="32"/>
          <w:lang w:val="en-US" w:eastAsia="zh-CN"/>
        </w:rPr>
      </w:pPr>
      <w:r>
        <w:rPr>
          <w:rFonts w:hint="default" w:ascii="Times New Roman" w:hAnsi="Times New Roman" w:cs="Times New Roman"/>
          <w:sz w:val="32"/>
          <w:szCs w:val="32"/>
          <w:lang w:val="en-US" w:eastAsia="zh-CN"/>
        </w:rPr>
        <w:t>2024年7月9日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jMzMTc0MzQ4ZDIwZmY2YTFmZGJkMjdiMTljMTE2ZjIifQ=="/>
    <w:docVar w:name="KSO_WPS_MARK_KEY" w:val="7b094a03-f7a0-468f-99c7-da412ff9e4f8"/>
  </w:docVars>
  <w:rsids>
    <w:rsidRoot w:val="130678AC"/>
    <w:rsid w:val="0C0B13B7"/>
    <w:rsid w:val="0E847443"/>
    <w:rsid w:val="130678AC"/>
    <w:rsid w:val="13A66769"/>
    <w:rsid w:val="3A6351BE"/>
    <w:rsid w:val="3FD348A3"/>
    <w:rsid w:val="497F0086"/>
    <w:rsid w:val="518D43A3"/>
    <w:rsid w:val="5D1618AD"/>
    <w:rsid w:val="5E345066"/>
    <w:rsid w:val="770A682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qFormat="1"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qFormat="1" w:unhideWhenUsed="0" w:uiPriority="99"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qFormat/>
    <w:uiPriority w:val="0"/>
    <w:pPr>
      <w:keepNext/>
      <w:keepLines/>
      <w:outlineLvl w:val="0"/>
    </w:pPr>
    <w:rPr>
      <w:rFonts w:ascii="Calibri" w:hAnsi="Calibri" w:eastAsia="黑体"/>
      <w:b/>
      <w:kern w:val="44"/>
    </w:rPr>
  </w:style>
  <w:style w:type="paragraph" w:styleId="4">
    <w:name w:val="heading 2"/>
    <w:basedOn w:val="1"/>
    <w:next w:val="1"/>
    <w:unhideWhenUsed/>
    <w:qFormat/>
    <w:uiPriority w:val="0"/>
    <w:pPr>
      <w:keepNext/>
      <w:keepLines/>
      <w:outlineLvl w:val="1"/>
    </w:pPr>
    <w:rPr>
      <w:rFonts w:ascii="Arial" w:hAnsi="Arial" w:eastAsia="楷体"/>
      <w:b/>
    </w:rPr>
  </w:style>
  <w:style w:type="paragraph" w:styleId="5">
    <w:name w:val="heading 3"/>
    <w:basedOn w:val="1"/>
    <w:next w:val="1"/>
    <w:unhideWhenUsed/>
    <w:qFormat/>
    <w:uiPriority w:val="0"/>
    <w:pPr>
      <w:keepNext/>
      <w:keepLines/>
      <w:outlineLvl w:val="2"/>
    </w:pPr>
    <w:rPr>
      <w:rFonts w:ascii="仿宋" w:hAnsi="仿宋"/>
    </w:rPr>
  </w:style>
  <w:style w:type="character" w:default="1" w:styleId="11">
    <w:name w:val="Default Paragraph Font"/>
    <w:semiHidden/>
    <w:qFormat/>
    <w:uiPriority w:val="0"/>
  </w:style>
  <w:style w:type="table" w:default="1" w:styleId="10">
    <w:name w:val="Normal Table"/>
    <w:semiHidden/>
    <w:qFormat/>
    <w:uiPriority w:val="0"/>
    <w:tblPr>
      <w:tblCellMar>
        <w:top w:w="0" w:type="dxa"/>
        <w:left w:w="108" w:type="dxa"/>
        <w:bottom w:w="0" w:type="dxa"/>
        <w:right w:w="108" w:type="dxa"/>
      </w:tblCellMar>
    </w:tblPr>
  </w:style>
  <w:style w:type="paragraph" w:styleId="2">
    <w:name w:val="table of authorities"/>
    <w:basedOn w:val="1"/>
    <w:next w:val="1"/>
    <w:qFormat/>
    <w:uiPriority w:val="99"/>
    <w:pPr>
      <w:widowControl w:val="0"/>
      <w:ind w:left="420" w:leftChars="200"/>
      <w:textAlignment w:val="auto"/>
    </w:pPr>
    <w:rPr>
      <w:rFonts w:ascii="Calibri" w:hAnsi="Calibri"/>
      <w:szCs w:val="21"/>
    </w:rPr>
  </w:style>
  <w:style w:type="paragraph" w:styleId="6">
    <w:name w:val="Normal Indent"/>
    <w:basedOn w:val="1"/>
    <w:next w:val="1"/>
    <w:qFormat/>
    <w:uiPriority w:val="0"/>
    <w:pPr>
      <w:ind w:firstLine="630"/>
    </w:pPr>
    <w:rPr>
      <w:rFonts w:ascii="Times New Roman" w:hAnsi="Times New Roman" w:eastAsia="仿宋_GB2312"/>
      <w:kern w:val="0"/>
      <w:sz w:val="32"/>
      <w:szCs w:val="20"/>
    </w:rPr>
  </w:style>
  <w:style w:type="paragraph" w:styleId="7">
    <w:name w:val="Body Text"/>
    <w:basedOn w:val="1"/>
    <w:next w:val="8"/>
    <w:qFormat/>
    <w:uiPriority w:val="0"/>
    <w:pPr>
      <w:spacing w:after="120"/>
    </w:pPr>
    <w:rPr>
      <w:rFonts w:ascii="Calibri" w:hAnsi="Calibri" w:eastAsia="宋体" w:cs="Times New Roman"/>
    </w:rPr>
  </w:style>
  <w:style w:type="paragraph" w:styleId="8">
    <w:name w:val="toc 5"/>
    <w:basedOn w:val="1"/>
    <w:next w:val="1"/>
    <w:qFormat/>
    <w:uiPriority w:val="0"/>
    <w:pPr>
      <w:ind w:left="1680" w:leftChars="800"/>
    </w:pPr>
  </w:style>
  <w:style w:type="paragraph" w:styleId="9">
    <w:name w:val="footer"/>
    <w:basedOn w:val="1"/>
    <w:qFormat/>
    <w:uiPriority w:val="0"/>
    <w:pPr>
      <w:tabs>
        <w:tab w:val="center" w:pos="4153"/>
        <w:tab w:val="right" w:pos="8306"/>
      </w:tabs>
      <w:snapToGrid w:val="0"/>
      <w:jc w:val="left"/>
    </w:pPr>
    <w:rPr>
      <w:sz w:val="18"/>
    </w:rPr>
  </w:style>
  <w:style w:type="character" w:customStyle="1" w:styleId="12">
    <w:name w:val="页码1"/>
    <w:basedOn w:val="11"/>
    <w:qFormat/>
    <w:uiPriority w:val="0"/>
    <w:rPr>
      <w:rFonts w:cs="Times New Roman"/>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6086</Words>
  <Characters>6272</Characters>
  <Lines>0</Lines>
  <Paragraphs>0</Paragraphs>
  <TotalTime>28</TotalTime>
  <ScaleCrop>false</ScaleCrop>
  <LinksUpToDate>false</LinksUpToDate>
  <CharactersWithSpaces>6279</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2024-07-09T01:23:00Z</dcterms:created>
  <dc:creator>How</dc:creator>
  <cp:lastModifiedBy>淡蓝云海</cp:lastModifiedBy>
  <dcterms:modified xsi:type="dcterms:W3CDTF">2024-08-06T08:54:34Z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AFE51E9C2E79444290DC43F532C6AE05_13</vt:lpwstr>
  </property>
</Properties>
</file>